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3DD" w:rsidRDefault="004A33DD" w:rsidP="004A33DD">
      <w:pPr>
        <w:pStyle w:val="Title"/>
        <w:jc w:val="left"/>
        <w:rPr>
          <w:rFonts w:ascii="Arial" w:hAnsi="Arial" w:cs="Arial"/>
          <w:sz w:val="28"/>
          <w:szCs w:val="28"/>
          <w:lang w:val="tr-TR"/>
        </w:rPr>
      </w:pPr>
      <w:bookmarkStart w:id="0" w:name="_GoBack"/>
      <w:bookmarkEnd w:id="0"/>
    </w:p>
    <w:p w:rsidR="00FD1CAD" w:rsidRDefault="00FD1CAD" w:rsidP="004A33DD">
      <w:pPr>
        <w:pStyle w:val="Title"/>
        <w:jc w:val="left"/>
        <w:rPr>
          <w:rFonts w:ascii="Arial" w:hAnsi="Arial" w:cs="Arial"/>
          <w:sz w:val="28"/>
          <w:szCs w:val="28"/>
          <w:lang w:val="tr-TR"/>
        </w:rPr>
      </w:pPr>
    </w:p>
    <w:p w:rsidR="00FD311E" w:rsidRPr="0074470B" w:rsidRDefault="00FD311E" w:rsidP="004A33DD">
      <w:pPr>
        <w:pStyle w:val="Title"/>
        <w:jc w:val="left"/>
        <w:rPr>
          <w:rFonts w:ascii="Arial" w:hAnsi="Arial" w:cs="Arial"/>
          <w:sz w:val="28"/>
          <w:szCs w:val="28"/>
          <w:lang w:val="tr-TR"/>
        </w:rPr>
      </w:pPr>
    </w:p>
    <w:p w:rsidR="00B67AF4" w:rsidRPr="0074470B" w:rsidRDefault="00B67AF4" w:rsidP="009B4E56">
      <w:pPr>
        <w:pStyle w:val="Title"/>
        <w:rPr>
          <w:rFonts w:ascii="Arial" w:hAnsi="Arial" w:cs="Arial"/>
          <w:sz w:val="28"/>
          <w:szCs w:val="28"/>
          <w:lang w:val="tr-TR"/>
        </w:rPr>
      </w:pPr>
    </w:p>
    <w:p w:rsidR="009B4E56" w:rsidRPr="00326ED8" w:rsidRDefault="00CC3FDF" w:rsidP="009B4E56">
      <w:pPr>
        <w:pStyle w:val="Title"/>
        <w:rPr>
          <w:rFonts w:ascii="Arial" w:hAnsi="Arial" w:cs="Arial"/>
          <w:sz w:val="28"/>
          <w:szCs w:val="28"/>
          <w:lang w:val="tr-TR"/>
        </w:rPr>
      </w:pPr>
      <w:r w:rsidRPr="00326ED8">
        <w:rPr>
          <w:rFonts w:ascii="Arial" w:hAnsi="Arial" w:cs="Arial"/>
          <w:sz w:val="28"/>
          <w:szCs w:val="28"/>
          <w:lang w:val="tr-TR"/>
        </w:rPr>
        <w:t>Türkiye Bankacılık Sistemi</w:t>
      </w:r>
      <w:r w:rsidRPr="00326ED8">
        <w:rPr>
          <w:rStyle w:val="FootnoteReference"/>
          <w:rFonts w:ascii="Arial" w:hAnsi="Arial" w:cs="Arial"/>
          <w:sz w:val="28"/>
          <w:szCs w:val="28"/>
          <w:lang w:val="tr-TR"/>
        </w:rPr>
        <w:footnoteReference w:id="2"/>
      </w:r>
    </w:p>
    <w:p w:rsidR="00CD44E5" w:rsidRPr="00326ED8" w:rsidRDefault="00CD44E5" w:rsidP="009B4E56">
      <w:pPr>
        <w:pStyle w:val="Title"/>
        <w:rPr>
          <w:rFonts w:ascii="Arial" w:hAnsi="Arial" w:cs="Arial"/>
          <w:sz w:val="28"/>
          <w:szCs w:val="28"/>
          <w:lang w:val="tr-TR"/>
        </w:rPr>
      </w:pPr>
    </w:p>
    <w:p w:rsidR="00CC3FDF" w:rsidRPr="00326ED8" w:rsidRDefault="00CC3FDF" w:rsidP="009B4E56">
      <w:pPr>
        <w:pStyle w:val="Title"/>
        <w:rPr>
          <w:rFonts w:ascii="Arial" w:hAnsi="Arial" w:cs="Arial"/>
          <w:sz w:val="28"/>
          <w:szCs w:val="28"/>
          <w:lang w:val="tr-TR"/>
        </w:rPr>
      </w:pPr>
      <w:r w:rsidRPr="00326ED8">
        <w:rPr>
          <w:rFonts w:ascii="Arial" w:hAnsi="Arial" w:cs="Arial"/>
          <w:sz w:val="28"/>
          <w:szCs w:val="28"/>
          <w:lang w:val="tr-TR"/>
        </w:rPr>
        <w:t>“</w:t>
      </w:r>
      <w:r w:rsidR="000C1903" w:rsidRPr="00326ED8">
        <w:rPr>
          <w:rFonts w:ascii="Arial" w:hAnsi="Arial" w:cs="Arial"/>
          <w:sz w:val="28"/>
          <w:szCs w:val="28"/>
          <w:lang w:val="tr-TR"/>
        </w:rPr>
        <w:t>Mart 2014</w:t>
      </w:r>
      <w:r w:rsidRPr="00326ED8">
        <w:rPr>
          <w:rFonts w:ascii="Arial" w:hAnsi="Arial" w:cs="Arial"/>
          <w:sz w:val="28"/>
          <w:szCs w:val="28"/>
          <w:lang w:val="tr-TR"/>
        </w:rPr>
        <w:t>”</w:t>
      </w:r>
    </w:p>
    <w:p w:rsidR="0004120D" w:rsidRDefault="0004120D" w:rsidP="00CC3FDF">
      <w:pPr>
        <w:jc w:val="both"/>
        <w:rPr>
          <w:rFonts w:ascii="Arial" w:hAnsi="Arial" w:cs="Arial"/>
          <w:sz w:val="22"/>
          <w:szCs w:val="22"/>
        </w:rPr>
      </w:pPr>
    </w:p>
    <w:p w:rsidR="00015DC6" w:rsidRDefault="00015DC6" w:rsidP="00CC3FDF">
      <w:pPr>
        <w:jc w:val="both"/>
        <w:rPr>
          <w:rFonts w:ascii="Arial" w:hAnsi="Arial" w:cs="Arial"/>
          <w:sz w:val="22"/>
          <w:szCs w:val="22"/>
        </w:rPr>
      </w:pPr>
    </w:p>
    <w:p w:rsidR="00015DC6" w:rsidRPr="00892A5F" w:rsidRDefault="00D47311" w:rsidP="00CC3FDF">
      <w:pPr>
        <w:jc w:val="both"/>
        <w:rPr>
          <w:rFonts w:ascii="Arial" w:hAnsi="Arial" w:cs="Arial"/>
          <w:b/>
          <w:i/>
          <w:sz w:val="22"/>
          <w:szCs w:val="22"/>
        </w:rPr>
      </w:pPr>
      <w:r w:rsidRPr="00892A5F">
        <w:rPr>
          <w:rFonts w:ascii="Arial" w:hAnsi="Arial" w:cs="Arial"/>
          <w:b/>
          <w:i/>
          <w:sz w:val="22"/>
          <w:szCs w:val="22"/>
        </w:rPr>
        <w:t xml:space="preserve">Küresel piyasalardaki oynaklık azalmakla beraber, küresel belirsizlikler 2014 yılının ilk çeyreğinde önemini korumuştur. </w:t>
      </w:r>
      <w:r w:rsidR="00015DC6" w:rsidRPr="00892A5F">
        <w:rPr>
          <w:rFonts w:ascii="Arial" w:hAnsi="Arial" w:cs="Arial"/>
          <w:b/>
          <w:i/>
          <w:sz w:val="22"/>
          <w:szCs w:val="22"/>
        </w:rPr>
        <w:t xml:space="preserve">Küresel belirsizliklerin etkisini sınırlamak amacıyla </w:t>
      </w:r>
      <w:r w:rsidRPr="00892A5F">
        <w:rPr>
          <w:rFonts w:ascii="Arial" w:hAnsi="Arial" w:cs="Arial"/>
          <w:b/>
          <w:i/>
          <w:sz w:val="22"/>
          <w:szCs w:val="22"/>
        </w:rPr>
        <w:t xml:space="preserve">kamu kesimi tarafından </w:t>
      </w:r>
      <w:r w:rsidR="00015DC6" w:rsidRPr="00892A5F">
        <w:rPr>
          <w:rFonts w:ascii="Arial" w:hAnsi="Arial" w:cs="Arial"/>
          <w:b/>
          <w:i/>
          <w:sz w:val="22"/>
          <w:szCs w:val="22"/>
        </w:rPr>
        <w:t xml:space="preserve">alınan tedbirler </w:t>
      </w:r>
      <w:r w:rsidRPr="00892A5F">
        <w:rPr>
          <w:rFonts w:ascii="Arial" w:hAnsi="Arial" w:cs="Arial"/>
          <w:b/>
          <w:i/>
          <w:sz w:val="22"/>
          <w:szCs w:val="22"/>
        </w:rPr>
        <w:t xml:space="preserve">ve </w:t>
      </w:r>
      <w:r w:rsidR="007A4E4B">
        <w:rPr>
          <w:rFonts w:ascii="Arial" w:hAnsi="Arial" w:cs="Arial"/>
          <w:b/>
          <w:i/>
          <w:sz w:val="22"/>
          <w:szCs w:val="22"/>
        </w:rPr>
        <w:t xml:space="preserve">ihtiyati </w:t>
      </w:r>
      <w:r w:rsidRPr="00892A5F">
        <w:rPr>
          <w:rFonts w:ascii="Arial" w:hAnsi="Arial" w:cs="Arial"/>
          <w:b/>
          <w:i/>
          <w:sz w:val="22"/>
          <w:szCs w:val="22"/>
        </w:rPr>
        <w:t xml:space="preserve">düzenlemeler </w:t>
      </w:r>
      <w:r w:rsidR="00015DC6" w:rsidRPr="00892A5F">
        <w:rPr>
          <w:rFonts w:ascii="Arial" w:hAnsi="Arial" w:cs="Arial"/>
          <w:b/>
          <w:i/>
          <w:sz w:val="22"/>
          <w:szCs w:val="22"/>
        </w:rPr>
        <w:t xml:space="preserve">sonucu, kredi büyümesi </w:t>
      </w:r>
      <w:r w:rsidR="000E1602">
        <w:rPr>
          <w:rFonts w:ascii="Arial" w:hAnsi="Arial" w:cs="Arial"/>
          <w:b/>
          <w:i/>
          <w:sz w:val="22"/>
          <w:szCs w:val="22"/>
        </w:rPr>
        <w:t xml:space="preserve">yıllık bazda </w:t>
      </w:r>
      <w:r w:rsidR="00015DC6" w:rsidRPr="00892A5F">
        <w:rPr>
          <w:rFonts w:ascii="Arial" w:hAnsi="Arial" w:cs="Arial"/>
          <w:b/>
          <w:i/>
          <w:sz w:val="22"/>
          <w:szCs w:val="22"/>
        </w:rPr>
        <w:t xml:space="preserve">yavaşlamıştır. </w:t>
      </w:r>
      <w:r w:rsidRPr="00892A5F">
        <w:rPr>
          <w:rFonts w:ascii="Arial" w:hAnsi="Arial" w:cs="Arial"/>
          <w:b/>
          <w:i/>
          <w:sz w:val="22"/>
          <w:szCs w:val="22"/>
        </w:rPr>
        <w:t xml:space="preserve">Bankacılık sektörü yapılan düzenlemelere kısa sürede ve istenen yönde tepki vermiştir. </w:t>
      </w:r>
      <w:r w:rsidR="00015DC6" w:rsidRPr="00892A5F">
        <w:rPr>
          <w:rFonts w:ascii="Arial" w:hAnsi="Arial" w:cs="Arial"/>
          <w:b/>
          <w:i/>
          <w:sz w:val="22"/>
          <w:szCs w:val="22"/>
        </w:rPr>
        <w:t>Ticari kredi</w:t>
      </w:r>
      <w:r w:rsidR="000E1602">
        <w:rPr>
          <w:rFonts w:ascii="Arial" w:hAnsi="Arial" w:cs="Arial"/>
          <w:b/>
          <w:i/>
          <w:sz w:val="22"/>
          <w:szCs w:val="22"/>
        </w:rPr>
        <w:t>ler</w:t>
      </w:r>
      <w:r w:rsidR="00015DC6" w:rsidRPr="00892A5F">
        <w:rPr>
          <w:rFonts w:ascii="Arial" w:hAnsi="Arial" w:cs="Arial"/>
          <w:b/>
          <w:i/>
          <w:sz w:val="22"/>
          <w:szCs w:val="22"/>
        </w:rPr>
        <w:t xml:space="preserve"> </w:t>
      </w:r>
      <w:r w:rsidR="000E1602" w:rsidRPr="00892A5F">
        <w:rPr>
          <w:rFonts w:ascii="Arial" w:hAnsi="Arial" w:cs="Arial"/>
          <w:b/>
          <w:i/>
          <w:sz w:val="22"/>
          <w:szCs w:val="22"/>
        </w:rPr>
        <w:t xml:space="preserve">2014 yılının ilk çeyreğinde </w:t>
      </w:r>
      <w:r w:rsidR="000E1602">
        <w:rPr>
          <w:rFonts w:ascii="Arial" w:hAnsi="Arial" w:cs="Arial"/>
          <w:b/>
          <w:i/>
          <w:sz w:val="22"/>
          <w:szCs w:val="22"/>
        </w:rPr>
        <w:t>toplam aktiflerden daha hızlı artmış</w:t>
      </w:r>
      <w:r w:rsidRPr="00892A5F">
        <w:rPr>
          <w:rFonts w:ascii="Arial" w:hAnsi="Arial" w:cs="Arial"/>
          <w:b/>
          <w:i/>
          <w:sz w:val="22"/>
          <w:szCs w:val="22"/>
        </w:rPr>
        <w:t xml:space="preserve">; bireysel krediler ise </w:t>
      </w:r>
      <w:r w:rsidR="000E1602">
        <w:rPr>
          <w:rFonts w:ascii="Arial" w:hAnsi="Arial" w:cs="Arial"/>
          <w:b/>
          <w:i/>
          <w:sz w:val="22"/>
          <w:szCs w:val="22"/>
        </w:rPr>
        <w:t>daralmıştır</w:t>
      </w:r>
      <w:r w:rsidRPr="00892A5F">
        <w:rPr>
          <w:rFonts w:ascii="Arial" w:hAnsi="Arial" w:cs="Arial"/>
          <w:b/>
          <w:i/>
          <w:sz w:val="22"/>
          <w:szCs w:val="22"/>
        </w:rPr>
        <w:t xml:space="preserve">. </w:t>
      </w:r>
    </w:p>
    <w:p w:rsidR="00D47311" w:rsidRDefault="00D47311" w:rsidP="00CC3FDF">
      <w:pPr>
        <w:jc w:val="both"/>
        <w:rPr>
          <w:rFonts w:ascii="Arial" w:hAnsi="Arial" w:cs="Arial"/>
          <w:b/>
        </w:rPr>
      </w:pPr>
    </w:p>
    <w:p w:rsidR="00CC3FDF" w:rsidRPr="00326ED8" w:rsidRDefault="00CC3FDF" w:rsidP="00CC3FDF">
      <w:pPr>
        <w:jc w:val="both"/>
        <w:rPr>
          <w:rFonts w:ascii="Arial" w:hAnsi="Arial" w:cs="Arial"/>
          <w:b/>
        </w:rPr>
      </w:pPr>
      <w:r w:rsidRPr="00326ED8">
        <w:rPr>
          <w:rFonts w:ascii="Arial" w:hAnsi="Arial" w:cs="Arial"/>
          <w:b/>
        </w:rPr>
        <w:t>1. Genel Değerlendirme</w:t>
      </w:r>
    </w:p>
    <w:p w:rsidR="00CB11EF" w:rsidRPr="00326ED8" w:rsidRDefault="00CB11EF" w:rsidP="00203C7D">
      <w:pPr>
        <w:jc w:val="both"/>
        <w:rPr>
          <w:rFonts w:ascii="Arial" w:hAnsi="Arial"/>
          <w:b/>
        </w:rPr>
      </w:pPr>
    </w:p>
    <w:p w:rsidR="006B47AB" w:rsidRPr="00326ED8" w:rsidRDefault="007A473B" w:rsidP="00203C7D">
      <w:pPr>
        <w:jc w:val="both"/>
        <w:rPr>
          <w:rFonts w:ascii="Arial" w:hAnsi="Arial"/>
          <w:b/>
          <w:sz w:val="22"/>
          <w:szCs w:val="22"/>
        </w:rPr>
      </w:pPr>
      <w:r>
        <w:rPr>
          <w:rFonts w:ascii="Arial" w:hAnsi="Arial"/>
          <w:b/>
          <w:sz w:val="22"/>
          <w:szCs w:val="22"/>
        </w:rPr>
        <w:t>Küresel piyasalar daha sakin bir dönem geçirmekle birlikte belirsizlik devam etmiştir.</w:t>
      </w:r>
    </w:p>
    <w:p w:rsidR="00E27F76" w:rsidRPr="00326ED8" w:rsidRDefault="00E27F76" w:rsidP="00756539">
      <w:pPr>
        <w:jc w:val="both"/>
        <w:rPr>
          <w:rFonts w:ascii="Arial" w:hAnsi="Arial" w:cs="Arial"/>
          <w:sz w:val="22"/>
          <w:szCs w:val="22"/>
        </w:rPr>
      </w:pPr>
    </w:p>
    <w:p w:rsidR="00525553" w:rsidRPr="00326ED8" w:rsidRDefault="00525553" w:rsidP="00525553">
      <w:pPr>
        <w:pStyle w:val="BodyText"/>
        <w:rPr>
          <w:rFonts w:ascii="Arial" w:hAnsi="Arial" w:cs="Arial"/>
          <w:sz w:val="22"/>
          <w:szCs w:val="22"/>
        </w:rPr>
      </w:pPr>
      <w:r w:rsidRPr="00326ED8">
        <w:rPr>
          <w:rFonts w:ascii="Arial" w:hAnsi="Arial" w:cs="Arial"/>
          <w:sz w:val="22"/>
          <w:szCs w:val="22"/>
        </w:rPr>
        <w:t xml:space="preserve">2014 yılının ilk çeyreğinde, AB ekonomisine ilişkin verilerin nispeten olumlu bir tablo çizmesinin ardından ABD Merkez Bankası varlık alımlarını azaltmaya devam etmiş ve faiz artırım sürecine ilişkin vurgularını daha belirgin hale getirmiştir. </w:t>
      </w:r>
    </w:p>
    <w:p w:rsidR="00525553" w:rsidRPr="00326ED8" w:rsidRDefault="00525553" w:rsidP="00525553">
      <w:pPr>
        <w:pStyle w:val="BodyText"/>
        <w:rPr>
          <w:rFonts w:ascii="Arial" w:hAnsi="Arial" w:cs="Arial"/>
          <w:sz w:val="22"/>
          <w:szCs w:val="22"/>
        </w:rPr>
      </w:pPr>
    </w:p>
    <w:p w:rsidR="00525553" w:rsidRPr="00326ED8" w:rsidRDefault="00525553" w:rsidP="00525553">
      <w:pPr>
        <w:pStyle w:val="BodyText"/>
        <w:rPr>
          <w:rFonts w:ascii="Arial" w:hAnsi="Arial" w:cs="Arial"/>
          <w:sz w:val="22"/>
          <w:szCs w:val="22"/>
        </w:rPr>
      </w:pPr>
      <w:r w:rsidRPr="00326ED8">
        <w:rPr>
          <w:rFonts w:ascii="Arial" w:hAnsi="Arial" w:cs="Arial"/>
          <w:sz w:val="22"/>
          <w:szCs w:val="22"/>
        </w:rPr>
        <w:t xml:space="preserve">Avrupa’da </w:t>
      </w:r>
      <w:r w:rsidR="007A473B">
        <w:rPr>
          <w:rFonts w:ascii="Arial" w:hAnsi="Arial" w:cs="Arial"/>
          <w:sz w:val="22"/>
          <w:szCs w:val="22"/>
        </w:rPr>
        <w:t>yavaş da olsa</w:t>
      </w:r>
      <w:r w:rsidRPr="00326ED8">
        <w:rPr>
          <w:rFonts w:ascii="Arial" w:hAnsi="Arial" w:cs="Arial"/>
          <w:sz w:val="22"/>
          <w:szCs w:val="22"/>
        </w:rPr>
        <w:t xml:space="preserve"> canlanma</w:t>
      </w:r>
      <w:r w:rsidR="00CF451E" w:rsidRPr="00326ED8">
        <w:rPr>
          <w:rFonts w:ascii="Arial" w:hAnsi="Arial" w:cs="Arial"/>
          <w:sz w:val="22"/>
          <w:szCs w:val="22"/>
        </w:rPr>
        <w:t xml:space="preserve"> </w:t>
      </w:r>
      <w:r w:rsidR="007A473B">
        <w:rPr>
          <w:rFonts w:ascii="Arial" w:hAnsi="Arial" w:cs="Arial"/>
          <w:sz w:val="22"/>
          <w:szCs w:val="22"/>
        </w:rPr>
        <w:t>emarelerine</w:t>
      </w:r>
      <w:r w:rsidR="00CF451E" w:rsidRPr="00326ED8">
        <w:rPr>
          <w:rFonts w:ascii="Arial" w:hAnsi="Arial" w:cs="Arial"/>
          <w:sz w:val="22"/>
          <w:szCs w:val="22"/>
        </w:rPr>
        <w:t xml:space="preserve"> karşın, </w:t>
      </w:r>
      <w:r w:rsidR="007A473B">
        <w:rPr>
          <w:rFonts w:ascii="Arial" w:hAnsi="Arial" w:cs="Arial"/>
          <w:sz w:val="22"/>
          <w:szCs w:val="22"/>
        </w:rPr>
        <w:t>toparlanma sınırlı olmuş,</w:t>
      </w:r>
      <w:r w:rsidRPr="00326ED8">
        <w:rPr>
          <w:rFonts w:ascii="Arial" w:hAnsi="Arial" w:cs="Arial"/>
          <w:sz w:val="22"/>
          <w:szCs w:val="22"/>
        </w:rPr>
        <w:t xml:space="preserve"> bankacılık sektör</w:t>
      </w:r>
      <w:r w:rsidR="00CF451E" w:rsidRPr="00326ED8">
        <w:rPr>
          <w:rFonts w:ascii="Arial" w:hAnsi="Arial" w:cs="Arial"/>
          <w:sz w:val="22"/>
          <w:szCs w:val="22"/>
        </w:rPr>
        <w:t>üne ilişkin risk algılamaları</w:t>
      </w:r>
      <w:r w:rsidRPr="00326ED8">
        <w:rPr>
          <w:rFonts w:ascii="Arial" w:hAnsi="Arial" w:cs="Arial"/>
          <w:sz w:val="22"/>
          <w:szCs w:val="22"/>
        </w:rPr>
        <w:t xml:space="preserve"> </w:t>
      </w:r>
      <w:r w:rsidR="007A473B">
        <w:rPr>
          <w:rFonts w:ascii="Arial" w:hAnsi="Arial" w:cs="Arial"/>
          <w:sz w:val="22"/>
          <w:szCs w:val="22"/>
        </w:rPr>
        <w:t xml:space="preserve">yüksek kalmıştır. </w:t>
      </w:r>
      <w:r w:rsidRPr="00326ED8">
        <w:rPr>
          <w:rFonts w:ascii="Arial" w:hAnsi="Arial" w:cs="Arial"/>
          <w:sz w:val="22"/>
          <w:szCs w:val="22"/>
        </w:rPr>
        <w:t xml:space="preserve">Bu çerçevede, Avrupa Merkez Bankası’nın yeni bir parasal genişleme programını ortaya koyabileceği konusu gündemde kalmaya devam etmiştir. </w:t>
      </w:r>
    </w:p>
    <w:p w:rsidR="00525553" w:rsidRPr="00326ED8" w:rsidRDefault="00525553" w:rsidP="00525553">
      <w:pPr>
        <w:pStyle w:val="BodyText"/>
        <w:rPr>
          <w:rFonts w:ascii="Arial" w:hAnsi="Arial" w:cs="Arial"/>
          <w:sz w:val="22"/>
          <w:szCs w:val="22"/>
        </w:rPr>
      </w:pPr>
    </w:p>
    <w:p w:rsidR="00525553" w:rsidRPr="00326ED8" w:rsidRDefault="00525553" w:rsidP="00525553">
      <w:pPr>
        <w:pStyle w:val="BodyText"/>
        <w:rPr>
          <w:rFonts w:ascii="Arial" w:hAnsi="Arial" w:cs="Arial"/>
          <w:sz w:val="22"/>
          <w:szCs w:val="22"/>
        </w:rPr>
      </w:pPr>
      <w:r w:rsidRPr="00326ED8">
        <w:rPr>
          <w:rFonts w:ascii="Arial" w:hAnsi="Arial" w:cs="Arial"/>
          <w:sz w:val="22"/>
          <w:szCs w:val="22"/>
        </w:rPr>
        <w:t>Gelişmekte olan ülkelerde ise</w:t>
      </w:r>
      <w:r w:rsidR="007A473B">
        <w:rPr>
          <w:rFonts w:ascii="Arial" w:hAnsi="Arial" w:cs="Arial"/>
          <w:sz w:val="22"/>
          <w:szCs w:val="22"/>
        </w:rPr>
        <w:t xml:space="preserve"> büyüme gelişmiş ülkelerden daha yüksek bir hızda olmasına rağmen yavaşlayan bir seyir izlemiştir. Nitekim, </w:t>
      </w:r>
      <w:r w:rsidR="00D74F95" w:rsidRPr="00326ED8">
        <w:rPr>
          <w:rFonts w:ascii="Arial" w:hAnsi="Arial" w:cs="Arial"/>
          <w:sz w:val="22"/>
          <w:szCs w:val="22"/>
        </w:rPr>
        <w:t>Uluslararası Para Fonu</w:t>
      </w:r>
      <w:r w:rsidR="0099355B" w:rsidRPr="00326ED8">
        <w:rPr>
          <w:rFonts w:ascii="Arial" w:hAnsi="Arial" w:cs="Arial"/>
          <w:sz w:val="22"/>
          <w:szCs w:val="22"/>
        </w:rPr>
        <w:t xml:space="preserve"> gelişmiş ülkelere ilişkin 2014 büyüme tahminlerin</w:t>
      </w:r>
      <w:r w:rsidR="00D74F95" w:rsidRPr="00326ED8">
        <w:rPr>
          <w:rFonts w:ascii="Arial" w:hAnsi="Arial" w:cs="Arial"/>
          <w:sz w:val="22"/>
          <w:szCs w:val="22"/>
        </w:rPr>
        <w:t>d</w:t>
      </w:r>
      <w:r w:rsidR="0099355B" w:rsidRPr="00326ED8">
        <w:rPr>
          <w:rFonts w:ascii="Arial" w:hAnsi="Arial" w:cs="Arial"/>
          <w:sz w:val="22"/>
          <w:szCs w:val="22"/>
        </w:rPr>
        <w:t xml:space="preserve">e bir </w:t>
      </w:r>
      <w:r w:rsidR="00607397" w:rsidRPr="00326ED8">
        <w:rPr>
          <w:rFonts w:ascii="Arial" w:hAnsi="Arial" w:cs="Arial"/>
          <w:sz w:val="22"/>
          <w:szCs w:val="22"/>
        </w:rPr>
        <w:t>d</w:t>
      </w:r>
      <w:r w:rsidR="0099355B" w:rsidRPr="00326ED8">
        <w:rPr>
          <w:rFonts w:ascii="Arial" w:hAnsi="Arial" w:cs="Arial"/>
          <w:sz w:val="22"/>
          <w:szCs w:val="22"/>
        </w:rPr>
        <w:t>eğişikliğe gitme</w:t>
      </w:r>
      <w:r w:rsidR="00607397" w:rsidRPr="00326ED8">
        <w:rPr>
          <w:rFonts w:ascii="Arial" w:hAnsi="Arial" w:cs="Arial"/>
          <w:sz w:val="22"/>
          <w:szCs w:val="22"/>
        </w:rPr>
        <w:t xml:space="preserve">zken, gelişmekte olan ülkelerin </w:t>
      </w:r>
      <w:r w:rsidR="00D74F95" w:rsidRPr="00326ED8">
        <w:rPr>
          <w:rFonts w:ascii="Arial" w:hAnsi="Arial" w:cs="Arial"/>
          <w:sz w:val="22"/>
          <w:szCs w:val="22"/>
        </w:rPr>
        <w:t xml:space="preserve">büyüme </w:t>
      </w:r>
      <w:r w:rsidR="00607397" w:rsidRPr="00326ED8">
        <w:rPr>
          <w:rFonts w:ascii="Arial" w:hAnsi="Arial" w:cs="Arial"/>
          <w:sz w:val="22"/>
          <w:szCs w:val="22"/>
        </w:rPr>
        <w:t xml:space="preserve">tahminlerini aşağı yönde revize etmiştir. </w:t>
      </w:r>
    </w:p>
    <w:p w:rsidR="001471EC" w:rsidRPr="00326ED8" w:rsidRDefault="001471EC" w:rsidP="003D1BCF">
      <w:pPr>
        <w:jc w:val="both"/>
        <w:rPr>
          <w:rFonts w:ascii="Arial" w:hAnsi="Arial" w:cs="Arial"/>
          <w:sz w:val="22"/>
          <w:szCs w:val="22"/>
        </w:rPr>
      </w:pPr>
    </w:p>
    <w:p w:rsidR="00EC25A2" w:rsidRPr="00326ED8" w:rsidRDefault="00E6119C" w:rsidP="005D5ABD">
      <w:pPr>
        <w:jc w:val="both"/>
        <w:rPr>
          <w:rFonts w:ascii="Arial" w:hAnsi="Arial" w:cs="Arial"/>
          <w:sz w:val="22"/>
          <w:szCs w:val="22"/>
        </w:rPr>
      </w:pPr>
      <w:r w:rsidRPr="00326ED8">
        <w:rPr>
          <w:rFonts w:ascii="Arial" w:hAnsi="Arial" w:cs="Arial"/>
          <w:sz w:val="22"/>
          <w:szCs w:val="22"/>
        </w:rPr>
        <w:t>Türkiye’de</w:t>
      </w:r>
      <w:r w:rsidR="00B53264" w:rsidRPr="00326ED8">
        <w:rPr>
          <w:rFonts w:ascii="Arial" w:hAnsi="Arial" w:cs="Arial"/>
          <w:sz w:val="22"/>
          <w:szCs w:val="22"/>
        </w:rPr>
        <w:t>,</w:t>
      </w:r>
      <w:r w:rsidR="00F454A9" w:rsidRPr="00326ED8">
        <w:rPr>
          <w:rFonts w:ascii="Arial" w:hAnsi="Arial" w:cs="Arial"/>
          <w:sz w:val="22"/>
          <w:szCs w:val="22"/>
        </w:rPr>
        <w:t xml:space="preserve"> </w:t>
      </w:r>
      <w:r w:rsidR="00DC3014" w:rsidRPr="00326ED8">
        <w:rPr>
          <w:rFonts w:ascii="Arial" w:hAnsi="Arial" w:cs="Arial"/>
          <w:sz w:val="22"/>
          <w:szCs w:val="22"/>
        </w:rPr>
        <w:t xml:space="preserve">2014 yılının ilk çeyreğinde, ekonomik faaliyet </w:t>
      </w:r>
      <w:r w:rsidR="001471EC" w:rsidRPr="00326ED8">
        <w:rPr>
          <w:rFonts w:ascii="Arial" w:hAnsi="Arial" w:cs="Arial"/>
          <w:sz w:val="22"/>
          <w:szCs w:val="22"/>
        </w:rPr>
        <w:t>beklentilerden daha</w:t>
      </w:r>
      <w:r w:rsidR="00DC3014" w:rsidRPr="00326ED8">
        <w:rPr>
          <w:rFonts w:ascii="Arial" w:hAnsi="Arial" w:cs="Arial"/>
          <w:sz w:val="22"/>
          <w:szCs w:val="22"/>
        </w:rPr>
        <w:t xml:space="preserve"> canlı seyretmiş; kredi hacmi ve </w:t>
      </w:r>
      <w:r w:rsidR="001471EC" w:rsidRPr="00326ED8">
        <w:rPr>
          <w:rFonts w:ascii="Arial" w:hAnsi="Arial" w:cs="Arial"/>
          <w:sz w:val="22"/>
          <w:szCs w:val="22"/>
        </w:rPr>
        <w:t>sanayi üretimi artmış</w:t>
      </w:r>
      <w:r w:rsidR="007A473B">
        <w:rPr>
          <w:rFonts w:ascii="Arial" w:hAnsi="Arial" w:cs="Arial"/>
          <w:sz w:val="22"/>
          <w:szCs w:val="22"/>
        </w:rPr>
        <w:t>tır. E</w:t>
      </w:r>
      <w:r w:rsidR="00DC3014" w:rsidRPr="00326ED8">
        <w:rPr>
          <w:rFonts w:ascii="Arial" w:hAnsi="Arial" w:cs="Arial"/>
          <w:sz w:val="22"/>
          <w:szCs w:val="22"/>
        </w:rPr>
        <w:t xml:space="preserve">nflasyon </w:t>
      </w:r>
      <w:r w:rsidR="001471EC" w:rsidRPr="00326ED8">
        <w:rPr>
          <w:rFonts w:ascii="Arial" w:hAnsi="Arial" w:cs="Arial"/>
          <w:sz w:val="22"/>
          <w:szCs w:val="22"/>
        </w:rPr>
        <w:t xml:space="preserve">ise </w:t>
      </w:r>
      <w:r w:rsidR="00DC3014" w:rsidRPr="00326ED8">
        <w:rPr>
          <w:rFonts w:ascii="Arial" w:hAnsi="Arial" w:cs="Arial"/>
          <w:sz w:val="22"/>
          <w:szCs w:val="22"/>
        </w:rPr>
        <w:t>yükselmiştir. Öte yandan kamu maliyesinde disiplin korunmuş ve cari işlemler açığı daralmıştır.</w:t>
      </w:r>
      <w:r w:rsidR="001471EC" w:rsidRPr="00326ED8">
        <w:rPr>
          <w:rFonts w:ascii="Arial" w:hAnsi="Arial" w:cs="Arial"/>
          <w:sz w:val="22"/>
          <w:szCs w:val="22"/>
        </w:rPr>
        <w:t xml:space="preserve"> </w:t>
      </w:r>
    </w:p>
    <w:p w:rsidR="00EC25A2" w:rsidRDefault="00EC25A2" w:rsidP="005D5ABD">
      <w:pPr>
        <w:jc w:val="both"/>
        <w:rPr>
          <w:rFonts w:ascii="Arial" w:hAnsi="Arial" w:cs="Arial"/>
          <w:sz w:val="22"/>
          <w:szCs w:val="22"/>
        </w:rPr>
      </w:pPr>
    </w:p>
    <w:p w:rsidR="00FD1CAD" w:rsidRDefault="00FD1CAD" w:rsidP="005D5ABD">
      <w:pPr>
        <w:jc w:val="both"/>
        <w:rPr>
          <w:rFonts w:ascii="Arial" w:hAnsi="Arial" w:cs="Arial"/>
          <w:sz w:val="22"/>
          <w:szCs w:val="22"/>
        </w:rPr>
      </w:pPr>
    </w:p>
    <w:p w:rsidR="00FD1CAD" w:rsidRPr="00326ED8" w:rsidRDefault="00FD1CAD" w:rsidP="005D5ABD">
      <w:pPr>
        <w:jc w:val="both"/>
        <w:rPr>
          <w:rFonts w:ascii="Arial" w:hAnsi="Arial" w:cs="Arial"/>
          <w:sz w:val="22"/>
          <w:szCs w:val="22"/>
        </w:rPr>
      </w:pPr>
    </w:p>
    <w:p w:rsidR="00EC25A2" w:rsidRPr="00326ED8" w:rsidRDefault="00EC25A2" w:rsidP="005D5ABD">
      <w:pPr>
        <w:jc w:val="both"/>
        <w:rPr>
          <w:rFonts w:ascii="Arial" w:hAnsi="Arial"/>
          <w:b/>
          <w:sz w:val="22"/>
          <w:szCs w:val="22"/>
        </w:rPr>
      </w:pPr>
      <w:r w:rsidRPr="00326ED8">
        <w:rPr>
          <w:rFonts w:ascii="Arial" w:hAnsi="Arial"/>
          <w:b/>
          <w:sz w:val="22"/>
          <w:szCs w:val="22"/>
        </w:rPr>
        <w:lastRenderedPageBreak/>
        <w:t>Merkez Bankası ihti</w:t>
      </w:r>
      <w:r w:rsidR="00441B54" w:rsidRPr="00326ED8">
        <w:rPr>
          <w:rFonts w:ascii="Arial" w:hAnsi="Arial"/>
          <w:b/>
          <w:sz w:val="22"/>
          <w:szCs w:val="22"/>
        </w:rPr>
        <w:t>yatlı tutumunu devam ettirmiş, finansal istikrar vurgusunu artırmıştır</w:t>
      </w:r>
      <w:r w:rsidR="005D0E10" w:rsidRPr="00326ED8">
        <w:rPr>
          <w:rFonts w:ascii="Arial" w:hAnsi="Arial"/>
          <w:b/>
          <w:sz w:val="22"/>
          <w:szCs w:val="22"/>
        </w:rPr>
        <w:t>.</w:t>
      </w:r>
    </w:p>
    <w:p w:rsidR="00EC25A2" w:rsidRPr="00326ED8" w:rsidRDefault="00EC25A2" w:rsidP="005D5ABD">
      <w:pPr>
        <w:jc w:val="both"/>
        <w:rPr>
          <w:rFonts w:ascii="Arial" w:hAnsi="Arial" w:cs="Arial"/>
          <w:sz w:val="22"/>
          <w:szCs w:val="22"/>
        </w:rPr>
      </w:pPr>
    </w:p>
    <w:p w:rsidR="000E1602" w:rsidRDefault="007A473B" w:rsidP="00FD311E">
      <w:pPr>
        <w:jc w:val="both"/>
        <w:rPr>
          <w:rFonts w:ascii="Arial" w:hAnsi="Arial" w:cs="Arial"/>
          <w:sz w:val="22"/>
          <w:szCs w:val="22"/>
        </w:rPr>
      </w:pPr>
      <w:r>
        <w:rPr>
          <w:rFonts w:ascii="Arial" w:hAnsi="Arial" w:cs="Arial"/>
          <w:sz w:val="22"/>
          <w:szCs w:val="22"/>
        </w:rPr>
        <w:t xml:space="preserve">Küresel dalgalanmalar, cari açık, sermaye hareketleri ve enflasyon beklentileri nedeniyle parasal sıkılaştırmaya </w:t>
      </w:r>
      <w:r w:rsidR="000E1602">
        <w:rPr>
          <w:rFonts w:ascii="Arial" w:hAnsi="Arial" w:cs="Arial"/>
          <w:sz w:val="22"/>
          <w:szCs w:val="22"/>
        </w:rPr>
        <w:t xml:space="preserve">dönük </w:t>
      </w:r>
      <w:r>
        <w:rPr>
          <w:rFonts w:ascii="Arial" w:hAnsi="Arial" w:cs="Arial"/>
          <w:sz w:val="22"/>
          <w:szCs w:val="22"/>
        </w:rPr>
        <w:t>önlemler ve kredi büyümesini</w:t>
      </w:r>
      <w:r w:rsidR="000E1602">
        <w:rPr>
          <w:rFonts w:ascii="Arial" w:hAnsi="Arial" w:cs="Arial"/>
          <w:sz w:val="22"/>
          <w:szCs w:val="22"/>
        </w:rPr>
        <w:t>n</w:t>
      </w:r>
      <w:r>
        <w:rPr>
          <w:rFonts w:ascii="Arial" w:hAnsi="Arial" w:cs="Arial"/>
          <w:sz w:val="22"/>
          <w:szCs w:val="22"/>
        </w:rPr>
        <w:t xml:space="preserve"> yavaşlatılmasını amaçlayan ihtiyati bankacılık düzenlemeleri etkisini kısa sürede göstermiştir.</w:t>
      </w:r>
      <w:r w:rsidR="00FD311E">
        <w:rPr>
          <w:rFonts w:ascii="Arial" w:hAnsi="Arial" w:cs="Arial"/>
          <w:sz w:val="22"/>
          <w:szCs w:val="22"/>
        </w:rPr>
        <w:t xml:space="preserve"> </w:t>
      </w:r>
      <w:r w:rsidR="00FD1CAD">
        <w:rPr>
          <w:rFonts w:ascii="Arial" w:hAnsi="Arial" w:cs="Arial"/>
          <w:sz w:val="22"/>
          <w:szCs w:val="22"/>
        </w:rPr>
        <w:t>Ticari ve bireysel kredi artış hızı</w:t>
      </w:r>
      <w:r w:rsidR="000E1602">
        <w:rPr>
          <w:rFonts w:ascii="Arial" w:hAnsi="Arial" w:cs="Arial"/>
          <w:sz w:val="22"/>
          <w:szCs w:val="22"/>
        </w:rPr>
        <w:t xml:space="preserve"> farklılaşmıştır.</w:t>
      </w:r>
    </w:p>
    <w:p w:rsidR="000E1602" w:rsidRDefault="000E1602" w:rsidP="00FD311E">
      <w:pPr>
        <w:jc w:val="both"/>
        <w:rPr>
          <w:rFonts w:ascii="Arial" w:hAnsi="Arial" w:cs="Arial"/>
          <w:sz w:val="22"/>
          <w:szCs w:val="22"/>
        </w:rPr>
      </w:pPr>
    </w:p>
    <w:p w:rsidR="007A473B" w:rsidRDefault="007A473B" w:rsidP="00FD311E">
      <w:pPr>
        <w:jc w:val="both"/>
        <w:rPr>
          <w:rFonts w:ascii="Arial" w:hAnsi="Arial" w:cs="Arial"/>
          <w:sz w:val="22"/>
          <w:szCs w:val="22"/>
        </w:rPr>
      </w:pPr>
      <w:r>
        <w:rPr>
          <w:rFonts w:ascii="Arial" w:hAnsi="Arial" w:cs="Arial"/>
          <w:sz w:val="22"/>
          <w:szCs w:val="22"/>
        </w:rPr>
        <w:t>Politika faiz oranı yüzde 4,5’ten</w:t>
      </w:r>
      <w:r w:rsidR="0060474C" w:rsidRPr="00326ED8">
        <w:rPr>
          <w:rFonts w:ascii="Arial" w:hAnsi="Arial" w:cs="Arial"/>
          <w:sz w:val="22"/>
          <w:szCs w:val="22"/>
        </w:rPr>
        <w:t xml:space="preserve"> yüzde 10’a çıkarılm</w:t>
      </w:r>
      <w:r w:rsidR="000E1602">
        <w:rPr>
          <w:rFonts w:ascii="Arial" w:hAnsi="Arial" w:cs="Arial"/>
          <w:sz w:val="22"/>
          <w:szCs w:val="22"/>
        </w:rPr>
        <w:t>ış</w:t>
      </w:r>
      <w:r w:rsidR="00A33932">
        <w:rPr>
          <w:rFonts w:ascii="Arial" w:hAnsi="Arial" w:cs="Arial"/>
          <w:sz w:val="22"/>
          <w:szCs w:val="22"/>
        </w:rPr>
        <w:t>tır.</w:t>
      </w:r>
      <w:r w:rsidR="007A4E4B">
        <w:rPr>
          <w:rFonts w:ascii="Arial" w:hAnsi="Arial" w:cs="Arial"/>
          <w:sz w:val="22"/>
          <w:szCs w:val="22"/>
        </w:rPr>
        <w:t xml:space="preserve"> </w:t>
      </w:r>
      <w:r w:rsidR="00A33932">
        <w:rPr>
          <w:rFonts w:ascii="Arial" w:hAnsi="Arial" w:cs="Arial"/>
          <w:sz w:val="22"/>
          <w:szCs w:val="22"/>
        </w:rPr>
        <w:t>İ</w:t>
      </w:r>
      <w:r w:rsidR="007A4E4B">
        <w:rPr>
          <w:rFonts w:ascii="Arial" w:hAnsi="Arial" w:cs="Arial"/>
          <w:sz w:val="22"/>
          <w:szCs w:val="22"/>
        </w:rPr>
        <w:t>htiyati b</w:t>
      </w:r>
      <w:r>
        <w:rPr>
          <w:rFonts w:ascii="Arial" w:hAnsi="Arial" w:cs="Arial"/>
          <w:sz w:val="22"/>
          <w:szCs w:val="22"/>
        </w:rPr>
        <w:t xml:space="preserve">ankacılık önlemleri </w:t>
      </w:r>
      <w:r w:rsidR="00A33932">
        <w:rPr>
          <w:rFonts w:ascii="Arial" w:hAnsi="Arial" w:cs="Arial"/>
          <w:sz w:val="22"/>
          <w:szCs w:val="22"/>
        </w:rPr>
        <w:t xml:space="preserve">de </w:t>
      </w:r>
      <w:r w:rsidR="007A4E4B">
        <w:rPr>
          <w:rFonts w:ascii="Arial" w:hAnsi="Arial" w:cs="Arial"/>
          <w:sz w:val="22"/>
          <w:szCs w:val="22"/>
        </w:rPr>
        <w:t>yılın ilk çeyreğinde uygulanmaya devam edilmiştir.</w:t>
      </w:r>
    </w:p>
    <w:p w:rsidR="00892CF6" w:rsidRPr="00326ED8" w:rsidRDefault="007A473B" w:rsidP="00424298">
      <w:pPr>
        <w:autoSpaceDE w:val="0"/>
        <w:autoSpaceDN w:val="0"/>
        <w:adjustRightInd w:val="0"/>
        <w:jc w:val="both"/>
        <w:rPr>
          <w:rFonts w:ascii="Arial" w:hAnsi="Arial" w:cs="Arial"/>
          <w:sz w:val="22"/>
          <w:szCs w:val="22"/>
        </w:rPr>
      </w:pPr>
      <w:r w:rsidRPr="00326ED8">
        <w:rPr>
          <w:rFonts w:ascii="Arial" w:hAnsi="Arial" w:cs="Arial"/>
          <w:sz w:val="22"/>
          <w:szCs w:val="22"/>
        </w:rPr>
        <w:t xml:space="preserve"> </w:t>
      </w:r>
    </w:p>
    <w:p w:rsidR="00EC25A2" w:rsidRPr="00326ED8" w:rsidRDefault="00ED6789" w:rsidP="00D006AE">
      <w:pPr>
        <w:pStyle w:val="Default"/>
        <w:jc w:val="both"/>
        <w:rPr>
          <w:rFonts w:ascii="Arial" w:hAnsi="Arial"/>
          <w:b/>
          <w:color w:val="auto"/>
          <w:sz w:val="22"/>
          <w:szCs w:val="22"/>
          <w:lang w:eastAsia="en-US"/>
        </w:rPr>
      </w:pPr>
      <w:r w:rsidRPr="00326ED8">
        <w:rPr>
          <w:rFonts w:ascii="Arial" w:hAnsi="Arial"/>
          <w:b/>
          <w:color w:val="auto"/>
          <w:sz w:val="22"/>
          <w:szCs w:val="22"/>
          <w:lang w:eastAsia="en-US"/>
        </w:rPr>
        <w:t xml:space="preserve">Bilanço büyümesinin önemli kısmı </w:t>
      </w:r>
      <w:r w:rsidR="0060474C" w:rsidRPr="00326ED8">
        <w:rPr>
          <w:rFonts w:ascii="Arial" w:hAnsi="Arial"/>
          <w:b/>
          <w:color w:val="auto"/>
          <w:sz w:val="22"/>
          <w:szCs w:val="22"/>
          <w:lang w:eastAsia="en-US"/>
        </w:rPr>
        <w:t xml:space="preserve">ticari </w:t>
      </w:r>
      <w:r w:rsidRPr="00326ED8">
        <w:rPr>
          <w:rFonts w:ascii="Arial" w:hAnsi="Arial"/>
          <w:b/>
          <w:color w:val="auto"/>
          <w:sz w:val="22"/>
          <w:szCs w:val="22"/>
          <w:lang w:eastAsia="en-US"/>
        </w:rPr>
        <w:t>kredilerden</w:t>
      </w:r>
    </w:p>
    <w:p w:rsidR="00EC25A2" w:rsidRPr="00326ED8" w:rsidRDefault="00EC25A2" w:rsidP="00D006AE">
      <w:pPr>
        <w:pStyle w:val="Default"/>
        <w:jc w:val="both"/>
        <w:rPr>
          <w:rFonts w:ascii="Arial" w:hAnsi="Arial" w:cs="Arial"/>
          <w:color w:val="auto"/>
          <w:sz w:val="22"/>
          <w:szCs w:val="22"/>
          <w:lang w:eastAsia="en-US"/>
        </w:rPr>
      </w:pPr>
    </w:p>
    <w:p w:rsidR="007A473B" w:rsidRDefault="00BB2A2E" w:rsidP="00861749">
      <w:pPr>
        <w:pStyle w:val="Default"/>
        <w:jc w:val="both"/>
        <w:rPr>
          <w:rFonts w:ascii="Arial" w:hAnsi="Arial" w:cs="Arial"/>
          <w:color w:val="auto"/>
          <w:sz w:val="22"/>
          <w:szCs w:val="22"/>
          <w:lang w:eastAsia="en-US"/>
        </w:rPr>
      </w:pPr>
      <w:r w:rsidRPr="00326ED8">
        <w:rPr>
          <w:rFonts w:ascii="Arial" w:hAnsi="Arial" w:cs="Arial"/>
          <w:color w:val="auto"/>
          <w:sz w:val="22"/>
          <w:szCs w:val="22"/>
          <w:lang w:eastAsia="en-US"/>
        </w:rPr>
        <w:t>Fonlama maliyetinin yükselmesi, düzenlemelerin sıkılaştırılması</w:t>
      </w:r>
      <w:r w:rsidR="007A473B">
        <w:rPr>
          <w:rFonts w:ascii="Arial" w:hAnsi="Arial" w:cs="Arial"/>
          <w:color w:val="auto"/>
          <w:sz w:val="22"/>
          <w:szCs w:val="22"/>
          <w:lang w:eastAsia="en-US"/>
        </w:rPr>
        <w:t>na bağlı olarak yıllık kredi büyümesi d</w:t>
      </w:r>
      <w:r w:rsidR="007A4E4B">
        <w:rPr>
          <w:rFonts w:ascii="Arial" w:hAnsi="Arial" w:cs="Arial"/>
          <w:color w:val="auto"/>
          <w:sz w:val="22"/>
          <w:szCs w:val="22"/>
          <w:lang w:eastAsia="en-US"/>
        </w:rPr>
        <w:t>ikkate çeken bir hızda yavaşlamıştır</w:t>
      </w:r>
      <w:r w:rsidR="007A473B">
        <w:rPr>
          <w:rFonts w:ascii="Arial" w:hAnsi="Arial" w:cs="Arial"/>
          <w:color w:val="auto"/>
          <w:sz w:val="22"/>
          <w:szCs w:val="22"/>
          <w:lang w:eastAsia="en-US"/>
        </w:rPr>
        <w:t xml:space="preserve">. Yavaşlama özellikle  </w:t>
      </w:r>
      <w:r w:rsidRPr="00326ED8">
        <w:rPr>
          <w:rFonts w:ascii="Arial" w:hAnsi="Arial" w:cs="Arial"/>
          <w:color w:val="auto"/>
          <w:sz w:val="22"/>
          <w:szCs w:val="22"/>
          <w:lang w:eastAsia="en-US"/>
        </w:rPr>
        <w:t xml:space="preserve"> </w:t>
      </w:r>
      <w:r w:rsidR="007A473B">
        <w:rPr>
          <w:rFonts w:ascii="Arial" w:hAnsi="Arial" w:cs="Arial"/>
          <w:color w:val="auto"/>
          <w:sz w:val="22"/>
          <w:szCs w:val="22"/>
          <w:lang w:eastAsia="en-US"/>
        </w:rPr>
        <w:t xml:space="preserve">bireysel kredilerde </w:t>
      </w:r>
      <w:r w:rsidR="007A4E4B">
        <w:rPr>
          <w:rFonts w:ascii="Arial" w:hAnsi="Arial" w:cs="Arial"/>
          <w:color w:val="auto"/>
          <w:sz w:val="22"/>
          <w:szCs w:val="22"/>
          <w:lang w:eastAsia="en-US"/>
        </w:rPr>
        <w:t>gerçekleşmiştir</w:t>
      </w:r>
      <w:r w:rsidR="007A473B">
        <w:rPr>
          <w:rFonts w:ascii="Arial" w:hAnsi="Arial" w:cs="Arial"/>
          <w:color w:val="auto"/>
          <w:sz w:val="22"/>
          <w:szCs w:val="22"/>
          <w:lang w:eastAsia="en-US"/>
        </w:rPr>
        <w:t>. Öter yandan, kaynak maliyetinin artması ve f</w:t>
      </w:r>
      <w:r w:rsidRPr="00326ED8">
        <w:rPr>
          <w:rFonts w:ascii="Arial" w:hAnsi="Arial" w:cs="Arial"/>
          <w:color w:val="auto"/>
          <w:sz w:val="22"/>
          <w:szCs w:val="22"/>
          <w:lang w:eastAsia="en-US"/>
        </w:rPr>
        <w:t>inansal varlık fiyatlarının yükselmesi sonucu</w:t>
      </w:r>
      <w:r w:rsidR="007A473B">
        <w:rPr>
          <w:rFonts w:ascii="Arial" w:hAnsi="Arial" w:cs="Arial"/>
          <w:color w:val="auto"/>
          <w:sz w:val="22"/>
          <w:szCs w:val="22"/>
          <w:lang w:eastAsia="en-US"/>
        </w:rPr>
        <w:t xml:space="preserve">, vade yapısının da etkisiyle  </w:t>
      </w:r>
      <w:r w:rsidR="007A4E4B">
        <w:rPr>
          <w:rFonts w:ascii="Arial" w:hAnsi="Arial" w:cs="Arial"/>
          <w:color w:val="auto"/>
          <w:sz w:val="22"/>
          <w:szCs w:val="22"/>
          <w:lang w:eastAsia="en-US"/>
        </w:rPr>
        <w:t xml:space="preserve">bankacılık sektörünün </w:t>
      </w:r>
      <w:r w:rsidRPr="00326ED8">
        <w:rPr>
          <w:rFonts w:ascii="Arial" w:hAnsi="Arial" w:cs="Arial"/>
          <w:color w:val="auto"/>
          <w:sz w:val="22"/>
          <w:szCs w:val="22"/>
          <w:lang w:eastAsia="en-US"/>
        </w:rPr>
        <w:t>kar marjı daralmış</w:t>
      </w:r>
      <w:r w:rsidR="007A473B">
        <w:rPr>
          <w:rFonts w:ascii="Arial" w:hAnsi="Arial" w:cs="Arial"/>
          <w:color w:val="auto"/>
          <w:sz w:val="22"/>
          <w:szCs w:val="22"/>
          <w:lang w:eastAsia="en-US"/>
        </w:rPr>
        <w:t xml:space="preserve">tır. </w:t>
      </w:r>
    </w:p>
    <w:p w:rsidR="007A473B" w:rsidRDefault="007A473B" w:rsidP="00861749">
      <w:pPr>
        <w:pStyle w:val="Default"/>
        <w:jc w:val="both"/>
        <w:rPr>
          <w:rFonts w:ascii="Arial" w:hAnsi="Arial" w:cs="Arial"/>
          <w:color w:val="auto"/>
          <w:sz w:val="22"/>
          <w:szCs w:val="22"/>
          <w:lang w:eastAsia="en-US"/>
        </w:rPr>
      </w:pPr>
    </w:p>
    <w:p w:rsidR="00861749" w:rsidRPr="00326ED8" w:rsidRDefault="007A4E4B" w:rsidP="00861749">
      <w:pPr>
        <w:pStyle w:val="Default"/>
        <w:jc w:val="both"/>
        <w:rPr>
          <w:rFonts w:ascii="Arial" w:hAnsi="Arial" w:cs="Arial"/>
          <w:color w:val="auto"/>
          <w:sz w:val="22"/>
          <w:szCs w:val="22"/>
          <w:lang w:eastAsia="en-US"/>
        </w:rPr>
      </w:pPr>
      <w:r>
        <w:rPr>
          <w:rFonts w:ascii="Arial" w:hAnsi="Arial" w:cs="Arial"/>
          <w:color w:val="auto"/>
          <w:sz w:val="22"/>
          <w:szCs w:val="22"/>
          <w:lang w:eastAsia="en-US"/>
        </w:rPr>
        <w:t>Y</w:t>
      </w:r>
      <w:r w:rsidR="00BB2A2E" w:rsidRPr="00326ED8">
        <w:rPr>
          <w:rFonts w:ascii="Arial" w:hAnsi="Arial" w:cs="Arial"/>
          <w:color w:val="auto"/>
          <w:sz w:val="22"/>
          <w:szCs w:val="22"/>
          <w:lang w:eastAsia="en-US"/>
        </w:rPr>
        <w:t>ılın ilk çeyreğinde kar hacmi geçen yılın aynı dönemine göre yüzde 19 azalmıştır.</w:t>
      </w:r>
      <w:r w:rsidR="00861749" w:rsidRPr="00326ED8">
        <w:rPr>
          <w:rFonts w:ascii="Arial" w:hAnsi="Arial" w:cs="Arial"/>
          <w:color w:val="auto"/>
          <w:sz w:val="22"/>
          <w:szCs w:val="22"/>
          <w:lang w:eastAsia="en-US"/>
        </w:rPr>
        <w:t xml:space="preserve"> Kar hacmindeki gerileme paralelinde </w:t>
      </w:r>
      <w:r w:rsidR="00861749" w:rsidRPr="00326ED8">
        <w:rPr>
          <w:rFonts w:ascii="Arial" w:hAnsi="Arial" w:cs="Arial"/>
          <w:color w:val="auto"/>
          <w:sz w:val="22"/>
          <w:szCs w:val="22"/>
        </w:rPr>
        <w:t>karlılık oranları da düşmüştür. Yıllık bazda özkaynak karlılığı Mart 2014’te yüzde 12,5, aktif karlılığı ise yüzde 1,7 seviyesinde gerçekleşmiştir</w:t>
      </w:r>
    </w:p>
    <w:p w:rsidR="00BB2A2E" w:rsidRPr="00326ED8" w:rsidRDefault="00BB2A2E" w:rsidP="0033513E">
      <w:pPr>
        <w:pStyle w:val="Default"/>
        <w:jc w:val="both"/>
        <w:rPr>
          <w:rFonts w:ascii="Arial" w:hAnsi="Arial" w:cs="Arial"/>
          <w:color w:val="auto"/>
          <w:sz w:val="22"/>
          <w:szCs w:val="22"/>
          <w:lang w:eastAsia="en-US"/>
        </w:rPr>
      </w:pPr>
    </w:p>
    <w:p w:rsidR="00861749" w:rsidRPr="00326ED8" w:rsidRDefault="00BB2A2E" w:rsidP="0033513E">
      <w:pPr>
        <w:pStyle w:val="Default"/>
        <w:jc w:val="both"/>
        <w:rPr>
          <w:rFonts w:ascii="Arial" w:hAnsi="Arial" w:cs="Arial"/>
          <w:color w:val="auto"/>
          <w:sz w:val="22"/>
          <w:szCs w:val="22"/>
          <w:lang w:eastAsia="en-US"/>
        </w:rPr>
      </w:pPr>
      <w:r w:rsidRPr="00326ED8">
        <w:rPr>
          <w:rFonts w:ascii="Arial" w:hAnsi="Arial" w:cs="Arial"/>
          <w:color w:val="auto"/>
          <w:sz w:val="22"/>
          <w:szCs w:val="22"/>
          <w:lang w:eastAsia="en-US"/>
        </w:rPr>
        <w:t xml:space="preserve">Yılın ilk çeyreğinde toplam aktifler yüzde 3,7 (65 milyar TL) büyümüş, bu artışın yüzde 60’ı yeni ticari kredi sağlamakta kullanılmıştır. Bireysel krediler ise yılın ilk çeyreğinde sınırlı bir azalma göstermiştir. </w:t>
      </w:r>
    </w:p>
    <w:p w:rsidR="00861749" w:rsidRPr="00326ED8" w:rsidRDefault="00861749" w:rsidP="0033513E">
      <w:pPr>
        <w:pStyle w:val="Default"/>
        <w:jc w:val="both"/>
        <w:rPr>
          <w:rFonts w:ascii="Arial" w:hAnsi="Arial" w:cs="Arial"/>
          <w:color w:val="auto"/>
          <w:sz w:val="22"/>
          <w:szCs w:val="22"/>
          <w:lang w:eastAsia="en-US"/>
        </w:rPr>
      </w:pPr>
    </w:p>
    <w:p w:rsidR="00BB2A2E" w:rsidRPr="00326ED8" w:rsidRDefault="00BB2A2E" w:rsidP="0033513E">
      <w:pPr>
        <w:pStyle w:val="Default"/>
        <w:jc w:val="both"/>
        <w:rPr>
          <w:rFonts w:ascii="Arial" w:hAnsi="Arial" w:cs="Arial"/>
          <w:color w:val="auto"/>
          <w:sz w:val="22"/>
          <w:szCs w:val="22"/>
          <w:lang w:eastAsia="en-US"/>
        </w:rPr>
      </w:pPr>
      <w:r w:rsidRPr="00326ED8">
        <w:rPr>
          <w:rFonts w:ascii="Arial" w:hAnsi="Arial" w:cs="Arial"/>
          <w:color w:val="auto"/>
          <w:sz w:val="22"/>
          <w:szCs w:val="22"/>
          <w:lang w:eastAsia="en-US"/>
        </w:rPr>
        <w:t xml:space="preserve">Sağlanan </w:t>
      </w:r>
      <w:r w:rsidR="00861749" w:rsidRPr="00326ED8">
        <w:rPr>
          <w:rFonts w:ascii="Arial" w:hAnsi="Arial" w:cs="Arial"/>
          <w:color w:val="auto"/>
          <w:sz w:val="22"/>
          <w:szCs w:val="22"/>
          <w:lang w:eastAsia="en-US"/>
        </w:rPr>
        <w:t>kaynakların</w:t>
      </w:r>
      <w:r w:rsidRPr="00326ED8">
        <w:rPr>
          <w:rFonts w:ascii="Arial" w:hAnsi="Arial" w:cs="Arial"/>
          <w:color w:val="auto"/>
          <w:sz w:val="22"/>
          <w:szCs w:val="22"/>
          <w:lang w:eastAsia="en-US"/>
        </w:rPr>
        <w:t xml:space="preserve"> finansmanında repo işlemlerinden sağlanan fonlar, özkaynaklar ve yabancı para mevduat önemli kalemler olmuştur. </w:t>
      </w:r>
      <w:r w:rsidR="00861749" w:rsidRPr="00326ED8">
        <w:rPr>
          <w:rFonts w:ascii="Arial" w:hAnsi="Arial" w:cs="Arial"/>
          <w:color w:val="auto"/>
          <w:sz w:val="22"/>
          <w:szCs w:val="22"/>
          <w:lang w:eastAsia="en-US"/>
        </w:rPr>
        <w:t>TL mevduat azalmıştır.</w:t>
      </w:r>
    </w:p>
    <w:p w:rsidR="00764C16" w:rsidRPr="00326ED8" w:rsidRDefault="00764C16" w:rsidP="00764C16">
      <w:pPr>
        <w:jc w:val="both"/>
        <w:rPr>
          <w:rFonts w:ascii="Arial" w:hAnsi="Arial" w:cs="Arial"/>
          <w:sz w:val="22"/>
          <w:szCs w:val="22"/>
        </w:rPr>
      </w:pPr>
    </w:p>
    <w:p w:rsidR="00861749" w:rsidRPr="00326ED8" w:rsidRDefault="00861749" w:rsidP="00764C16">
      <w:pPr>
        <w:jc w:val="both"/>
        <w:rPr>
          <w:rFonts w:ascii="Arial" w:hAnsi="Arial" w:cs="Arial"/>
          <w:sz w:val="22"/>
          <w:szCs w:val="22"/>
        </w:rPr>
      </w:pPr>
      <w:r w:rsidRPr="00326ED8">
        <w:rPr>
          <w:rFonts w:ascii="Arial" w:hAnsi="Arial" w:cs="Arial"/>
          <w:sz w:val="22"/>
          <w:szCs w:val="22"/>
        </w:rPr>
        <w:t>Ticari kredi</w:t>
      </w:r>
      <w:r w:rsidR="007A4E4B">
        <w:rPr>
          <w:rFonts w:ascii="Arial" w:hAnsi="Arial" w:cs="Arial"/>
          <w:sz w:val="22"/>
          <w:szCs w:val="22"/>
        </w:rPr>
        <w:t>lerin bilanço büyüklüğünden daha hızlı artması</w:t>
      </w:r>
      <w:r w:rsidRPr="00326ED8">
        <w:rPr>
          <w:rFonts w:ascii="Arial" w:hAnsi="Arial" w:cs="Arial"/>
          <w:sz w:val="22"/>
          <w:szCs w:val="22"/>
        </w:rPr>
        <w:t xml:space="preserve"> ve daralan kar hacmi, sermaye yeterliliğini olumsuz etkilemiştir. Sermaye yeterliliği yılın ilk çeyreğinde 1,7 puan azalarak, yüzde 15,8’e gerilemiştir.</w:t>
      </w:r>
    </w:p>
    <w:p w:rsidR="00764C16" w:rsidRPr="00326ED8" w:rsidRDefault="00861749" w:rsidP="00764C16">
      <w:pPr>
        <w:jc w:val="both"/>
        <w:rPr>
          <w:rFonts w:ascii="Arial" w:hAnsi="Arial" w:cs="Arial"/>
          <w:sz w:val="22"/>
          <w:szCs w:val="22"/>
        </w:rPr>
      </w:pPr>
      <w:r w:rsidRPr="00326ED8">
        <w:rPr>
          <w:rFonts w:ascii="Arial" w:hAnsi="Arial" w:cs="Arial"/>
          <w:sz w:val="22"/>
          <w:szCs w:val="22"/>
        </w:rPr>
        <w:t xml:space="preserve"> </w:t>
      </w:r>
    </w:p>
    <w:p w:rsidR="00CB11EF" w:rsidRPr="00326ED8" w:rsidRDefault="00641A2F" w:rsidP="00CC3FDF">
      <w:pPr>
        <w:jc w:val="both"/>
        <w:rPr>
          <w:rFonts w:ascii="Arial" w:hAnsi="Arial" w:cs="Arial"/>
          <w:b/>
          <w:sz w:val="22"/>
          <w:szCs w:val="22"/>
        </w:rPr>
      </w:pPr>
      <w:bookmarkStart w:id="1" w:name="OLE_LINK17"/>
      <w:bookmarkStart w:id="2" w:name="OLE_LINK18"/>
      <w:r w:rsidRPr="00326ED8">
        <w:rPr>
          <w:rFonts w:ascii="Arial" w:hAnsi="Arial" w:cs="Arial"/>
          <w:b/>
          <w:sz w:val="22"/>
          <w:szCs w:val="22"/>
        </w:rPr>
        <w:t>2.</w:t>
      </w:r>
      <w:r w:rsidR="00CB11EF" w:rsidRPr="00326ED8">
        <w:rPr>
          <w:rFonts w:ascii="Arial" w:hAnsi="Arial" w:cs="Arial"/>
          <w:b/>
          <w:sz w:val="22"/>
          <w:szCs w:val="22"/>
        </w:rPr>
        <w:t xml:space="preserve"> Bilanço Gelişmeleri</w:t>
      </w:r>
    </w:p>
    <w:p w:rsidR="00CB11EF" w:rsidRPr="00326ED8" w:rsidRDefault="00CB11EF" w:rsidP="005A6CD3">
      <w:pPr>
        <w:pStyle w:val="BodyText"/>
        <w:rPr>
          <w:rFonts w:ascii="Arial" w:hAnsi="Arial" w:cs="Arial"/>
          <w:sz w:val="22"/>
          <w:szCs w:val="22"/>
        </w:rPr>
      </w:pPr>
    </w:p>
    <w:p w:rsidR="00811D7B" w:rsidRDefault="00736644" w:rsidP="00EC25A2">
      <w:pPr>
        <w:pStyle w:val="BodyText"/>
        <w:rPr>
          <w:rFonts w:ascii="Arial" w:hAnsi="Arial" w:cs="Arial"/>
          <w:sz w:val="22"/>
          <w:szCs w:val="22"/>
        </w:rPr>
      </w:pPr>
      <w:r w:rsidRPr="00326ED8">
        <w:rPr>
          <w:rFonts w:ascii="Arial" w:hAnsi="Arial" w:cs="Arial"/>
          <w:sz w:val="22"/>
          <w:szCs w:val="22"/>
        </w:rPr>
        <w:t xml:space="preserve">Bilanço toplamı, </w:t>
      </w:r>
      <w:r w:rsidR="00BE37B1" w:rsidRPr="00326ED8">
        <w:rPr>
          <w:rFonts w:ascii="Arial" w:hAnsi="Arial" w:cs="Arial"/>
          <w:sz w:val="22"/>
          <w:szCs w:val="22"/>
        </w:rPr>
        <w:t>Mart</w:t>
      </w:r>
      <w:r w:rsidR="00CD4D78" w:rsidRPr="00326ED8">
        <w:rPr>
          <w:rFonts w:ascii="Arial" w:hAnsi="Arial" w:cs="Arial"/>
          <w:sz w:val="22"/>
          <w:szCs w:val="22"/>
        </w:rPr>
        <w:t xml:space="preserve"> 201</w:t>
      </w:r>
      <w:r w:rsidR="00D43501" w:rsidRPr="00326ED8">
        <w:rPr>
          <w:rFonts w:ascii="Arial" w:hAnsi="Arial" w:cs="Arial"/>
          <w:sz w:val="22"/>
          <w:szCs w:val="22"/>
        </w:rPr>
        <w:t>4</w:t>
      </w:r>
      <w:r w:rsidR="0055654D" w:rsidRPr="00326ED8">
        <w:rPr>
          <w:rFonts w:ascii="Arial" w:hAnsi="Arial" w:cs="Arial"/>
          <w:sz w:val="22"/>
          <w:szCs w:val="22"/>
        </w:rPr>
        <w:t xml:space="preserve"> itibariyle</w:t>
      </w:r>
      <w:r w:rsidR="005A6CD3" w:rsidRPr="00326ED8">
        <w:rPr>
          <w:rFonts w:ascii="Arial" w:hAnsi="Arial" w:cs="Arial"/>
          <w:sz w:val="22"/>
          <w:szCs w:val="22"/>
        </w:rPr>
        <w:t>, geçen y</w:t>
      </w:r>
      <w:r w:rsidR="00BB7A53" w:rsidRPr="00326ED8">
        <w:rPr>
          <w:rFonts w:ascii="Arial" w:hAnsi="Arial" w:cs="Arial"/>
          <w:sz w:val="22"/>
          <w:szCs w:val="22"/>
        </w:rPr>
        <w:t xml:space="preserve">ılın aynı dönemine göre </w:t>
      </w:r>
      <w:r w:rsidR="009767FB" w:rsidRPr="00326ED8">
        <w:rPr>
          <w:rFonts w:ascii="Arial" w:hAnsi="Arial" w:cs="Arial"/>
          <w:sz w:val="22"/>
          <w:szCs w:val="22"/>
        </w:rPr>
        <w:t xml:space="preserve">TL bazında </w:t>
      </w:r>
      <w:r w:rsidR="00BB7A53" w:rsidRPr="00326ED8">
        <w:rPr>
          <w:rFonts w:ascii="Arial" w:hAnsi="Arial" w:cs="Arial"/>
          <w:sz w:val="22"/>
          <w:szCs w:val="22"/>
        </w:rPr>
        <w:t xml:space="preserve">yüzde </w:t>
      </w:r>
      <w:r w:rsidR="00D43501" w:rsidRPr="00326ED8">
        <w:rPr>
          <w:rFonts w:ascii="Arial" w:hAnsi="Arial" w:cs="Arial"/>
          <w:sz w:val="22"/>
          <w:szCs w:val="22"/>
        </w:rPr>
        <w:t>26</w:t>
      </w:r>
      <w:r w:rsidR="00DA2D8F" w:rsidRPr="00326ED8">
        <w:rPr>
          <w:rFonts w:ascii="Arial" w:hAnsi="Arial" w:cs="Arial"/>
          <w:sz w:val="22"/>
          <w:szCs w:val="22"/>
        </w:rPr>
        <w:t xml:space="preserve"> oranında büyüyerek </w:t>
      </w:r>
      <w:r w:rsidR="00B377A8" w:rsidRPr="00326ED8">
        <w:rPr>
          <w:rFonts w:ascii="Arial" w:hAnsi="Arial" w:cs="Arial"/>
          <w:sz w:val="22"/>
          <w:szCs w:val="22"/>
        </w:rPr>
        <w:t>1</w:t>
      </w:r>
      <w:r w:rsidR="00EF0855" w:rsidRPr="00326ED8">
        <w:rPr>
          <w:rFonts w:ascii="Arial" w:hAnsi="Arial" w:cs="Arial"/>
          <w:sz w:val="22"/>
          <w:szCs w:val="22"/>
        </w:rPr>
        <w:t>.</w:t>
      </w:r>
      <w:r w:rsidR="00D43501" w:rsidRPr="00326ED8">
        <w:rPr>
          <w:rFonts w:ascii="Arial" w:hAnsi="Arial" w:cs="Arial"/>
          <w:sz w:val="22"/>
          <w:szCs w:val="22"/>
        </w:rPr>
        <w:t>701</w:t>
      </w:r>
      <w:r w:rsidR="005A6CD3" w:rsidRPr="00326ED8">
        <w:rPr>
          <w:rFonts w:ascii="Arial" w:hAnsi="Arial" w:cs="Arial"/>
          <w:sz w:val="22"/>
          <w:szCs w:val="22"/>
        </w:rPr>
        <w:t xml:space="preserve"> milyar TL </w:t>
      </w:r>
      <w:r w:rsidR="009767FB" w:rsidRPr="00326ED8">
        <w:rPr>
          <w:rFonts w:ascii="Arial" w:hAnsi="Arial" w:cs="Arial"/>
          <w:sz w:val="22"/>
          <w:szCs w:val="22"/>
        </w:rPr>
        <w:t>(</w:t>
      </w:r>
      <w:r w:rsidR="00D43501" w:rsidRPr="00326ED8">
        <w:rPr>
          <w:rFonts w:ascii="Arial" w:hAnsi="Arial" w:cs="Arial"/>
          <w:sz w:val="22"/>
          <w:szCs w:val="22"/>
        </w:rPr>
        <w:t>789</w:t>
      </w:r>
      <w:r w:rsidR="005A6CD3" w:rsidRPr="00326ED8">
        <w:rPr>
          <w:rFonts w:ascii="Arial" w:hAnsi="Arial" w:cs="Arial"/>
          <w:sz w:val="22"/>
          <w:szCs w:val="22"/>
        </w:rPr>
        <w:t xml:space="preserve"> milyar dolar) olmuştur. </w:t>
      </w:r>
    </w:p>
    <w:p w:rsidR="004A33DD" w:rsidRDefault="004A33DD" w:rsidP="00EC25A2">
      <w:pPr>
        <w:pStyle w:val="BodyText"/>
        <w:rPr>
          <w:rFonts w:ascii="Arial" w:hAnsi="Arial" w:cs="Arial"/>
          <w:sz w:val="22"/>
          <w:szCs w:val="22"/>
        </w:rPr>
      </w:pPr>
    </w:p>
    <w:p w:rsidR="004A33DD" w:rsidRPr="00326ED8" w:rsidRDefault="004A33DD" w:rsidP="004A33DD">
      <w:pPr>
        <w:pStyle w:val="BodyText"/>
        <w:rPr>
          <w:rFonts w:ascii="Arial" w:hAnsi="Arial" w:cs="Arial"/>
          <w:sz w:val="22"/>
          <w:szCs w:val="22"/>
        </w:rPr>
      </w:pPr>
      <w:r w:rsidRPr="00326ED8">
        <w:rPr>
          <w:rFonts w:ascii="Arial" w:hAnsi="Arial" w:cs="Arial"/>
          <w:sz w:val="22"/>
          <w:szCs w:val="22"/>
        </w:rPr>
        <w:t xml:space="preserve">Mart 2013’e kıyasla, toplam aktifler mevduat bankalarında yüzde 25, kalkınma ve yatırım bankalarında ise yüzde 42 oranında artmıştır. </w:t>
      </w:r>
    </w:p>
    <w:p w:rsidR="00811D7B" w:rsidRDefault="00811D7B" w:rsidP="00EC25A2">
      <w:pPr>
        <w:pStyle w:val="BodyText"/>
        <w:rPr>
          <w:rFonts w:ascii="Arial" w:hAnsi="Arial" w:cs="Arial"/>
          <w:b/>
          <w:sz w:val="22"/>
          <w:szCs w:val="22"/>
        </w:rPr>
      </w:pPr>
    </w:p>
    <w:p w:rsidR="007A4E4B" w:rsidRPr="00326ED8" w:rsidRDefault="007A4E4B" w:rsidP="007A4E4B">
      <w:pPr>
        <w:pStyle w:val="BodyText"/>
        <w:rPr>
          <w:rFonts w:ascii="Arial" w:hAnsi="Arial" w:cs="Arial"/>
          <w:sz w:val="22"/>
          <w:szCs w:val="22"/>
        </w:rPr>
      </w:pPr>
      <w:r w:rsidRPr="00326ED8">
        <w:rPr>
          <w:rFonts w:ascii="Arial" w:hAnsi="Arial" w:cs="Arial"/>
          <w:sz w:val="22"/>
          <w:szCs w:val="22"/>
        </w:rPr>
        <w:t xml:space="preserve">Mart 2014 itibariyle, geçen yılın aynı dönemine göre, toplam aktifler içinde kamu bankalarının payı 1 puan artarken, yabancı bankaların payı ise 2 puan artmıştır. Kredi stoku içinde, kalkınma, kamu ve yabancı bankalarının payı 1’er puan artarken, özel bankaların toplam krediler içindeki payı ise 3 puan azalmıştır. </w:t>
      </w:r>
    </w:p>
    <w:p w:rsidR="007A4E4B" w:rsidRDefault="007A4E4B" w:rsidP="007A4E4B">
      <w:pPr>
        <w:jc w:val="both"/>
        <w:rPr>
          <w:rFonts w:ascii="Arial" w:hAnsi="Arial" w:cs="Arial"/>
          <w:sz w:val="22"/>
          <w:szCs w:val="22"/>
        </w:rPr>
      </w:pPr>
    </w:p>
    <w:p w:rsidR="007A4E4B" w:rsidRPr="00326ED8" w:rsidRDefault="00157407" w:rsidP="007A4E4B">
      <w:pPr>
        <w:jc w:val="both"/>
        <w:rPr>
          <w:rFonts w:ascii="Arial" w:hAnsi="Arial" w:cs="Arial"/>
          <w:sz w:val="22"/>
          <w:szCs w:val="22"/>
        </w:rPr>
      </w:pPr>
      <w:r>
        <w:rPr>
          <w:rFonts w:ascii="Arial" w:hAnsi="Arial" w:cs="Arial"/>
          <w:sz w:val="22"/>
          <w:szCs w:val="22"/>
        </w:rPr>
        <w:lastRenderedPageBreak/>
        <w:t>A</w:t>
      </w:r>
      <w:r w:rsidR="007A4E4B" w:rsidRPr="00326ED8">
        <w:rPr>
          <w:rFonts w:ascii="Arial" w:hAnsi="Arial" w:cs="Arial"/>
          <w:sz w:val="22"/>
          <w:szCs w:val="22"/>
        </w:rPr>
        <w:t xml:space="preserve">lınan kamusal tedbirler nedeniyle </w:t>
      </w:r>
      <w:r>
        <w:rPr>
          <w:rFonts w:ascii="Arial" w:hAnsi="Arial" w:cs="Arial"/>
          <w:sz w:val="22"/>
          <w:szCs w:val="22"/>
        </w:rPr>
        <w:t>başta bireysel krediler olmak üzere, kredi stoku büyüme hızı</w:t>
      </w:r>
      <w:r w:rsidRPr="00326ED8">
        <w:rPr>
          <w:rFonts w:ascii="Arial" w:hAnsi="Arial" w:cs="Arial"/>
          <w:sz w:val="22"/>
          <w:szCs w:val="22"/>
        </w:rPr>
        <w:t xml:space="preserve"> </w:t>
      </w:r>
      <w:r w:rsidR="007A4E4B" w:rsidRPr="00326ED8">
        <w:rPr>
          <w:rFonts w:ascii="Arial" w:hAnsi="Arial" w:cs="Arial"/>
          <w:sz w:val="22"/>
          <w:szCs w:val="22"/>
        </w:rPr>
        <w:t>yavaşlamaya devam etmiş ve Mart 2014 itibariyle yüzde 31 seviyesinde gerçekleşmiştir.</w:t>
      </w:r>
    </w:p>
    <w:p w:rsidR="007A4E4B" w:rsidRPr="00326ED8" w:rsidRDefault="007A4E4B" w:rsidP="00EC25A2">
      <w:pPr>
        <w:pStyle w:val="BodyText"/>
        <w:rPr>
          <w:rFonts w:ascii="Arial" w:hAnsi="Arial" w:cs="Arial"/>
          <w:b/>
          <w:sz w:val="22"/>
          <w:szCs w:val="22"/>
        </w:rPr>
      </w:pPr>
    </w:p>
    <w:p w:rsidR="00D62F1E" w:rsidRDefault="00D62F1E" w:rsidP="00D62F1E">
      <w:pPr>
        <w:pStyle w:val="BodyText"/>
        <w:jc w:val="center"/>
        <w:rPr>
          <w:rFonts w:ascii="Arial" w:hAnsi="Arial" w:cs="Arial"/>
          <w:b/>
          <w:sz w:val="22"/>
          <w:szCs w:val="22"/>
        </w:rPr>
      </w:pPr>
      <w:r w:rsidRPr="00326ED8">
        <w:rPr>
          <w:rFonts w:ascii="Arial" w:hAnsi="Arial" w:cs="Arial"/>
          <w:b/>
          <w:sz w:val="22"/>
          <w:szCs w:val="22"/>
        </w:rPr>
        <w:t>Toplam Aktifler (Milyar dolar ve gsyih’ya oran)</w:t>
      </w:r>
    </w:p>
    <w:p w:rsidR="004A33DD" w:rsidRPr="00326ED8" w:rsidRDefault="004A33DD" w:rsidP="00D62F1E">
      <w:pPr>
        <w:pStyle w:val="BodyText"/>
        <w:jc w:val="center"/>
        <w:rPr>
          <w:rFonts w:ascii="Arial" w:hAnsi="Arial" w:cs="Arial"/>
          <w:b/>
          <w:sz w:val="22"/>
          <w:szCs w:val="22"/>
        </w:rPr>
      </w:pPr>
    </w:p>
    <w:p w:rsidR="00DB22DA" w:rsidRPr="00326ED8" w:rsidRDefault="00811D7B" w:rsidP="00D62F1E">
      <w:pPr>
        <w:pStyle w:val="BodyText"/>
        <w:jc w:val="center"/>
        <w:rPr>
          <w:rFonts w:ascii="Arial" w:hAnsi="Arial" w:cs="Arial"/>
          <w:b/>
          <w:sz w:val="22"/>
          <w:szCs w:val="22"/>
        </w:rPr>
      </w:pPr>
      <w:r w:rsidRPr="00326ED8">
        <w:rPr>
          <w:noProof/>
          <w:lang w:eastAsia="tr-TR"/>
        </w:rPr>
        <w:drawing>
          <wp:inline distT="0" distB="0" distL="0" distR="0" wp14:anchorId="7EA38133" wp14:editId="2F881C1A">
            <wp:extent cx="4848225" cy="25622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05A8" w:rsidRPr="00326ED8" w:rsidRDefault="004505A8" w:rsidP="004505A8">
      <w:pPr>
        <w:jc w:val="both"/>
        <w:rPr>
          <w:rFonts w:ascii="Arial" w:hAnsi="Arial" w:cs="Arial"/>
          <w:sz w:val="22"/>
          <w:szCs w:val="22"/>
        </w:rPr>
      </w:pPr>
    </w:p>
    <w:p w:rsidR="004505A8" w:rsidRPr="00326ED8" w:rsidRDefault="004505A8" w:rsidP="004505A8">
      <w:pPr>
        <w:jc w:val="both"/>
        <w:rPr>
          <w:rFonts w:ascii="Arial" w:hAnsi="Arial" w:cs="Arial"/>
          <w:sz w:val="22"/>
          <w:szCs w:val="22"/>
        </w:rPr>
      </w:pPr>
      <w:r w:rsidRPr="00326ED8">
        <w:rPr>
          <w:rFonts w:ascii="Arial" w:hAnsi="Arial" w:cs="Arial"/>
          <w:sz w:val="22"/>
          <w:szCs w:val="22"/>
        </w:rPr>
        <w:t>Kredilerin toplam aktiflere oranı bir önceki yılın aynı dönem</w:t>
      </w:r>
      <w:r w:rsidR="00260E00" w:rsidRPr="00326ED8">
        <w:rPr>
          <w:rFonts w:ascii="Arial" w:hAnsi="Arial" w:cs="Arial"/>
          <w:sz w:val="22"/>
          <w:szCs w:val="22"/>
        </w:rPr>
        <w:t>ine göre 2 puan artarak yüzde 62</w:t>
      </w:r>
      <w:r w:rsidRPr="00326ED8">
        <w:rPr>
          <w:rFonts w:ascii="Arial" w:hAnsi="Arial" w:cs="Arial"/>
          <w:sz w:val="22"/>
          <w:szCs w:val="22"/>
        </w:rPr>
        <w:t xml:space="preserve"> olmuştur. Mevduatın </w:t>
      </w:r>
      <w:r w:rsidR="00D43FC4" w:rsidRPr="00326ED8">
        <w:rPr>
          <w:rFonts w:ascii="Arial" w:hAnsi="Arial" w:cs="Arial"/>
          <w:sz w:val="22"/>
          <w:szCs w:val="22"/>
        </w:rPr>
        <w:t>krediye dönüşme oranı, Mart 2013’</w:t>
      </w:r>
      <w:r w:rsidR="004A0A64" w:rsidRPr="00326ED8">
        <w:rPr>
          <w:rFonts w:ascii="Arial" w:hAnsi="Arial" w:cs="Arial"/>
          <w:sz w:val="22"/>
          <w:szCs w:val="22"/>
        </w:rPr>
        <w:t>e göre 8 puan artarak yüzde 110’a</w:t>
      </w:r>
      <w:r w:rsidRPr="00326ED8">
        <w:rPr>
          <w:rFonts w:ascii="Arial" w:hAnsi="Arial" w:cs="Arial"/>
          <w:sz w:val="22"/>
          <w:szCs w:val="22"/>
        </w:rPr>
        <w:t xml:space="preserve"> yükselmiştir. </w:t>
      </w:r>
      <w:r w:rsidR="004A0A64" w:rsidRPr="00326ED8">
        <w:rPr>
          <w:rFonts w:ascii="Arial" w:hAnsi="Arial" w:cs="Arial"/>
          <w:sz w:val="22"/>
          <w:szCs w:val="22"/>
        </w:rPr>
        <w:t>Mart 2014</w:t>
      </w:r>
      <w:r w:rsidRPr="00326ED8">
        <w:rPr>
          <w:rFonts w:ascii="Arial" w:hAnsi="Arial" w:cs="Arial"/>
          <w:sz w:val="22"/>
          <w:szCs w:val="22"/>
        </w:rPr>
        <w:t xml:space="preserve"> itibariyle, bu</w:t>
      </w:r>
      <w:r w:rsidR="00D84A5A" w:rsidRPr="00326ED8">
        <w:rPr>
          <w:rFonts w:ascii="Arial" w:hAnsi="Arial" w:cs="Arial"/>
          <w:sz w:val="22"/>
          <w:szCs w:val="22"/>
        </w:rPr>
        <w:t xml:space="preserve"> oran kamu bankalarında yüzde 92, özel bankalarda yüzde 110</w:t>
      </w:r>
      <w:r w:rsidRPr="00326ED8">
        <w:rPr>
          <w:rFonts w:ascii="Arial" w:hAnsi="Arial" w:cs="Arial"/>
          <w:sz w:val="22"/>
          <w:szCs w:val="22"/>
        </w:rPr>
        <w:t xml:space="preserve"> ve yabanc</w:t>
      </w:r>
      <w:r w:rsidR="00D84A5A" w:rsidRPr="00326ED8">
        <w:rPr>
          <w:rFonts w:ascii="Arial" w:hAnsi="Arial" w:cs="Arial"/>
          <w:sz w:val="22"/>
          <w:szCs w:val="22"/>
        </w:rPr>
        <w:t>ı sermayeli bankalarda yüzde 109</w:t>
      </w:r>
      <w:r w:rsidRPr="00326ED8">
        <w:rPr>
          <w:rFonts w:ascii="Arial" w:hAnsi="Arial" w:cs="Arial"/>
          <w:sz w:val="22"/>
          <w:szCs w:val="22"/>
        </w:rPr>
        <w:t xml:space="preserve"> olmuştur.</w:t>
      </w:r>
    </w:p>
    <w:p w:rsidR="00DB22DA" w:rsidRPr="00326ED8" w:rsidRDefault="00DB22DA" w:rsidP="005E5114">
      <w:pPr>
        <w:jc w:val="both"/>
        <w:rPr>
          <w:rFonts w:ascii="Arial" w:hAnsi="Arial" w:cs="Arial"/>
          <w:sz w:val="22"/>
          <w:szCs w:val="22"/>
        </w:rPr>
      </w:pPr>
    </w:p>
    <w:bookmarkEnd w:id="1"/>
    <w:bookmarkEnd w:id="2"/>
    <w:p w:rsidR="00C706C0" w:rsidRPr="00326ED8" w:rsidRDefault="00D91F0A" w:rsidP="00C706C0">
      <w:pPr>
        <w:jc w:val="both"/>
        <w:rPr>
          <w:rFonts w:ascii="Arial" w:hAnsi="Arial" w:cs="Arial"/>
          <w:sz w:val="22"/>
          <w:szCs w:val="22"/>
        </w:rPr>
      </w:pPr>
      <w:r w:rsidRPr="00326ED8">
        <w:rPr>
          <w:rFonts w:ascii="Arial" w:hAnsi="Arial" w:cs="Arial"/>
          <w:sz w:val="22"/>
          <w:szCs w:val="22"/>
        </w:rPr>
        <w:t>T</w:t>
      </w:r>
      <w:r w:rsidR="00C706C0" w:rsidRPr="00326ED8">
        <w:rPr>
          <w:rFonts w:ascii="Arial" w:hAnsi="Arial" w:cs="Arial"/>
          <w:sz w:val="22"/>
          <w:szCs w:val="22"/>
        </w:rPr>
        <w:t>akipteki kredilerin toplam krediler</w:t>
      </w:r>
      <w:r w:rsidR="00736644" w:rsidRPr="00326ED8">
        <w:rPr>
          <w:rFonts w:ascii="Arial" w:hAnsi="Arial" w:cs="Arial"/>
          <w:sz w:val="22"/>
          <w:szCs w:val="22"/>
        </w:rPr>
        <w:t>e oranı</w:t>
      </w:r>
      <w:r w:rsidRPr="00326ED8">
        <w:rPr>
          <w:rFonts w:ascii="Arial" w:hAnsi="Arial" w:cs="Arial"/>
          <w:sz w:val="22"/>
          <w:szCs w:val="22"/>
        </w:rPr>
        <w:t xml:space="preserve">nda </w:t>
      </w:r>
      <w:r w:rsidR="00D84A5A" w:rsidRPr="00326ED8">
        <w:rPr>
          <w:rFonts w:ascii="Arial" w:hAnsi="Arial" w:cs="Arial"/>
          <w:sz w:val="22"/>
          <w:szCs w:val="22"/>
        </w:rPr>
        <w:t>hafifçe azalarak</w:t>
      </w:r>
      <w:r w:rsidRPr="00326ED8">
        <w:rPr>
          <w:rFonts w:ascii="Arial" w:hAnsi="Arial" w:cs="Arial"/>
          <w:sz w:val="22"/>
          <w:szCs w:val="22"/>
        </w:rPr>
        <w:t xml:space="preserve"> </w:t>
      </w:r>
      <w:r w:rsidR="000601DB" w:rsidRPr="00326ED8">
        <w:rPr>
          <w:rFonts w:ascii="Arial" w:hAnsi="Arial" w:cs="Arial"/>
          <w:sz w:val="22"/>
          <w:szCs w:val="22"/>
        </w:rPr>
        <w:t xml:space="preserve">yüzde </w:t>
      </w:r>
      <w:r w:rsidR="00D84A5A" w:rsidRPr="00326ED8">
        <w:rPr>
          <w:rFonts w:ascii="Arial" w:hAnsi="Arial" w:cs="Arial"/>
          <w:sz w:val="22"/>
          <w:szCs w:val="22"/>
        </w:rPr>
        <w:t>2,7</w:t>
      </w:r>
      <w:r w:rsidRPr="00326ED8">
        <w:rPr>
          <w:rFonts w:ascii="Arial" w:hAnsi="Arial" w:cs="Arial"/>
          <w:sz w:val="22"/>
          <w:szCs w:val="22"/>
        </w:rPr>
        <w:t xml:space="preserve"> seviyesinde gerçekleşmiştir.</w:t>
      </w:r>
      <w:r w:rsidR="00A13A59" w:rsidRPr="00326ED8">
        <w:rPr>
          <w:rFonts w:ascii="Arial" w:hAnsi="Arial" w:cs="Arial"/>
          <w:sz w:val="22"/>
          <w:szCs w:val="22"/>
        </w:rPr>
        <w:t xml:space="preserve"> Aynı dönemde, ö</w:t>
      </w:r>
      <w:r w:rsidR="00736644" w:rsidRPr="00326ED8">
        <w:rPr>
          <w:rFonts w:ascii="Arial" w:hAnsi="Arial" w:cs="Arial"/>
          <w:sz w:val="22"/>
          <w:szCs w:val="22"/>
        </w:rPr>
        <w:t>zel</w:t>
      </w:r>
      <w:r w:rsidR="00C706C0" w:rsidRPr="00326ED8">
        <w:rPr>
          <w:rFonts w:ascii="Arial" w:hAnsi="Arial" w:cs="Arial"/>
          <w:sz w:val="22"/>
          <w:szCs w:val="22"/>
        </w:rPr>
        <w:t xml:space="preserve"> karşılıkların takipteki kredileri karşılama oranı </w:t>
      </w:r>
      <w:r w:rsidR="00D84A5A" w:rsidRPr="00326ED8">
        <w:rPr>
          <w:rFonts w:ascii="Arial" w:hAnsi="Arial" w:cs="Arial"/>
          <w:sz w:val="22"/>
          <w:szCs w:val="22"/>
        </w:rPr>
        <w:t>yüzde 78</w:t>
      </w:r>
      <w:r w:rsidRPr="00326ED8">
        <w:rPr>
          <w:rFonts w:ascii="Arial" w:hAnsi="Arial" w:cs="Arial"/>
          <w:sz w:val="22"/>
          <w:szCs w:val="22"/>
        </w:rPr>
        <w:t xml:space="preserve"> olmuştur.</w:t>
      </w:r>
    </w:p>
    <w:p w:rsidR="007A57EB" w:rsidRPr="00326ED8" w:rsidRDefault="007A57EB" w:rsidP="00CC3FDF">
      <w:pPr>
        <w:jc w:val="both"/>
      </w:pPr>
    </w:p>
    <w:p w:rsidR="007A57EB" w:rsidRPr="00326ED8" w:rsidRDefault="005E5114" w:rsidP="007A57EB">
      <w:pPr>
        <w:jc w:val="both"/>
        <w:rPr>
          <w:rFonts w:ascii="Arial" w:hAnsi="Arial" w:cs="Arial"/>
          <w:sz w:val="22"/>
          <w:szCs w:val="22"/>
        </w:rPr>
      </w:pPr>
      <w:r w:rsidRPr="00326ED8">
        <w:rPr>
          <w:rFonts w:ascii="Arial" w:hAnsi="Arial" w:cs="Arial"/>
          <w:sz w:val="22"/>
          <w:szCs w:val="22"/>
        </w:rPr>
        <w:t>Toplam mevduat</w:t>
      </w:r>
      <w:r w:rsidR="00D84A5A" w:rsidRPr="00326ED8">
        <w:rPr>
          <w:rFonts w:ascii="Arial" w:hAnsi="Arial" w:cs="Arial"/>
          <w:sz w:val="22"/>
          <w:szCs w:val="22"/>
        </w:rPr>
        <w:t>ın toplam aktiflere oranı,</w:t>
      </w:r>
      <w:r w:rsidRPr="00326ED8">
        <w:rPr>
          <w:rFonts w:ascii="Arial" w:hAnsi="Arial" w:cs="Arial"/>
          <w:sz w:val="22"/>
          <w:szCs w:val="22"/>
        </w:rPr>
        <w:t xml:space="preserve"> </w:t>
      </w:r>
      <w:r w:rsidR="00D91F0A" w:rsidRPr="00326ED8">
        <w:rPr>
          <w:rFonts w:ascii="Arial" w:hAnsi="Arial" w:cs="Arial"/>
          <w:sz w:val="22"/>
          <w:szCs w:val="22"/>
        </w:rPr>
        <w:t xml:space="preserve">geçtiğimiz yılın aynı dönemine kıyasla 2 </w:t>
      </w:r>
      <w:r w:rsidR="00D84A5A" w:rsidRPr="00326ED8">
        <w:rPr>
          <w:rFonts w:ascii="Arial" w:hAnsi="Arial" w:cs="Arial"/>
          <w:sz w:val="22"/>
          <w:szCs w:val="22"/>
        </w:rPr>
        <w:t xml:space="preserve">puan </w:t>
      </w:r>
      <w:r w:rsidR="00D91F0A" w:rsidRPr="00326ED8">
        <w:rPr>
          <w:rFonts w:ascii="Arial" w:hAnsi="Arial" w:cs="Arial"/>
          <w:sz w:val="22"/>
          <w:szCs w:val="22"/>
        </w:rPr>
        <w:t xml:space="preserve">gerileyerek </w:t>
      </w:r>
      <w:r w:rsidRPr="00326ED8">
        <w:rPr>
          <w:rFonts w:ascii="Arial" w:hAnsi="Arial" w:cs="Arial"/>
          <w:sz w:val="22"/>
          <w:szCs w:val="22"/>
        </w:rPr>
        <w:t xml:space="preserve">yüzde </w:t>
      </w:r>
      <w:r w:rsidR="00D84A5A" w:rsidRPr="00326ED8">
        <w:rPr>
          <w:rFonts w:ascii="Arial" w:hAnsi="Arial" w:cs="Arial"/>
          <w:sz w:val="22"/>
          <w:szCs w:val="22"/>
        </w:rPr>
        <w:t>56 olmuştur.</w:t>
      </w:r>
      <w:r w:rsidRPr="00326ED8">
        <w:rPr>
          <w:rFonts w:ascii="Arial" w:hAnsi="Arial" w:cs="Arial"/>
          <w:sz w:val="22"/>
          <w:szCs w:val="22"/>
        </w:rPr>
        <w:t xml:space="preserve"> M</w:t>
      </w:r>
      <w:r w:rsidR="007A57EB" w:rsidRPr="00326ED8">
        <w:rPr>
          <w:rFonts w:ascii="Arial" w:hAnsi="Arial" w:cs="Arial"/>
          <w:sz w:val="22"/>
          <w:szCs w:val="22"/>
        </w:rPr>
        <w:t xml:space="preserve">evduat </w:t>
      </w:r>
      <w:r w:rsidR="00FF2AFF" w:rsidRPr="00326ED8">
        <w:rPr>
          <w:rFonts w:ascii="Arial" w:hAnsi="Arial" w:cs="Arial"/>
          <w:sz w:val="22"/>
          <w:szCs w:val="22"/>
        </w:rPr>
        <w:t xml:space="preserve">dışı kaynakların toplam </w:t>
      </w:r>
      <w:r w:rsidR="000601DB" w:rsidRPr="00326ED8">
        <w:rPr>
          <w:rFonts w:ascii="Arial" w:hAnsi="Arial" w:cs="Arial"/>
          <w:sz w:val="22"/>
          <w:szCs w:val="22"/>
        </w:rPr>
        <w:t>aktiflere oranı ise yüzde 2</w:t>
      </w:r>
      <w:r w:rsidR="002503E1" w:rsidRPr="00326ED8">
        <w:rPr>
          <w:rFonts w:ascii="Arial" w:hAnsi="Arial" w:cs="Arial"/>
          <w:sz w:val="22"/>
          <w:szCs w:val="22"/>
        </w:rPr>
        <w:t>1</w:t>
      </w:r>
      <w:r w:rsidRPr="00326ED8">
        <w:rPr>
          <w:rFonts w:ascii="Arial" w:hAnsi="Arial" w:cs="Arial"/>
          <w:sz w:val="22"/>
          <w:szCs w:val="22"/>
        </w:rPr>
        <w:t xml:space="preserve"> olmuştur. </w:t>
      </w:r>
      <w:r w:rsidR="002503E1" w:rsidRPr="00326ED8">
        <w:rPr>
          <w:rFonts w:ascii="Arial" w:hAnsi="Arial" w:cs="Arial"/>
          <w:sz w:val="22"/>
          <w:szCs w:val="22"/>
        </w:rPr>
        <w:t>B</w:t>
      </w:r>
      <w:r w:rsidRPr="00326ED8">
        <w:rPr>
          <w:rFonts w:ascii="Arial" w:hAnsi="Arial" w:cs="Arial"/>
          <w:sz w:val="22"/>
          <w:szCs w:val="22"/>
        </w:rPr>
        <w:t xml:space="preserve">ankalar tarafından </w:t>
      </w:r>
      <w:r w:rsidR="002503E1" w:rsidRPr="00326ED8">
        <w:rPr>
          <w:rFonts w:ascii="Arial" w:hAnsi="Arial" w:cs="Arial"/>
          <w:sz w:val="22"/>
          <w:szCs w:val="22"/>
        </w:rPr>
        <w:t>ihraç edilen tahvil</w:t>
      </w:r>
      <w:r w:rsidR="00CF3300" w:rsidRPr="00326ED8">
        <w:rPr>
          <w:rFonts w:ascii="Arial" w:hAnsi="Arial" w:cs="Arial"/>
          <w:sz w:val="22"/>
          <w:szCs w:val="22"/>
        </w:rPr>
        <w:t xml:space="preserve"> </w:t>
      </w:r>
      <w:r w:rsidR="007624CE" w:rsidRPr="00326ED8">
        <w:rPr>
          <w:rFonts w:ascii="Arial" w:hAnsi="Arial" w:cs="Arial"/>
          <w:sz w:val="22"/>
          <w:szCs w:val="22"/>
        </w:rPr>
        <w:t>ve bonolardaki</w:t>
      </w:r>
      <w:r w:rsidR="002503E1" w:rsidRPr="00326ED8">
        <w:rPr>
          <w:rFonts w:ascii="Arial" w:hAnsi="Arial" w:cs="Arial"/>
          <w:sz w:val="22"/>
          <w:szCs w:val="22"/>
        </w:rPr>
        <w:t xml:space="preserve"> artış devam etm</w:t>
      </w:r>
      <w:r w:rsidR="00D84A5A" w:rsidRPr="00326ED8">
        <w:rPr>
          <w:rFonts w:ascii="Arial" w:hAnsi="Arial" w:cs="Arial"/>
          <w:sz w:val="22"/>
          <w:szCs w:val="22"/>
        </w:rPr>
        <w:t>iş ve toplam kaynakların yüzde 4</w:t>
      </w:r>
      <w:r w:rsidR="002503E1" w:rsidRPr="00326ED8">
        <w:rPr>
          <w:rFonts w:ascii="Arial" w:hAnsi="Arial" w:cs="Arial"/>
          <w:sz w:val="22"/>
          <w:szCs w:val="22"/>
        </w:rPr>
        <w:t>’ünü oluşturmuştur.</w:t>
      </w:r>
    </w:p>
    <w:p w:rsidR="002503E1" w:rsidRPr="00326ED8" w:rsidRDefault="002503E1" w:rsidP="007A57EB">
      <w:pPr>
        <w:jc w:val="both"/>
        <w:rPr>
          <w:rFonts w:ascii="Arial" w:hAnsi="Arial" w:cs="Arial"/>
          <w:sz w:val="22"/>
          <w:szCs w:val="22"/>
        </w:rPr>
      </w:pPr>
    </w:p>
    <w:p w:rsidR="004D4232" w:rsidRPr="00326ED8" w:rsidRDefault="00E30D64" w:rsidP="001D7D3E">
      <w:pPr>
        <w:jc w:val="both"/>
        <w:rPr>
          <w:rFonts w:ascii="Arial" w:hAnsi="Arial" w:cs="Arial"/>
          <w:sz w:val="22"/>
          <w:szCs w:val="22"/>
        </w:rPr>
      </w:pPr>
      <w:r w:rsidRPr="00326ED8">
        <w:rPr>
          <w:rFonts w:ascii="Arial" w:hAnsi="Arial" w:cs="Arial"/>
          <w:sz w:val="22"/>
          <w:szCs w:val="22"/>
        </w:rPr>
        <w:t>Özkaynak büyümesi</w:t>
      </w:r>
      <w:r w:rsidR="00D22F7C" w:rsidRPr="00326ED8">
        <w:rPr>
          <w:rFonts w:ascii="Arial" w:hAnsi="Arial" w:cs="Arial"/>
          <w:sz w:val="22"/>
          <w:szCs w:val="22"/>
        </w:rPr>
        <w:t xml:space="preserve">, </w:t>
      </w:r>
      <w:r w:rsidRPr="00326ED8">
        <w:rPr>
          <w:rFonts w:ascii="Arial" w:hAnsi="Arial" w:cs="Arial"/>
          <w:sz w:val="22"/>
          <w:szCs w:val="22"/>
        </w:rPr>
        <w:t>menkul değerler değer farkındaki azalmaya ve özkaynaklardaki artışın sınırlı kalmasına</w:t>
      </w:r>
      <w:r w:rsidR="007A57EB" w:rsidRPr="00326ED8">
        <w:rPr>
          <w:rFonts w:ascii="Arial" w:hAnsi="Arial" w:cs="Arial"/>
          <w:sz w:val="22"/>
          <w:szCs w:val="22"/>
        </w:rPr>
        <w:t xml:space="preserve"> bağlı</w:t>
      </w:r>
      <w:r w:rsidR="001D7D3E" w:rsidRPr="00326ED8">
        <w:rPr>
          <w:rFonts w:ascii="Arial" w:hAnsi="Arial" w:cs="Arial"/>
          <w:sz w:val="22"/>
          <w:szCs w:val="22"/>
        </w:rPr>
        <w:t xml:space="preserve"> olarak </w:t>
      </w:r>
      <w:r w:rsidRPr="00326ED8">
        <w:rPr>
          <w:rFonts w:ascii="Arial" w:hAnsi="Arial" w:cs="Arial"/>
          <w:sz w:val="22"/>
          <w:szCs w:val="22"/>
        </w:rPr>
        <w:t>yavaşlamıştır</w:t>
      </w:r>
      <w:r w:rsidR="001D7D3E" w:rsidRPr="00326ED8">
        <w:rPr>
          <w:rFonts w:ascii="Arial" w:hAnsi="Arial" w:cs="Arial"/>
          <w:sz w:val="22"/>
          <w:szCs w:val="22"/>
        </w:rPr>
        <w:t xml:space="preserve">. Sektör özkaynakları, </w:t>
      </w:r>
      <w:r w:rsidR="009C4749" w:rsidRPr="00326ED8">
        <w:rPr>
          <w:rFonts w:ascii="Arial" w:hAnsi="Arial" w:cs="Arial"/>
          <w:sz w:val="22"/>
          <w:szCs w:val="22"/>
        </w:rPr>
        <w:t xml:space="preserve">bir yıl önceye göre yüzde </w:t>
      </w:r>
      <w:r w:rsidRPr="00326ED8">
        <w:rPr>
          <w:rFonts w:ascii="Arial" w:hAnsi="Arial" w:cs="Arial"/>
          <w:sz w:val="22"/>
          <w:szCs w:val="22"/>
        </w:rPr>
        <w:t>8</w:t>
      </w:r>
      <w:r w:rsidR="001D7D3E" w:rsidRPr="00326ED8">
        <w:rPr>
          <w:rFonts w:ascii="Arial" w:hAnsi="Arial" w:cs="Arial"/>
          <w:sz w:val="22"/>
          <w:szCs w:val="22"/>
        </w:rPr>
        <w:t xml:space="preserve"> artarak, </w:t>
      </w:r>
      <w:r w:rsidR="002503E1" w:rsidRPr="00326ED8">
        <w:rPr>
          <w:rFonts w:ascii="Arial" w:hAnsi="Arial" w:cs="Arial"/>
          <w:sz w:val="22"/>
          <w:szCs w:val="22"/>
        </w:rPr>
        <w:t>Mart</w:t>
      </w:r>
      <w:r w:rsidR="008A1D59" w:rsidRPr="00326ED8">
        <w:rPr>
          <w:rFonts w:ascii="Arial" w:hAnsi="Arial" w:cs="Arial"/>
          <w:sz w:val="22"/>
          <w:szCs w:val="22"/>
        </w:rPr>
        <w:t xml:space="preserve"> 20</w:t>
      </w:r>
      <w:r w:rsidR="0084744F" w:rsidRPr="00326ED8">
        <w:rPr>
          <w:rFonts w:ascii="Arial" w:hAnsi="Arial" w:cs="Arial"/>
          <w:sz w:val="22"/>
          <w:szCs w:val="22"/>
        </w:rPr>
        <w:t>1</w:t>
      </w:r>
      <w:r w:rsidRPr="00326ED8">
        <w:rPr>
          <w:rFonts w:ascii="Arial" w:hAnsi="Arial" w:cs="Arial"/>
          <w:sz w:val="22"/>
          <w:szCs w:val="22"/>
        </w:rPr>
        <w:t>4</w:t>
      </w:r>
      <w:r w:rsidR="0084744F" w:rsidRPr="00326ED8">
        <w:rPr>
          <w:rFonts w:ascii="Arial" w:hAnsi="Arial" w:cs="Arial"/>
          <w:sz w:val="22"/>
          <w:szCs w:val="22"/>
        </w:rPr>
        <w:t xml:space="preserve"> itibariyle </w:t>
      </w:r>
      <w:r w:rsidRPr="00326ED8">
        <w:rPr>
          <w:rFonts w:ascii="Arial" w:hAnsi="Arial" w:cs="Arial"/>
          <w:sz w:val="22"/>
          <w:szCs w:val="22"/>
        </w:rPr>
        <w:t>193</w:t>
      </w:r>
      <w:r w:rsidR="001D7D3E" w:rsidRPr="00326ED8">
        <w:rPr>
          <w:rFonts w:ascii="Arial" w:hAnsi="Arial" w:cs="Arial"/>
          <w:sz w:val="22"/>
          <w:szCs w:val="22"/>
        </w:rPr>
        <w:t xml:space="preserve"> </w:t>
      </w:r>
      <w:r w:rsidR="008102F3" w:rsidRPr="00326ED8">
        <w:rPr>
          <w:rFonts w:ascii="Arial" w:hAnsi="Arial" w:cs="Arial"/>
          <w:sz w:val="22"/>
          <w:szCs w:val="22"/>
        </w:rPr>
        <w:t>milyar TL</w:t>
      </w:r>
      <w:r w:rsidR="005E5114" w:rsidRPr="00326ED8">
        <w:rPr>
          <w:rFonts w:ascii="Arial" w:hAnsi="Arial" w:cs="Arial"/>
          <w:sz w:val="22"/>
          <w:szCs w:val="22"/>
        </w:rPr>
        <w:t>’ye</w:t>
      </w:r>
      <w:r w:rsidR="000601DB" w:rsidRPr="00326ED8">
        <w:rPr>
          <w:rFonts w:ascii="Arial" w:hAnsi="Arial" w:cs="Arial"/>
          <w:sz w:val="22"/>
          <w:szCs w:val="22"/>
        </w:rPr>
        <w:t xml:space="preserve"> </w:t>
      </w:r>
      <w:r w:rsidR="005E5114" w:rsidRPr="00326ED8">
        <w:rPr>
          <w:rFonts w:ascii="Arial" w:hAnsi="Arial" w:cs="Arial"/>
          <w:sz w:val="22"/>
          <w:szCs w:val="22"/>
        </w:rPr>
        <w:t>yükselmiştir.</w:t>
      </w:r>
      <w:r w:rsidR="001D7D3E" w:rsidRPr="00326ED8">
        <w:rPr>
          <w:rFonts w:ascii="Arial" w:hAnsi="Arial" w:cs="Arial"/>
          <w:sz w:val="22"/>
          <w:szCs w:val="22"/>
        </w:rPr>
        <w:t xml:space="preserve"> </w:t>
      </w:r>
    </w:p>
    <w:p w:rsidR="004D4232" w:rsidRPr="00326ED8" w:rsidRDefault="004D4232" w:rsidP="004D4232">
      <w:pPr>
        <w:jc w:val="both"/>
        <w:rPr>
          <w:rFonts w:ascii="Arial" w:hAnsi="Arial" w:cs="Arial"/>
          <w:sz w:val="22"/>
          <w:szCs w:val="22"/>
        </w:rPr>
      </w:pPr>
    </w:p>
    <w:p w:rsidR="005E5114" w:rsidRPr="00326ED8" w:rsidRDefault="004D4232" w:rsidP="005E5114">
      <w:pPr>
        <w:jc w:val="both"/>
        <w:rPr>
          <w:rFonts w:ascii="Arial" w:hAnsi="Arial" w:cs="Arial"/>
          <w:sz w:val="22"/>
          <w:szCs w:val="22"/>
        </w:rPr>
      </w:pPr>
      <w:r w:rsidRPr="00326ED8">
        <w:rPr>
          <w:rFonts w:ascii="Arial" w:hAnsi="Arial" w:cs="Arial"/>
          <w:sz w:val="22"/>
          <w:szCs w:val="22"/>
        </w:rPr>
        <w:t>Sermaye yeterliliği standart rasyosu</w:t>
      </w:r>
      <w:r w:rsidR="00305753" w:rsidRPr="00326ED8">
        <w:rPr>
          <w:rFonts w:ascii="Arial" w:hAnsi="Arial" w:cs="Arial"/>
          <w:sz w:val="22"/>
          <w:szCs w:val="22"/>
        </w:rPr>
        <w:t>, özkaynaklar artışının sınırlı kalması</w:t>
      </w:r>
      <w:r w:rsidR="002503E1" w:rsidRPr="00326ED8">
        <w:rPr>
          <w:rFonts w:ascii="Arial" w:hAnsi="Arial" w:cs="Arial"/>
          <w:sz w:val="22"/>
          <w:szCs w:val="22"/>
        </w:rPr>
        <w:t xml:space="preserve"> </w:t>
      </w:r>
      <w:r w:rsidR="00305753" w:rsidRPr="00326ED8">
        <w:rPr>
          <w:rFonts w:ascii="Arial" w:hAnsi="Arial" w:cs="Arial"/>
          <w:sz w:val="22"/>
          <w:szCs w:val="22"/>
        </w:rPr>
        <w:t>ve riskli aktiflerdeki artış nedeniyle Mart 2013’</w:t>
      </w:r>
      <w:r w:rsidR="002503E1" w:rsidRPr="00326ED8">
        <w:rPr>
          <w:rFonts w:ascii="Arial" w:hAnsi="Arial" w:cs="Arial"/>
          <w:sz w:val="22"/>
          <w:szCs w:val="22"/>
        </w:rPr>
        <w:t>e kıyasla yaklaşık 1</w:t>
      </w:r>
      <w:r w:rsidR="00305753" w:rsidRPr="00326ED8">
        <w:rPr>
          <w:rFonts w:ascii="Arial" w:hAnsi="Arial" w:cs="Arial"/>
          <w:sz w:val="22"/>
          <w:szCs w:val="22"/>
        </w:rPr>
        <w:t>,7</w:t>
      </w:r>
      <w:r w:rsidR="002503E1" w:rsidRPr="00326ED8">
        <w:rPr>
          <w:rFonts w:ascii="Arial" w:hAnsi="Arial" w:cs="Arial"/>
          <w:sz w:val="22"/>
          <w:szCs w:val="22"/>
        </w:rPr>
        <w:t xml:space="preserve"> puan </w:t>
      </w:r>
      <w:r w:rsidR="00305753" w:rsidRPr="00326ED8">
        <w:rPr>
          <w:rFonts w:ascii="Arial" w:hAnsi="Arial" w:cs="Arial"/>
          <w:sz w:val="22"/>
          <w:szCs w:val="22"/>
        </w:rPr>
        <w:t>azalarak Mart 2014’te yüzde 15,8’e</w:t>
      </w:r>
      <w:r w:rsidR="002503E1" w:rsidRPr="00326ED8">
        <w:rPr>
          <w:rFonts w:ascii="Arial" w:hAnsi="Arial" w:cs="Arial"/>
          <w:sz w:val="22"/>
          <w:szCs w:val="22"/>
        </w:rPr>
        <w:t xml:space="preserve"> </w:t>
      </w:r>
      <w:r w:rsidR="00305753" w:rsidRPr="00326ED8">
        <w:rPr>
          <w:rFonts w:ascii="Arial" w:hAnsi="Arial" w:cs="Arial"/>
          <w:sz w:val="22"/>
          <w:szCs w:val="22"/>
        </w:rPr>
        <w:t>gerilemiştir</w:t>
      </w:r>
      <w:r w:rsidR="002503E1" w:rsidRPr="00326ED8">
        <w:rPr>
          <w:rFonts w:ascii="Arial" w:hAnsi="Arial" w:cs="Arial"/>
          <w:sz w:val="22"/>
          <w:szCs w:val="22"/>
        </w:rPr>
        <w:t xml:space="preserve">. </w:t>
      </w:r>
    </w:p>
    <w:p w:rsidR="004D4232" w:rsidRPr="00326ED8" w:rsidRDefault="004D4232" w:rsidP="00CC3FDF">
      <w:pPr>
        <w:jc w:val="both"/>
        <w:rPr>
          <w:rFonts w:ascii="Arial" w:hAnsi="Arial" w:cs="Arial"/>
          <w:sz w:val="22"/>
          <w:szCs w:val="22"/>
        </w:rPr>
      </w:pPr>
    </w:p>
    <w:p w:rsidR="000C2D9B" w:rsidRPr="00326ED8" w:rsidRDefault="00940D54" w:rsidP="00940D54">
      <w:pPr>
        <w:jc w:val="both"/>
        <w:rPr>
          <w:rFonts w:ascii="Arial" w:hAnsi="Arial" w:cs="Arial"/>
          <w:sz w:val="22"/>
          <w:szCs w:val="22"/>
        </w:rPr>
      </w:pPr>
      <w:r w:rsidRPr="00326ED8">
        <w:rPr>
          <w:rFonts w:ascii="Arial" w:hAnsi="Arial" w:cs="Arial"/>
          <w:sz w:val="22"/>
          <w:szCs w:val="22"/>
        </w:rPr>
        <w:t xml:space="preserve">Yılın ilk </w:t>
      </w:r>
      <w:r w:rsidR="00F97174" w:rsidRPr="00326ED8">
        <w:rPr>
          <w:rFonts w:ascii="Arial" w:hAnsi="Arial" w:cs="Arial"/>
          <w:sz w:val="22"/>
          <w:szCs w:val="22"/>
        </w:rPr>
        <w:t>üç</w:t>
      </w:r>
      <w:r w:rsidR="00CA5407" w:rsidRPr="00326ED8">
        <w:rPr>
          <w:rFonts w:ascii="Arial" w:hAnsi="Arial" w:cs="Arial"/>
          <w:sz w:val="22"/>
          <w:szCs w:val="22"/>
        </w:rPr>
        <w:t xml:space="preserve"> ayında</w:t>
      </w:r>
      <w:r w:rsidRPr="00326ED8">
        <w:rPr>
          <w:rFonts w:ascii="Arial" w:hAnsi="Arial" w:cs="Arial"/>
          <w:sz w:val="22"/>
          <w:szCs w:val="22"/>
        </w:rPr>
        <w:t xml:space="preserve"> bankacılık sektörünün faiz gelirleri</w:t>
      </w:r>
      <w:r w:rsidR="000C2D9B" w:rsidRPr="00326ED8">
        <w:rPr>
          <w:rFonts w:ascii="Arial" w:hAnsi="Arial" w:cs="Arial"/>
          <w:sz w:val="22"/>
          <w:szCs w:val="22"/>
        </w:rPr>
        <w:t xml:space="preserve"> </w:t>
      </w:r>
      <w:r w:rsidR="00AA5B72" w:rsidRPr="00326ED8">
        <w:rPr>
          <w:rFonts w:ascii="Arial" w:hAnsi="Arial" w:cs="Arial"/>
          <w:sz w:val="22"/>
          <w:szCs w:val="22"/>
        </w:rPr>
        <w:t>yüzde 20</w:t>
      </w:r>
      <w:r w:rsidR="005E5114" w:rsidRPr="00326ED8">
        <w:rPr>
          <w:rFonts w:ascii="Arial" w:hAnsi="Arial" w:cs="Arial"/>
          <w:sz w:val="22"/>
          <w:szCs w:val="22"/>
        </w:rPr>
        <w:t xml:space="preserve">, faiz giderleri yüzde </w:t>
      </w:r>
      <w:r w:rsidR="00AA5B72" w:rsidRPr="00326ED8">
        <w:rPr>
          <w:rFonts w:ascii="Arial" w:hAnsi="Arial" w:cs="Arial"/>
          <w:sz w:val="22"/>
          <w:szCs w:val="22"/>
        </w:rPr>
        <w:t>48</w:t>
      </w:r>
      <w:r w:rsidR="000C2D9B" w:rsidRPr="00326ED8">
        <w:rPr>
          <w:rFonts w:ascii="Arial" w:hAnsi="Arial" w:cs="Arial"/>
          <w:sz w:val="22"/>
          <w:szCs w:val="22"/>
        </w:rPr>
        <w:t xml:space="preserve"> </w:t>
      </w:r>
      <w:r w:rsidR="005E5114" w:rsidRPr="00326ED8">
        <w:rPr>
          <w:rFonts w:ascii="Arial" w:hAnsi="Arial" w:cs="Arial"/>
          <w:sz w:val="22"/>
          <w:szCs w:val="22"/>
        </w:rPr>
        <w:t xml:space="preserve">oranında </w:t>
      </w:r>
      <w:r w:rsidR="00AA5B72" w:rsidRPr="00326ED8">
        <w:rPr>
          <w:rFonts w:ascii="Arial" w:hAnsi="Arial" w:cs="Arial"/>
          <w:sz w:val="22"/>
          <w:szCs w:val="22"/>
        </w:rPr>
        <w:t>artmıştır</w:t>
      </w:r>
      <w:r w:rsidR="005E5114" w:rsidRPr="00326ED8">
        <w:rPr>
          <w:rFonts w:ascii="Arial" w:hAnsi="Arial" w:cs="Arial"/>
          <w:sz w:val="22"/>
          <w:szCs w:val="22"/>
        </w:rPr>
        <w:t>. Buna bağlı olarak, n</w:t>
      </w:r>
      <w:r w:rsidRPr="00326ED8">
        <w:rPr>
          <w:rFonts w:ascii="Arial" w:hAnsi="Arial" w:cs="Arial"/>
          <w:sz w:val="22"/>
          <w:szCs w:val="22"/>
        </w:rPr>
        <w:t xml:space="preserve">et faiz gelirleri geçen </w:t>
      </w:r>
      <w:r w:rsidR="00F15267" w:rsidRPr="00326ED8">
        <w:rPr>
          <w:rFonts w:ascii="Arial" w:hAnsi="Arial" w:cs="Arial"/>
          <w:sz w:val="22"/>
          <w:szCs w:val="22"/>
        </w:rPr>
        <w:t xml:space="preserve">yılın aynı dönemine göre </w:t>
      </w:r>
      <w:r w:rsidR="007F4850" w:rsidRPr="00326ED8">
        <w:rPr>
          <w:rFonts w:ascii="Arial" w:hAnsi="Arial" w:cs="Arial"/>
          <w:sz w:val="22"/>
          <w:szCs w:val="22"/>
        </w:rPr>
        <w:t>TL bazında</w:t>
      </w:r>
      <w:r w:rsidR="000C2D9B" w:rsidRPr="00326ED8">
        <w:rPr>
          <w:rFonts w:ascii="Arial" w:hAnsi="Arial" w:cs="Arial"/>
          <w:sz w:val="22"/>
          <w:szCs w:val="22"/>
        </w:rPr>
        <w:t xml:space="preserve"> </w:t>
      </w:r>
      <w:r w:rsidR="00F15267" w:rsidRPr="00326ED8">
        <w:rPr>
          <w:rFonts w:ascii="Arial" w:hAnsi="Arial" w:cs="Arial"/>
          <w:sz w:val="22"/>
          <w:szCs w:val="22"/>
        </w:rPr>
        <w:t xml:space="preserve">yüzde </w:t>
      </w:r>
      <w:r w:rsidR="00AA5B72" w:rsidRPr="00326ED8">
        <w:rPr>
          <w:rFonts w:ascii="Arial" w:hAnsi="Arial" w:cs="Arial"/>
          <w:sz w:val="22"/>
          <w:szCs w:val="22"/>
        </w:rPr>
        <w:t>2</w:t>
      </w:r>
      <w:r w:rsidR="000370A9" w:rsidRPr="00326ED8">
        <w:rPr>
          <w:rFonts w:ascii="Arial" w:hAnsi="Arial" w:cs="Arial"/>
          <w:sz w:val="22"/>
          <w:szCs w:val="22"/>
        </w:rPr>
        <w:t xml:space="preserve"> </w:t>
      </w:r>
      <w:r w:rsidRPr="00326ED8">
        <w:rPr>
          <w:rFonts w:ascii="Arial" w:hAnsi="Arial" w:cs="Arial"/>
          <w:sz w:val="22"/>
          <w:szCs w:val="22"/>
        </w:rPr>
        <w:t xml:space="preserve">oranında </w:t>
      </w:r>
      <w:r w:rsidR="00AA5B72" w:rsidRPr="00326ED8">
        <w:rPr>
          <w:rFonts w:ascii="Arial" w:hAnsi="Arial" w:cs="Arial"/>
          <w:sz w:val="22"/>
          <w:szCs w:val="22"/>
        </w:rPr>
        <w:t>azalmıştır</w:t>
      </w:r>
      <w:r w:rsidR="005E5114" w:rsidRPr="00326ED8">
        <w:rPr>
          <w:rFonts w:ascii="Arial" w:hAnsi="Arial" w:cs="Arial"/>
          <w:sz w:val="22"/>
          <w:szCs w:val="22"/>
        </w:rPr>
        <w:t xml:space="preserve">. </w:t>
      </w:r>
    </w:p>
    <w:p w:rsidR="00725158" w:rsidRPr="00326ED8" w:rsidRDefault="00725158" w:rsidP="00725158">
      <w:pPr>
        <w:jc w:val="both"/>
        <w:rPr>
          <w:rFonts w:ascii="Arial" w:hAnsi="Arial" w:cs="Arial"/>
          <w:sz w:val="22"/>
          <w:szCs w:val="22"/>
        </w:rPr>
      </w:pPr>
    </w:p>
    <w:p w:rsidR="005E5114" w:rsidRPr="00326ED8" w:rsidRDefault="00725158" w:rsidP="00725158">
      <w:pPr>
        <w:jc w:val="both"/>
        <w:rPr>
          <w:rFonts w:ascii="Arial" w:hAnsi="Arial" w:cs="Arial"/>
          <w:sz w:val="22"/>
          <w:szCs w:val="22"/>
        </w:rPr>
      </w:pPr>
      <w:r w:rsidRPr="00326ED8">
        <w:rPr>
          <w:rFonts w:ascii="Arial" w:hAnsi="Arial" w:cs="Arial"/>
          <w:sz w:val="22"/>
          <w:szCs w:val="22"/>
        </w:rPr>
        <w:t xml:space="preserve">Kar hacmi, bir önceki yılın aynı dönemine göre yüzde </w:t>
      </w:r>
      <w:r w:rsidR="001C7B29" w:rsidRPr="00326ED8">
        <w:rPr>
          <w:rFonts w:ascii="Arial" w:hAnsi="Arial" w:cs="Arial"/>
          <w:sz w:val="22"/>
          <w:szCs w:val="22"/>
        </w:rPr>
        <w:t>1</w:t>
      </w:r>
      <w:r w:rsidR="00F97174" w:rsidRPr="00326ED8">
        <w:rPr>
          <w:rFonts w:ascii="Arial" w:hAnsi="Arial" w:cs="Arial"/>
          <w:sz w:val="22"/>
          <w:szCs w:val="22"/>
        </w:rPr>
        <w:t>9</w:t>
      </w:r>
      <w:r w:rsidR="00F04FB0" w:rsidRPr="00326ED8">
        <w:rPr>
          <w:rFonts w:ascii="Arial" w:hAnsi="Arial" w:cs="Arial"/>
          <w:sz w:val="22"/>
          <w:szCs w:val="22"/>
        </w:rPr>
        <w:t xml:space="preserve"> </w:t>
      </w:r>
      <w:r w:rsidR="000A0291" w:rsidRPr="00326ED8">
        <w:rPr>
          <w:rFonts w:ascii="Arial" w:hAnsi="Arial" w:cs="Arial"/>
          <w:sz w:val="22"/>
          <w:szCs w:val="22"/>
        </w:rPr>
        <w:t>azalarak</w:t>
      </w:r>
      <w:r w:rsidR="00BB4E9C" w:rsidRPr="00326ED8">
        <w:rPr>
          <w:rFonts w:ascii="Arial" w:hAnsi="Arial" w:cs="Arial"/>
          <w:sz w:val="22"/>
          <w:szCs w:val="22"/>
        </w:rPr>
        <w:t xml:space="preserve"> </w:t>
      </w:r>
      <w:r w:rsidR="000A0291" w:rsidRPr="00326ED8">
        <w:rPr>
          <w:rFonts w:ascii="Arial" w:hAnsi="Arial" w:cs="Arial"/>
          <w:sz w:val="22"/>
          <w:szCs w:val="22"/>
        </w:rPr>
        <w:t>5,6</w:t>
      </w:r>
      <w:r w:rsidRPr="00326ED8">
        <w:rPr>
          <w:rFonts w:ascii="Arial" w:hAnsi="Arial" w:cs="Arial"/>
          <w:sz w:val="22"/>
          <w:szCs w:val="22"/>
        </w:rPr>
        <w:t xml:space="preserve"> milyar TL’ye </w:t>
      </w:r>
      <w:r w:rsidR="000A0291" w:rsidRPr="00326ED8">
        <w:rPr>
          <w:rFonts w:ascii="Arial" w:hAnsi="Arial" w:cs="Arial"/>
          <w:sz w:val="22"/>
          <w:szCs w:val="22"/>
        </w:rPr>
        <w:t>gerilemiştir</w:t>
      </w:r>
      <w:r w:rsidRPr="00326ED8">
        <w:rPr>
          <w:rFonts w:ascii="Arial" w:hAnsi="Arial" w:cs="Arial"/>
          <w:sz w:val="22"/>
          <w:szCs w:val="22"/>
        </w:rPr>
        <w:t xml:space="preserve">. </w:t>
      </w:r>
      <w:r w:rsidR="00622182" w:rsidRPr="00326ED8">
        <w:rPr>
          <w:rFonts w:ascii="Arial" w:hAnsi="Arial" w:cs="Arial"/>
          <w:sz w:val="22"/>
          <w:szCs w:val="22"/>
        </w:rPr>
        <w:t>Net kar marjının daralması, ticari kar zarar kaleminin eksi bakiye vermesi ve diğer faaliyet giderlerindeki artış, kar hacminin daralmasına neden olmuştur</w:t>
      </w:r>
      <w:r w:rsidR="001C7B29" w:rsidRPr="00326ED8">
        <w:rPr>
          <w:rFonts w:ascii="Arial" w:hAnsi="Arial" w:cs="Arial"/>
          <w:sz w:val="22"/>
          <w:szCs w:val="22"/>
        </w:rPr>
        <w:t xml:space="preserve">. </w:t>
      </w:r>
    </w:p>
    <w:p w:rsidR="00F25941" w:rsidRPr="00326ED8" w:rsidRDefault="005E5114" w:rsidP="00725158">
      <w:pPr>
        <w:jc w:val="both"/>
        <w:rPr>
          <w:rFonts w:ascii="Arial" w:hAnsi="Arial" w:cs="Arial"/>
          <w:sz w:val="22"/>
          <w:szCs w:val="22"/>
        </w:rPr>
      </w:pPr>
      <w:r w:rsidRPr="00326ED8">
        <w:rPr>
          <w:rFonts w:ascii="Arial" w:hAnsi="Arial" w:cs="Arial"/>
          <w:sz w:val="22"/>
          <w:szCs w:val="22"/>
        </w:rPr>
        <w:t xml:space="preserve"> </w:t>
      </w:r>
    </w:p>
    <w:p w:rsidR="00725158" w:rsidRPr="00326ED8" w:rsidRDefault="00725158" w:rsidP="00725158">
      <w:pPr>
        <w:jc w:val="both"/>
        <w:rPr>
          <w:rFonts w:ascii="Arial" w:hAnsi="Arial" w:cs="Arial"/>
          <w:sz w:val="22"/>
          <w:szCs w:val="22"/>
        </w:rPr>
      </w:pPr>
      <w:r w:rsidRPr="00326ED8">
        <w:rPr>
          <w:rFonts w:ascii="Arial" w:hAnsi="Arial" w:cs="Arial"/>
          <w:sz w:val="22"/>
          <w:szCs w:val="22"/>
        </w:rPr>
        <w:t>Yıllık baz</w:t>
      </w:r>
      <w:r w:rsidR="00F04FB0" w:rsidRPr="00326ED8">
        <w:rPr>
          <w:rFonts w:ascii="Arial" w:hAnsi="Arial" w:cs="Arial"/>
          <w:sz w:val="22"/>
          <w:szCs w:val="22"/>
        </w:rPr>
        <w:t xml:space="preserve">da </w:t>
      </w:r>
      <w:r w:rsidR="00B67AF4" w:rsidRPr="00326ED8">
        <w:rPr>
          <w:rFonts w:ascii="Arial" w:hAnsi="Arial" w:cs="Arial"/>
          <w:sz w:val="22"/>
          <w:szCs w:val="22"/>
        </w:rPr>
        <w:t>karlılık</w:t>
      </w:r>
      <w:r w:rsidR="008C6307" w:rsidRPr="00326ED8">
        <w:rPr>
          <w:rFonts w:ascii="Arial" w:hAnsi="Arial" w:cs="Arial"/>
          <w:sz w:val="22"/>
          <w:szCs w:val="22"/>
        </w:rPr>
        <w:t xml:space="preserve"> </w:t>
      </w:r>
      <w:r w:rsidR="00A96EF1" w:rsidRPr="00326ED8">
        <w:rPr>
          <w:rFonts w:ascii="Arial" w:hAnsi="Arial" w:cs="Arial"/>
          <w:sz w:val="22"/>
          <w:szCs w:val="22"/>
        </w:rPr>
        <w:t>Mart</w:t>
      </w:r>
      <w:r w:rsidR="008C6307" w:rsidRPr="00326ED8">
        <w:rPr>
          <w:rFonts w:ascii="Arial" w:hAnsi="Arial" w:cs="Arial"/>
          <w:sz w:val="22"/>
          <w:szCs w:val="22"/>
        </w:rPr>
        <w:t xml:space="preserve"> 201</w:t>
      </w:r>
      <w:r w:rsidR="00A96EF1" w:rsidRPr="00326ED8">
        <w:rPr>
          <w:rFonts w:ascii="Arial" w:hAnsi="Arial" w:cs="Arial"/>
          <w:sz w:val="22"/>
          <w:szCs w:val="22"/>
        </w:rPr>
        <w:t>3</w:t>
      </w:r>
      <w:r w:rsidR="008C6307" w:rsidRPr="00326ED8">
        <w:rPr>
          <w:rFonts w:ascii="Arial" w:hAnsi="Arial" w:cs="Arial"/>
          <w:sz w:val="22"/>
          <w:szCs w:val="22"/>
        </w:rPr>
        <w:t>’</w:t>
      </w:r>
      <w:r w:rsidR="00494876" w:rsidRPr="00326ED8">
        <w:rPr>
          <w:rFonts w:ascii="Arial" w:hAnsi="Arial" w:cs="Arial"/>
          <w:sz w:val="22"/>
          <w:szCs w:val="22"/>
        </w:rPr>
        <w:t xml:space="preserve">e </w:t>
      </w:r>
      <w:r w:rsidR="00A96EF1" w:rsidRPr="00326ED8">
        <w:rPr>
          <w:rFonts w:ascii="Arial" w:hAnsi="Arial" w:cs="Arial"/>
          <w:sz w:val="22"/>
          <w:szCs w:val="22"/>
        </w:rPr>
        <w:t>göre gerilemiş</w:t>
      </w:r>
      <w:r w:rsidR="00494876" w:rsidRPr="00326ED8">
        <w:rPr>
          <w:rFonts w:ascii="Arial" w:hAnsi="Arial" w:cs="Arial"/>
          <w:sz w:val="22"/>
          <w:szCs w:val="22"/>
        </w:rPr>
        <w:t xml:space="preserve"> ve</w:t>
      </w:r>
      <w:r w:rsidR="008C6307" w:rsidRPr="00326ED8">
        <w:rPr>
          <w:rFonts w:ascii="Arial" w:hAnsi="Arial" w:cs="Arial"/>
          <w:sz w:val="22"/>
          <w:szCs w:val="22"/>
        </w:rPr>
        <w:t xml:space="preserve"> </w:t>
      </w:r>
      <w:r w:rsidR="00B67AF4" w:rsidRPr="00326ED8">
        <w:rPr>
          <w:rFonts w:ascii="Arial" w:hAnsi="Arial" w:cs="Arial"/>
          <w:sz w:val="22"/>
          <w:szCs w:val="22"/>
        </w:rPr>
        <w:t xml:space="preserve">özkaynak karlılığı </w:t>
      </w:r>
      <w:r w:rsidR="004B1FC3" w:rsidRPr="00326ED8">
        <w:rPr>
          <w:rFonts w:ascii="Arial" w:hAnsi="Arial" w:cs="Arial"/>
          <w:sz w:val="22"/>
          <w:szCs w:val="22"/>
        </w:rPr>
        <w:t>Mart</w:t>
      </w:r>
      <w:r w:rsidR="00757953" w:rsidRPr="00326ED8">
        <w:rPr>
          <w:rFonts w:ascii="Arial" w:hAnsi="Arial" w:cs="Arial"/>
          <w:sz w:val="22"/>
          <w:szCs w:val="22"/>
        </w:rPr>
        <w:t xml:space="preserve"> 201</w:t>
      </w:r>
      <w:r w:rsidR="00A96EF1" w:rsidRPr="00326ED8">
        <w:rPr>
          <w:rFonts w:ascii="Arial" w:hAnsi="Arial" w:cs="Arial"/>
          <w:sz w:val="22"/>
          <w:szCs w:val="22"/>
        </w:rPr>
        <w:t>4’t</w:t>
      </w:r>
      <w:r w:rsidR="00757953" w:rsidRPr="00326ED8">
        <w:rPr>
          <w:rFonts w:ascii="Arial" w:hAnsi="Arial" w:cs="Arial"/>
          <w:sz w:val="22"/>
          <w:szCs w:val="22"/>
        </w:rPr>
        <w:t xml:space="preserve">e </w:t>
      </w:r>
      <w:r w:rsidR="00A96EF1" w:rsidRPr="00326ED8">
        <w:rPr>
          <w:rFonts w:ascii="Arial" w:hAnsi="Arial" w:cs="Arial"/>
          <w:sz w:val="22"/>
          <w:szCs w:val="22"/>
        </w:rPr>
        <w:t>yüzde 12,5</w:t>
      </w:r>
      <w:r w:rsidR="00494876" w:rsidRPr="00326ED8">
        <w:rPr>
          <w:rFonts w:ascii="Arial" w:hAnsi="Arial" w:cs="Arial"/>
          <w:sz w:val="22"/>
          <w:szCs w:val="22"/>
        </w:rPr>
        <w:t>;</w:t>
      </w:r>
      <w:r w:rsidRPr="00326ED8">
        <w:rPr>
          <w:rFonts w:ascii="Arial" w:hAnsi="Arial" w:cs="Arial"/>
          <w:sz w:val="22"/>
          <w:szCs w:val="22"/>
        </w:rPr>
        <w:t xml:space="preserve"> aktif karlılığı ise </w:t>
      </w:r>
      <w:r w:rsidR="00E95759" w:rsidRPr="00326ED8">
        <w:rPr>
          <w:rFonts w:ascii="Arial" w:hAnsi="Arial" w:cs="Arial"/>
          <w:sz w:val="22"/>
          <w:szCs w:val="22"/>
        </w:rPr>
        <w:t xml:space="preserve">yüzde </w:t>
      </w:r>
      <w:r w:rsidR="00494876" w:rsidRPr="00326ED8">
        <w:rPr>
          <w:rFonts w:ascii="Arial" w:hAnsi="Arial" w:cs="Arial"/>
          <w:sz w:val="22"/>
          <w:szCs w:val="22"/>
        </w:rPr>
        <w:t>1,7 seviyesinde gerçekleşmiştir.</w:t>
      </w:r>
      <w:r w:rsidR="00F04FB0" w:rsidRPr="00326ED8">
        <w:rPr>
          <w:rFonts w:ascii="Arial" w:hAnsi="Arial" w:cs="Arial"/>
          <w:sz w:val="22"/>
          <w:szCs w:val="22"/>
        </w:rPr>
        <w:t xml:space="preserve"> </w:t>
      </w:r>
    </w:p>
    <w:p w:rsidR="004D4232" w:rsidRPr="00326ED8" w:rsidRDefault="004D4232" w:rsidP="00CC3FDF">
      <w:pPr>
        <w:jc w:val="both"/>
        <w:rPr>
          <w:rFonts w:ascii="Arial" w:hAnsi="Arial" w:cs="Arial"/>
          <w:sz w:val="22"/>
          <w:szCs w:val="22"/>
        </w:rPr>
      </w:pPr>
    </w:p>
    <w:p w:rsidR="00E73F9A" w:rsidRPr="00326ED8" w:rsidRDefault="00E73F9A" w:rsidP="00E73F9A">
      <w:pPr>
        <w:jc w:val="both"/>
        <w:rPr>
          <w:rFonts w:ascii="Arial" w:hAnsi="Arial" w:cs="Arial"/>
          <w:sz w:val="22"/>
          <w:szCs w:val="22"/>
        </w:rPr>
      </w:pPr>
      <w:r w:rsidRPr="00326ED8">
        <w:rPr>
          <w:rFonts w:ascii="Arial" w:hAnsi="Arial" w:cs="Arial"/>
          <w:sz w:val="22"/>
          <w:szCs w:val="22"/>
        </w:rPr>
        <w:t xml:space="preserve">YP aktiflerin TL karşılığının toplam aktifler içindeki payı </w:t>
      </w:r>
      <w:r w:rsidR="0085294D" w:rsidRPr="00326ED8">
        <w:rPr>
          <w:rFonts w:ascii="Arial" w:hAnsi="Arial" w:cs="Arial"/>
          <w:sz w:val="22"/>
          <w:szCs w:val="22"/>
        </w:rPr>
        <w:t xml:space="preserve">yüzde </w:t>
      </w:r>
      <w:r w:rsidR="005A0B40" w:rsidRPr="00326ED8">
        <w:rPr>
          <w:rFonts w:ascii="Arial" w:hAnsi="Arial" w:cs="Arial"/>
          <w:sz w:val="22"/>
          <w:szCs w:val="22"/>
        </w:rPr>
        <w:t>3</w:t>
      </w:r>
      <w:r w:rsidR="000F7A76" w:rsidRPr="00326ED8">
        <w:rPr>
          <w:rFonts w:ascii="Arial" w:hAnsi="Arial" w:cs="Arial"/>
          <w:sz w:val="22"/>
          <w:szCs w:val="22"/>
        </w:rPr>
        <w:t>5</w:t>
      </w:r>
      <w:r w:rsidR="003B339D" w:rsidRPr="00326ED8">
        <w:rPr>
          <w:rFonts w:ascii="Arial" w:hAnsi="Arial" w:cs="Arial"/>
          <w:sz w:val="22"/>
          <w:szCs w:val="22"/>
        </w:rPr>
        <w:t>;</w:t>
      </w:r>
      <w:r w:rsidR="005D0E10" w:rsidRPr="00326ED8">
        <w:rPr>
          <w:rFonts w:ascii="Arial" w:hAnsi="Arial" w:cs="Arial"/>
          <w:sz w:val="22"/>
          <w:szCs w:val="22"/>
        </w:rPr>
        <w:t xml:space="preserve"> </w:t>
      </w:r>
      <w:r w:rsidRPr="00326ED8">
        <w:rPr>
          <w:rFonts w:ascii="Arial" w:hAnsi="Arial" w:cs="Arial"/>
          <w:sz w:val="22"/>
          <w:szCs w:val="22"/>
        </w:rPr>
        <w:t xml:space="preserve">YP </w:t>
      </w:r>
      <w:r w:rsidR="00CE34B7" w:rsidRPr="00326ED8">
        <w:rPr>
          <w:rFonts w:ascii="Arial" w:hAnsi="Arial" w:cs="Arial"/>
          <w:sz w:val="22"/>
          <w:szCs w:val="22"/>
        </w:rPr>
        <w:t>pasiflerin</w:t>
      </w:r>
      <w:r w:rsidRPr="00326ED8">
        <w:rPr>
          <w:rFonts w:ascii="Arial" w:hAnsi="Arial" w:cs="Arial"/>
          <w:sz w:val="22"/>
          <w:szCs w:val="22"/>
        </w:rPr>
        <w:t xml:space="preserve"> TL karşılığının toplam pasifler içindeki payı ise </w:t>
      </w:r>
      <w:r w:rsidR="005A0B40" w:rsidRPr="00326ED8">
        <w:rPr>
          <w:rFonts w:ascii="Arial" w:hAnsi="Arial" w:cs="Arial"/>
          <w:sz w:val="22"/>
          <w:szCs w:val="22"/>
        </w:rPr>
        <w:t xml:space="preserve">yüzde </w:t>
      </w:r>
      <w:r w:rsidR="000F7A76" w:rsidRPr="00326ED8">
        <w:rPr>
          <w:rFonts w:ascii="Arial" w:hAnsi="Arial" w:cs="Arial"/>
          <w:sz w:val="22"/>
          <w:szCs w:val="22"/>
        </w:rPr>
        <w:t>42</w:t>
      </w:r>
      <w:r w:rsidRPr="00326ED8">
        <w:rPr>
          <w:rFonts w:ascii="Arial" w:hAnsi="Arial" w:cs="Arial"/>
          <w:sz w:val="22"/>
          <w:szCs w:val="22"/>
        </w:rPr>
        <w:t xml:space="preserve"> düzeyinde gerçekleşmiştir. </w:t>
      </w:r>
    </w:p>
    <w:p w:rsidR="00E73F9A" w:rsidRPr="00326ED8" w:rsidRDefault="00E73F9A" w:rsidP="00E73F9A">
      <w:pPr>
        <w:jc w:val="both"/>
        <w:rPr>
          <w:rFonts w:ascii="Arial" w:hAnsi="Arial" w:cs="Arial"/>
          <w:sz w:val="22"/>
          <w:szCs w:val="22"/>
        </w:rPr>
      </w:pPr>
    </w:p>
    <w:p w:rsidR="00E73F9A" w:rsidRPr="00326ED8" w:rsidRDefault="00765D66" w:rsidP="00E73F9A">
      <w:pPr>
        <w:jc w:val="both"/>
        <w:rPr>
          <w:rFonts w:ascii="Arial" w:hAnsi="Arial" w:cs="Arial"/>
          <w:sz w:val="22"/>
          <w:szCs w:val="22"/>
        </w:rPr>
      </w:pPr>
      <w:r w:rsidRPr="00326ED8">
        <w:rPr>
          <w:rFonts w:ascii="Arial" w:hAnsi="Arial" w:cs="Arial"/>
          <w:sz w:val="22"/>
          <w:szCs w:val="22"/>
        </w:rPr>
        <w:t xml:space="preserve">Toplam aktiflerin yüzde </w:t>
      </w:r>
      <w:r w:rsidR="00A17CA2" w:rsidRPr="00326ED8">
        <w:rPr>
          <w:rFonts w:ascii="Arial" w:hAnsi="Arial" w:cs="Arial"/>
          <w:sz w:val="22"/>
          <w:szCs w:val="22"/>
        </w:rPr>
        <w:t>52’si</w:t>
      </w:r>
      <w:r w:rsidRPr="00326ED8">
        <w:rPr>
          <w:rFonts w:ascii="Arial" w:hAnsi="Arial" w:cs="Arial"/>
          <w:sz w:val="22"/>
          <w:szCs w:val="22"/>
        </w:rPr>
        <w:t xml:space="preserve">, kaynakların ise yüzde </w:t>
      </w:r>
      <w:r w:rsidR="00004382" w:rsidRPr="00326ED8">
        <w:rPr>
          <w:rFonts w:ascii="Arial" w:hAnsi="Arial" w:cs="Arial"/>
          <w:sz w:val="22"/>
          <w:szCs w:val="22"/>
        </w:rPr>
        <w:t>78’</w:t>
      </w:r>
      <w:r w:rsidR="00A17CA2" w:rsidRPr="00326ED8">
        <w:rPr>
          <w:rFonts w:ascii="Arial" w:hAnsi="Arial" w:cs="Arial"/>
          <w:sz w:val="22"/>
          <w:szCs w:val="22"/>
        </w:rPr>
        <w:t>i</w:t>
      </w:r>
      <w:r w:rsidR="00E73F9A" w:rsidRPr="00326ED8">
        <w:rPr>
          <w:rFonts w:ascii="Arial" w:hAnsi="Arial" w:cs="Arial"/>
          <w:sz w:val="22"/>
          <w:szCs w:val="22"/>
        </w:rPr>
        <w:t xml:space="preserve"> 1 yıldan daha kısa vadelidir. </w:t>
      </w:r>
      <w:r w:rsidR="00AE1D6D" w:rsidRPr="00326ED8">
        <w:rPr>
          <w:rFonts w:ascii="Arial" w:hAnsi="Arial" w:cs="Arial"/>
          <w:sz w:val="22"/>
          <w:szCs w:val="22"/>
        </w:rPr>
        <w:t xml:space="preserve">Toplam aktiflerin ve pasiflerin ortalama vade yapısında </w:t>
      </w:r>
      <w:r w:rsidR="00A17CA2" w:rsidRPr="00326ED8">
        <w:rPr>
          <w:rFonts w:ascii="Arial" w:hAnsi="Arial" w:cs="Arial"/>
          <w:sz w:val="22"/>
          <w:szCs w:val="22"/>
        </w:rPr>
        <w:t xml:space="preserve">Aralık </w:t>
      </w:r>
      <w:r w:rsidR="00004382" w:rsidRPr="00326ED8">
        <w:rPr>
          <w:rFonts w:ascii="Arial" w:hAnsi="Arial" w:cs="Arial"/>
          <w:sz w:val="22"/>
          <w:szCs w:val="22"/>
        </w:rPr>
        <w:t>2013</w:t>
      </w:r>
      <w:r w:rsidR="00AE1D6D" w:rsidRPr="00326ED8">
        <w:rPr>
          <w:rFonts w:ascii="Arial" w:hAnsi="Arial" w:cs="Arial"/>
          <w:sz w:val="22"/>
          <w:szCs w:val="22"/>
        </w:rPr>
        <w:t>’</w:t>
      </w:r>
      <w:r w:rsidR="00700D37" w:rsidRPr="00326ED8">
        <w:rPr>
          <w:rFonts w:ascii="Arial" w:hAnsi="Arial" w:cs="Arial"/>
          <w:sz w:val="22"/>
          <w:szCs w:val="22"/>
        </w:rPr>
        <w:t>e</w:t>
      </w:r>
      <w:r w:rsidR="00AE1D6D" w:rsidRPr="00326ED8">
        <w:rPr>
          <w:rFonts w:ascii="Arial" w:hAnsi="Arial" w:cs="Arial"/>
          <w:sz w:val="22"/>
          <w:szCs w:val="22"/>
        </w:rPr>
        <w:t xml:space="preserve"> göre önemli bir değişiklik olmamıştır.</w:t>
      </w:r>
    </w:p>
    <w:p w:rsidR="00940D54" w:rsidRPr="00326ED8" w:rsidRDefault="00940D54" w:rsidP="00940D54">
      <w:pPr>
        <w:jc w:val="both"/>
        <w:rPr>
          <w:rFonts w:ascii="Arial" w:hAnsi="Arial" w:cs="Arial"/>
          <w:sz w:val="22"/>
          <w:szCs w:val="22"/>
        </w:rPr>
      </w:pPr>
    </w:p>
    <w:p w:rsidR="00940D54" w:rsidRPr="00326ED8" w:rsidRDefault="00940D54" w:rsidP="00940D54">
      <w:pPr>
        <w:jc w:val="both"/>
        <w:rPr>
          <w:rFonts w:ascii="Arial" w:hAnsi="Arial" w:cs="Arial"/>
          <w:sz w:val="22"/>
          <w:szCs w:val="22"/>
        </w:rPr>
      </w:pPr>
      <w:r w:rsidRPr="00326ED8">
        <w:rPr>
          <w:rFonts w:ascii="Arial" w:hAnsi="Arial" w:cs="Arial"/>
          <w:sz w:val="22"/>
          <w:szCs w:val="22"/>
        </w:rPr>
        <w:t>T</w:t>
      </w:r>
      <w:r w:rsidR="007E1832" w:rsidRPr="00326ED8">
        <w:rPr>
          <w:rFonts w:ascii="Arial" w:hAnsi="Arial" w:cs="Arial"/>
          <w:sz w:val="22"/>
          <w:szCs w:val="22"/>
        </w:rPr>
        <w:t>o</w:t>
      </w:r>
      <w:r w:rsidR="00A22E8E" w:rsidRPr="00326ED8">
        <w:rPr>
          <w:rFonts w:ascii="Arial" w:hAnsi="Arial" w:cs="Arial"/>
          <w:sz w:val="22"/>
          <w:szCs w:val="22"/>
        </w:rPr>
        <w:t>plam kredilerin yüzde 1,</w:t>
      </w:r>
      <w:r w:rsidR="00A17CA2" w:rsidRPr="00326ED8">
        <w:rPr>
          <w:rFonts w:ascii="Arial" w:hAnsi="Arial" w:cs="Arial"/>
          <w:sz w:val="22"/>
          <w:szCs w:val="22"/>
        </w:rPr>
        <w:t>1</w:t>
      </w:r>
      <w:r w:rsidR="00CD6AF6" w:rsidRPr="00326ED8">
        <w:rPr>
          <w:rFonts w:ascii="Arial" w:hAnsi="Arial" w:cs="Arial"/>
          <w:sz w:val="22"/>
          <w:szCs w:val="22"/>
        </w:rPr>
        <w:t>’</w:t>
      </w:r>
      <w:r w:rsidR="00004382" w:rsidRPr="00326ED8">
        <w:rPr>
          <w:rFonts w:ascii="Arial" w:hAnsi="Arial" w:cs="Arial"/>
          <w:sz w:val="22"/>
          <w:szCs w:val="22"/>
        </w:rPr>
        <w:t>i (11</w:t>
      </w:r>
      <w:r w:rsidR="00A22E8E" w:rsidRPr="00326ED8">
        <w:rPr>
          <w:rFonts w:ascii="Arial" w:hAnsi="Arial" w:cs="Arial"/>
          <w:sz w:val="22"/>
          <w:szCs w:val="22"/>
        </w:rPr>
        <w:t>,</w:t>
      </w:r>
      <w:r w:rsidR="00004382" w:rsidRPr="00326ED8">
        <w:rPr>
          <w:rFonts w:ascii="Arial" w:hAnsi="Arial" w:cs="Arial"/>
          <w:sz w:val="22"/>
          <w:szCs w:val="22"/>
        </w:rPr>
        <w:t>5</w:t>
      </w:r>
      <w:r w:rsidRPr="00326ED8">
        <w:rPr>
          <w:rFonts w:ascii="Arial" w:hAnsi="Arial" w:cs="Arial"/>
          <w:sz w:val="22"/>
          <w:szCs w:val="22"/>
        </w:rPr>
        <w:t xml:space="preserve"> milyar</w:t>
      </w:r>
      <w:r w:rsidR="00CD6AF6" w:rsidRPr="00326ED8">
        <w:rPr>
          <w:rFonts w:ascii="Arial" w:hAnsi="Arial" w:cs="Arial"/>
          <w:sz w:val="22"/>
          <w:szCs w:val="22"/>
        </w:rPr>
        <w:t xml:space="preserve"> T</w:t>
      </w:r>
      <w:r w:rsidR="00A22E8E" w:rsidRPr="00326ED8">
        <w:rPr>
          <w:rFonts w:ascii="Arial" w:hAnsi="Arial" w:cs="Arial"/>
          <w:sz w:val="22"/>
          <w:szCs w:val="22"/>
        </w:rPr>
        <w:t>L) ve toplam mevduatın yüzde 3,</w:t>
      </w:r>
      <w:r w:rsidR="00004382" w:rsidRPr="00326ED8">
        <w:rPr>
          <w:rFonts w:ascii="Arial" w:hAnsi="Arial" w:cs="Arial"/>
          <w:sz w:val="22"/>
          <w:szCs w:val="22"/>
        </w:rPr>
        <w:t>3</w:t>
      </w:r>
      <w:r w:rsidR="00BA5F04" w:rsidRPr="00326ED8">
        <w:rPr>
          <w:rFonts w:ascii="Arial" w:hAnsi="Arial" w:cs="Arial"/>
          <w:sz w:val="22"/>
          <w:szCs w:val="22"/>
        </w:rPr>
        <w:t>’</w:t>
      </w:r>
      <w:r w:rsidR="00FF5B16" w:rsidRPr="00326ED8">
        <w:rPr>
          <w:rFonts w:ascii="Arial" w:hAnsi="Arial" w:cs="Arial"/>
          <w:sz w:val="22"/>
          <w:szCs w:val="22"/>
        </w:rPr>
        <w:t>ü</w:t>
      </w:r>
      <w:r w:rsidR="00004382" w:rsidRPr="00326ED8">
        <w:rPr>
          <w:rFonts w:ascii="Arial" w:hAnsi="Arial" w:cs="Arial"/>
          <w:sz w:val="22"/>
          <w:szCs w:val="22"/>
        </w:rPr>
        <w:t xml:space="preserve"> (31</w:t>
      </w:r>
      <w:r w:rsidR="00FF5B16" w:rsidRPr="00326ED8">
        <w:rPr>
          <w:rFonts w:ascii="Arial" w:hAnsi="Arial" w:cs="Arial"/>
          <w:sz w:val="22"/>
          <w:szCs w:val="22"/>
        </w:rPr>
        <w:t>,</w:t>
      </w:r>
      <w:r w:rsidR="00004382" w:rsidRPr="00326ED8">
        <w:rPr>
          <w:rFonts w:ascii="Arial" w:hAnsi="Arial" w:cs="Arial"/>
          <w:sz w:val="22"/>
          <w:szCs w:val="22"/>
        </w:rPr>
        <w:t>8</w:t>
      </w:r>
      <w:r w:rsidRPr="00326ED8">
        <w:rPr>
          <w:rFonts w:ascii="Arial" w:hAnsi="Arial" w:cs="Arial"/>
          <w:sz w:val="22"/>
          <w:szCs w:val="22"/>
        </w:rPr>
        <w:t xml:space="preserve"> milyar TL) bankaların dahil oldukları risk grubuna aittir. Bankaların dahil oldukları risk grub</w:t>
      </w:r>
      <w:r w:rsidR="007E1832" w:rsidRPr="00326ED8">
        <w:rPr>
          <w:rFonts w:ascii="Arial" w:hAnsi="Arial" w:cs="Arial"/>
          <w:sz w:val="22"/>
          <w:szCs w:val="22"/>
        </w:rPr>
        <w:t>u</w:t>
      </w:r>
      <w:r w:rsidR="00CD6AF6" w:rsidRPr="00326ED8">
        <w:rPr>
          <w:rFonts w:ascii="Arial" w:hAnsi="Arial" w:cs="Arial"/>
          <w:sz w:val="22"/>
          <w:szCs w:val="22"/>
        </w:rPr>
        <w:t xml:space="preserve">na ait </w:t>
      </w:r>
      <w:r w:rsidR="00004382" w:rsidRPr="00326ED8">
        <w:rPr>
          <w:rFonts w:ascii="Arial" w:hAnsi="Arial" w:cs="Arial"/>
          <w:sz w:val="22"/>
          <w:szCs w:val="22"/>
        </w:rPr>
        <w:t>net riskleri negatif (-20,3</w:t>
      </w:r>
      <w:r w:rsidRPr="00326ED8">
        <w:rPr>
          <w:rFonts w:ascii="Arial" w:hAnsi="Arial" w:cs="Arial"/>
          <w:sz w:val="22"/>
          <w:szCs w:val="22"/>
        </w:rPr>
        <w:t xml:space="preserve"> milyar TL) olmuştur.</w:t>
      </w:r>
    </w:p>
    <w:p w:rsidR="00FA2403" w:rsidRPr="00326ED8" w:rsidRDefault="00FA2403" w:rsidP="00CC3FDF">
      <w:pPr>
        <w:jc w:val="both"/>
        <w:rPr>
          <w:rFonts w:ascii="Arial" w:hAnsi="Arial" w:cs="Arial"/>
          <w:b/>
          <w:sz w:val="22"/>
          <w:szCs w:val="22"/>
        </w:rPr>
      </w:pPr>
    </w:p>
    <w:p w:rsidR="00D62F1E" w:rsidRPr="00326ED8" w:rsidRDefault="00FB0574" w:rsidP="00CC3FDF">
      <w:pPr>
        <w:jc w:val="both"/>
        <w:rPr>
          <w:rFonts w:ascii="Arial" w:hAnsi="Arial" w:cs="Arial"/>
          <w:b/>
          <w:sz w:val="22"/>
          <w:szCs w:val="22"/>
        </w:rPr>
      </w:pPr>
      <w:r w:rsidRPr="00326ED8">
        <w:rPr>
          <w:rFonts w:ascii="Arial" w:hAnsi="Arial" w:cs="Arial"/>
          <w:b/>
          <w:sz w:val="22"/>
          <w:szCs w:val="22"/>
        </w:rPr>
        <w:t>3</w:t>
      </w:r>
      <w:r w:rsidR="005E5114" w:rsidRPr="00326ED8">
        <w:rPr>
          <w:rFonts w:ascii="Arial" w:hAnsi="Arial" w:cs="Arial"/>
          <w:b/>
          <w:sz w:val="22"/>
          <w:szCs w:val="22"/>
        </w:rPr>
        <w:t>.</w:t>
      </w:r>
      <w:r w:rsidR="004D4232" w:rsidRPr="00326ED8">
        <w:rPr>
          <w:rFonts w:ascii="Arial" w:hAnsi="Arial" w:cs="Arial"/>
          <w:b/>
          <w:sz w:val="22"/>
          <w:szCs w:val="22"/>
        </w:rPr>
        <w:t xml:space="preserve"> </w:t>
      </w:r>
      <w:r w:rsidR="001450BA" w:rsidRPr="00326ED8">
        <w:rPr>
          <w:rFonts w:ascii="Arial" w:hAnsi="Arial" w:cs="Arial"/>
          <w:b/>
          <w:sz w:val="22"/>
          <w:szCs w:val="22"/>
        </w:rPr>
        <w:t xml:space="preserve">Genel bilgiler </w:t>
      </w:r>
    </w:p>
    <w:p w:rsidR="00A17CA2" w:rsidRPr="00326ED8" w:rsidRDefault="00A17CA2" w:rsidP="00E73F9A">
      <w:pPr>
        <w:jc w:val="both"/>
        <w:rPr>
          <w:rFonts w:ascii="Arial" w:hAnsi="Arial" w:cs="Arial"/>
          <w:sz w:val="22"/>
          <w:szCs w:val="22"/>
        </w:rPr>
      </w:pPr>
    </w:p>
    <w:p w:rsidR="00E73F9A" w:rsidRPr="00326ED8" w:rsidRDefault="00A17CA2" w:rsidP="00E73F9A">
      <w:pPr>
        <w:jc w:val="both"/>
        <w:rPr>
          <w:rFonts w:ascii="Arial" w:hAnsi="Arial" w:cs="Arial"/>
          <w:sz w:val="22"/>
          <w:szCs w:val="22"/>
        </w:rPr>
      </w:pPr>
      <w:r w:rsidRPr="00326ED8">
        <w:rPr>
          <w:rFonts w:ascii="Arial" w:hAnsi="Arial" w:cs="Arial"/>
          <w:sz w:val="22"/>
          <w:szCs w:val="22"/>
        </w:rPr>
        <w:t xml:space="preserve">Mart </w:t>
      </w:r>
      <w:r w:rsidR="000E4B10" w:rsidRPr="00326ED8">
        <w:rPr>
          <w:rFonts w:ascii="Arial" w:hAnsi="Arial" w:cs="Arial"/>
          <w:sz w:val="22"/>
          <w:szCs w:val="22"/>
        </w:rPr>
        <w:t>201</w:t>
      </w:r>
      <w:r w:rsidR="006360B8" w:rsidRPr="00326ED8">
        <w:rPr>
          <w:rFonts w:ascii="Arial" w:hAnsi="Arial" w:cs="Arial"/>
          <w:sz w:val="22"/>
          <w:szCs w:val="22"/>
        </w:rPr>
        <w:t>4</w:t>
      </w:r>
      <w:r w:rsidR="00E73F9A" w:rsidRPr="00326ED8">
        <w:rPr>
          <w:rFonts w:ascii="Arial" w:hAnsi="Arial" w:cs="Arial"/>
          <w:sz w:val="22"/>
          <w:szCs w:val="22"/>
        </w:rPr>
        <w:t xml:space="preserve"> itibariyle f</w:t>
      </w:r>
      <w:r w:rsidR="000E4B10" w:rsidRPr="00326ED8">
        <w:rPr>
          <w:rFonts w:ascii="Arial" w:hAnsi="Arial" w:cs="Arial"/>
          <w:sz w:val="22"/>
          <w:szCs w:val="22"/>
        </w:rPr>
        <w:t>aaliyet gösteren banka sayısı 4</w:t>
      </w:r>
      <w:r w:rsidRPr="00326ED8">
        <w:rPr>
          <w:rFonts w:ascii="Arial" w:hAnsi="Arial" w:cs="Arial"/>
          <w:sz w:val="22"/>
          <w:szCs w:val="22"/>
        </w:rPr>
        <w:t>5</w:t>
      </w:r>
      <w:r w:rsidR="00E73F9A" w:rsidRPr="00326ED8">
        <w:rPr>
          <w:rFonts w:ascii="Arial" w:hAnsi="Arial" w:cs="Arial"/>
          <w:sz w:val="22"/>
          <w:szCs w:val="22"/>
        </w:rPr>
        <w:t xml:space="preserve"> tanedir. </w:t>
      </w:r>
      <w:r w:rsidRPr="00326ED8">
        <w:rPr>
          <w:rFonts w:ascii="Arial" w:hAnsi="Arial" w:cs="Arial"/>
          <w:sz w:val="22"/>
          <w:szCs w:val="22"/>
        </w:rPr>
        <w:t>Aralık</w:t>
      </w:r>
      <w:r w:rsidR="00DA3691" w:rsidRPr="00326ED8">
        <w:rPr>
          <w:rFonts w:ascii="Arial" w:hAnsi="Arial" w:cs="Arial"/>
          <w:sz w:val="22"/>
          <w:szCs w:val="22"/>
        </w:rPr>
        <w:t xml:space="preserve"> 201</w:t>
      </w:r>
      <w:r w:rsidR="006360B8" w:rsidRPr="00326ED8">
        <w:rPr>
          <w:rFonts w:ascii="Arial" w:hAnsi="Arial" w:cs="Arial"/>
          <w:sz w:val="22"/>
          <w:szCs w:val="22"/>
        </w:rPr>
        <w:t>3</w:t>
      </w:r>
      <w:r w:rsidR="00E73F9A" w:rsidRPr="00326ED8">
        <w:rPr>
          <w:rFonts w:ascii="Arial" w:hAnsi="Arial" w:cs="Arial"/>
          <w:sz w:val="22"/>
          <w:szCs w:val="22"/>
        </w:rPr>
        <w:t xml:space="preserve"> dönemine göre,</w:t>
      </w:r>
      <w:r w:rsidR="00006D24" w:rsidRPr="00326ED8">
        <w:rPr>
          <w:rFonts w:ascii="Arial" w:hAnsi="Arial" w:cs="Arial"/>
          <w:sz w:val="22"/>
          <w:szCs w:val="22"/>
        </w:rPr>
        <w:t xml:space="preserve"> </w:t>
      </w:r>
      <w:r w:rsidR="00E73F9A" w:rsidRPr="00326ED8">
        <w:rPr>
          <w:rFonts w:ascii="Arial" w:hAnsi="Arial" w:cs="Arial"/>
          <w:sz w:val="22"/>
          <w:szCs w:val="22"/>
        </w:rPr>
        <w:t xml:space="preserve">şube sayısı </w:t>
      </w:r>
      <w:r w:rsidR="006360B8" w:rsidRPr="00326ED8">
        <w:rPr>
          <w:rFonts w:ascii="Arial" w:hAnsi="Arial" w:cs="Arial"/>
          <w:sz w:val="22"/>
          <w:szCs w:val="22"/>
        </w:rPr>
        <w:t>34</w:t>
      </w:r>
      <w:r w:rsidR="00E341E1" w:rsidRPr="00326ED8">
        <w:rPr>
          <w:rFonts w:ascii="Arial" w:hAnsi="Arial" w:cs="Arial"/>
          <w:sz w:val="22"/>
          <w:szCs w:val="22"/>
        </w:rPr>
        <w:t xml:space="preserve"> adet artar</w:t>
      </w:r>
      <w:r w:rsidR="006360B8" w:rsidRPr="00326ED8">
        <w:rPr>
          <w:rFonts w:ascii="Arial" w:hAnsi="Arial" w:cs="Arial"/>
          <w:sz w:val="22"/>
          <w:szCs w:val="22"/>
        </w:rPr>
        <w:t>ak 11</w:t>
      </w:r>
      <w:r w:rsidR="00EA036A" w:rsidRPr="00326ED8">
        <w:rPr>
          <w:rFonts w:ascii="Arial" w:hAnsi="Arial" w:cs="Arial"/>
          <w:sz w:val="22"/>
          <w:szCs w:val="22"/>
        </w:rPr>
        <w:t>.</w:t>
      </w:r>
      <w:r w:rsidR="006360B8" w:rsidRPr="00326ED8">
        <w:rPr>
          <w:rFonts w:ascii="Arial" w:hAnsi="Arial" w:cs="Arial"/>
          <w:sz w:val="22"/>
          <w:szCs w:val="22"/>
        </w:rPr>
        <w:t>055</w:t>
      </w:r>
      <w:r w:rsidR="000445E2" w:rsidRPr="00326ED8">
        <w:rPr>
          <w:rFonts w:ascii="Arial" w:hAnsi="Arial" w:cs="Arial"/>
          <w:sz w:val="22"/>
          <w:szCs w:val="22"/>
        </w:rPr>
        <w:t>’e</w:t>
      </w:r>
      <w:r w:rsidR="00E73F9A" w:rsidRPr="00326ED8">
        <w:rPr>
          <w:rFonts w:ascii="Arial" w:hAnsi="Arial" w:cs="Arial"/>
          <w:sz w:val="22"/>
          <w:szCs w:val="22"/>
        </w:rPr>
        <w:t xml:space="preserve"> yükselmiştir. Personel sayısı</w:t>
      </w:r>
      <w:r w:rsidR="00924635" w:rsidRPr="00326ED8">
        <w:rPr>
          <w:rFonts w:ascii="Arial" w:hAnsi="Arial" w:cs="Arial"/>
          <w:sz w:val="22"/>
          <w:szCs w:val="22"/>
        </w:rPr>
        <w:t xml:space="preserve"> </w:t>
      </w:r>
      <w:r w:rsidR="006360B8" w:rsidRPr="00326ED8">
        <w:rPr>
          <w:rFonts w:ascii="Arial" w:hAnsi="Arial" w:cs="Arial"/>
          <w:sz w:val="22"/>
          <w:szCs w:val="22"/>
        </w:rPr>
        <w:t>Aralık 2013’</w:t>
      </w:r>
      <w:r w:rsidR="009D3C04" w:rsidRPr="00326ED8">
        <w:rPr>
          <w:rFonts w:ascii="Arial" w:hAnsi="Arial" w:cs="Arial"/>
          <w:sz w:val="22"/>
          <w:szCs w:val="22"/>
        </w:rPr>
        <w:t xml:space="preserve">e </w:t>
      </w:r>
      <w:r w:rsidR="00924635" w:rsidRPr="00326ED8">
        <w:rPr>
          <w:rFonts w:ascii="Arial" w:hAnsi="Arial" w:cs="Arial"/>
          <w:sz w:val="22"/>
          <w:szCs w:val="22"/>
        </w:rPr>
        <w:t xml:space="preserve">göre </w:t>
      </w:r>
      <w:r w:rsidR="006360B8" w:rsidRPr="00326ED8">
        <w:rPr>
          <w:rFonts w:ascii="Arial" w:hAnsi="Arial" w:cs="Arial"/>
          <w:sz w:val="22"/>
          <w:szCs w:val="22"/>
        </w:rPr>
        <w:t>862</w:t>
      </w:r>
      <w:r w:rsidR="00FF1F68" w:rsidRPr="00326ED8">
        <w:rPr>
          <w:rFonts w:ascii="Arial" w:hAnsi="Arial" w:cs="Arial"/>
          <w:sz w:val="22"/>
          <w:szCs w:val="22"/>
        </w:rPr>
        <w:t xml:space="preserve"> kişi </w:t>
      </w:r>
      <w:r w:rsidR="00B8163E" w:rsidRPr="00326ED8">
        <w:rPr>
          <w:rFonts w:ascii="Arial" w:hAnsi="Arial" w:cs="Arial"/>
          <w:sz w:val="22"/>
          <w:szCs w:val="22"/>
        </w:rPr>
        <w:t>artarak</w:t>
      </w:r>
      <w:r w:rsidR="009D0CDA" w:rsidRPr="00326ED8">
        <w:rPr>
          <w:rFonts w:ascii="Arial" w:hAnsi="Arial" w:cs="Arial"/>
          <w:sz w:val="22"/>
          <w:szCs w:val="22"/>
        </w:rPr>
        <w:t xml:space="preserve"> </w:t>
      </w:r>
      <w:r w:rsidR="006360B8" w:rsidRPr="00326ED8">
        <w:rPr>
          <w:rFonts w:ascii="Arial" w:hAnsi="Arial" w:cs="Arial"/>
          <w:sz w:val="22"/>
          <w:szCs w:val="22"/>
        </w:rPr>
        <w:t>19</w:t>
      </w:r>
      <w:r w:rsidR="009D3C04" w:rsidRPr="00326ED8">
        <w:rPr>
          <w:rFonts w:ascii="Arial" w:hAnsi="Arial" w:cs="Arial"/>
          <w:sz w:val="22"/>
          <w:szCs w:val="22"/>
        </w:rPr>
        <w:t>8</w:t>
      </w:r>
      <w:r w:rsidR="00EA036A" w:rsidRPr="00326ED8">
        <w:rPr>
          <w:rFonts w:ascii="Arial" w:hAnsi="Arial" w:cs="Arial"/>
          <w:sz w:val="22"/>
          <w:szCs w:val="22"/>
        </w:rPr>
        <w:t>.</w:t>
      </w:r>
      <w:r w:rsidR="006360B8" w:rsidRPr="00326ED8">
        <w:rPr>
          <w:rFonts w:ascii="Arial" w:hAnsi="Arial" w:cs="Arial"/>
          <w:sz w:val="22"/>
          <w:szCs w:val="22"/>
        </w:rPr>
        <w:t>327</w:t>
      </w:r>
      <w:r w:rsidR="00E341E1" w:rsidRPr="00326ED8">
        <w:rPr>
          <w:rFonts w:ascii="Arial" w:hAnsi="Arial" w:cs="Arial"/>
          <w:sz w:val="22"/>
          <w:szCs w:val="22"/>
        </w:rPr>
        <w:t>’</w:t>
      </w:r>
      <w:r w:rsidR="006360B8" w:rsidRPr="00326ED8">
        <w:rPr>
          <w:rFonts w:ascii="Arial" w:hAnsi="Arial" w:cs="Arial"/>
          <w:sz w:val="22"/>
          <w:szCs w:val="22"/>
        </w:rPr>
        <w:t>y</w:t>
      </w:r>
      <w:r w:rsidR="00E341E1" w:rsidRPr="00326ED8">
        <w:rPr>
          <w:rFonts w:ascii="Arial" w:hAnsi="Arial" w:cs="Arial"/>
          <w:sz w:val="22"/>
          <w:szCs w:val="22"/>
        </w:rPr>
        <w:t>e</w:t>
      </w:r>
      <w:r w:rsidR="00FF1F68" w:rsidRPr="00326ED8">
        <w:rPr>
          <w:rFonts w:ascii="Arial" w:hAnsi="Arial" w:cs="Arial"/>
          <w:sz w:val="22"/>
          <w:szCs w:val="22"/>
        </w:rPr>
        <w:t xml:space="preserve"> </w:t>
      </w:r>
      <w:r w:rsidR="00EA036A" w:rsidRPr="00326ED8">
        <w:rPr>
          <w:rFonts w:ascii="Arial" w:hAnsi="Arial" w:cs="Arial"/>
          <w:sz w:val="22"/>
          <w:szCs w:val="22"/>
        </w:rPr>
        <w:t>yükselmiştir</w:t>
      </w:r>
      <w:r w:rsidR="00924635" w:rsidRPr="00326ED8">
        <w:rPr>
          <w:rFonts w:ascii="Arial" w:hAnsi="Arial" w:cs="Arial"/>
          <w:sz w:val="22"/>
          <w:szCs w:val="22"/>
        </w:rPr>
        <w:t>.</w:t>
      </w:r>
    </w:p>
    <w:p w:rsidR="00E73F9A" w:rsidRPr="00326ED8" w:rsidRDefault="00E73F9A" w:rsidP="00CC3FDF">
      <w:pPr>
        <w:jc w:val="both"/>
        <w:rPr>
          <w:rFonts w:ascii="Arial" w:hAnsi="Arial" w:cs="Arial"/>
          <w:sz w:val="22"/>
          <w:szCs w:val="22"/>
        </w:rPr>
      </w:pPr>
    </w:p>
    <w:p w:rsidR="00CC3FDF" w:rsidRPr="00326ED8" w:rsidRDefault="009D3C04" w:rsidP="00CC3FDF">
      <w:pPr>
        <w:jc w:val="both"/>
        <w:rPr>
          <w:rFonts w:ascii="Arial" w:hAnsi="Arial" w:cs="Arial"/>
          <w:sz w:val="22"/>
          <w:szCs w:val="22"/>
        </w:rPr>
      </w:pPr>
      <w:r w:rsidRPr="00326ED8">
        <w:rPr>
          <w:rFonts w:ascii="Arial" w:hAnsi="Arial" w:cs="Arial"/>
          <w:sz w:val="22"/>
          <w:szCs w:val="22"/>
        </w:rPr>
        <w:t>Mart</w:t>
      </w:r>
      <w:r w:rsidR="00B8163E" w:rsidRPr="00326ED8">
        <w:rPr>
          <w:rFonts w:ascii="Arial" w:hAnsi="Arial" w:cs="Arial"/>
          <w:sz w:val="22"/>
          <w:szCs w:val="22"/>
        </w:rPr>
        <w:t xml:space="preserve"> 201</w:t>
      </w:r>
      <w:r w:rsidR="006360B8" w:rsidRPr="00326ED8">
        <w:rPr>
          <w:rFonts w:ascii="Arial" w:hAnsi="Arial" w:cs="Arial"/>
          <w:sz w:val="22"/>
          <w:szCs w:val="22"/>
        </w:rPr>
        <w:t>4</w:t>
      </w:r>
      <w:r w:rsidR="0086063C" w:rsidRPr="00326ED8">
        <w:rPr>
          <w:rFonts w:ascii="Arial" w:hAnsi="Arial" w:cs="Arial"/>
          <w:sz w:val="22"/>
          <w:szCs w:val="22"/>
        </w:rPr>
        <w:t xml:space="preserve"> itibariyle, </w:t>
      </w:r>
      <w:r w:rsidR="00DE35D9" w:rsidRPr="00326ED8">
        <w:rPr>
          <w:rFonts w:ascii="Arial" w:hAnsi="Arial" w:cs="Arial"/>
          <w:sz w:val="22"/>
          <w:szCs w:val="22"/>
        </w:rPr>
        <w:t xml:space="preserve">ilk beş bankanın </w:t>
      </w:r>
      <w:r w:rsidR="00230002" w:rsidRPr="00326ED8">
        <w:rPr>
          <w:rFonts w:ascii="Arial" w:hAnsi="Arial" w:cs="Arial"/>
          <w:sz w:val="22"/>
          <w:szCs w:val="22"/>
        </w:rPr>
        <w:t xml:space="preserve">toplam </w:t>
      </w:r>
      <w:r w:rsidR="00DE35D9" w:rsidRPr="00326ED8">
        <w:rPr>
          <w:rFonts w:ascii="Arial" w:hAnsi="Arial" w:cs="Arial"/>
          <w:sz w:val="22"/>
          <w:szCs w:val="22"/>
        </w:rPr>
        <w:t>aktif</w:t>
      </w:r>
      <w:r w:rsidR="00230002" w:rsidRPr="00326ED8">
        <w:rPr>
          <w:rFonts w:ascii="Arial" w:hAnsi="Arial" w:cs="Arial"/>
          <w:sz w:val="22"/>
          <w:szCs w:val="22"/>
        </w:rPr>
        <w:t xml:space="preserve">ler içindeki payı yüzde </w:t>
      </w:r>
      <w:r w:rsidR="00923F80" w:rsidRPr="00326ED8">
        <w:rPr>
          <w:rFonts w:ascii="Arial" w:hAnsi="Arial" w:cs="Arial"/>
          <w:sz w:val="22"/>
          <w:szCs w:val="22"/>
        </w:rPr>
        <w:t>58, mevduat içindeki payı yüzde 59</w:t>
      </w:r>
      <w:r w:rsidR="00DE35D9" w:rsidRPr="00326ED8">
        <w:rPr>
          <w:rFonts w:ascii="Arial" w:hAnsi="Arial" w:cs="Arial"/>
          <w:sz w:val="22"/>
          <w:szCs w:val="22"/>
        </w:rPr>
        <w:t xml:space="preserve"> ve </w:t>
      </w:r>
      <w:r w:rsidR="008258D7" w:rsidRPr="00326ED8">
        <w:rPr>
          <w:rFonts w:ascii="Arial" w:hAnsi="Arial" w:cs="Arial"/>
          <w:sz w:val="22"/>
          <w:szCs w:val="22"/>
        </w:rPr>
        <w:t>kredi</w:t>
      </w:r>
      <w:r w:rsidR="007B2A46" w:rsidRPr="00326ED8">
        <w:rPr>
          <w:rFonts w:ascii="Arial" w:hAnsi="Arial" w:cs="Arial"/>
          <w:sz w:val="22"/>
          <w:szCs w:val="22"/>
        </w:rPr>
        <w:t>ler</w:t>
      </w:r>
      <w:r w:rsidR="008258D7" w:rsidRPr="00326ED8">
        <w:rPr>
          <w:rFonts w:ascii="Arial" w:hAnsi="Arial" w:cs="Arial"/>
          <w:sz w:val="22"/>
          <w:szCs w:val="22"/>
        </w:rPr>
        <w:t xml:space="preserve"> içindeki payı ise </w:t>
      </w:r>
      <w:r w:rsidR="00923F80" w:rsidRPr="00326ED8">
        <w:rPr>
          <w:rFonts w:ascii="Arial" w:hAnsi="Arial" w:cs="Arial"/>
          <w:sz w:val="22"/>
          <w:szCs w:val="22"/>
        </w:rPr>
        <w:t>yüzde 56</w:t>
      </w:r>
      <w:r w:rsidR="00DE35D9" w:rsidRPr="00326ED8">
        <w:rPr>
          <w:rFonts w:ascii="Arial" w:hAnsi="Arial" w:cs="Arial"/>
          <w:sz w:val="22"/>
          <w:szCs w:val="22"/>
        </w:rPr>
        <w:t xml:space="preserve"> düzeyinde gerçekleşmiştir.</w:t>
      </w:r>
      <w:r w:rsidR="00230002" w:rsidRPr="00326ED8">
        <w:rPr>
          <w:rFonts w:ascii="Arial" w:hAnsi="Arial" w:cs="Arial"/>
          <w:sz w:val="22"/>
          <w:szCs w:val="22"/>
        </w:rPr>
        <w:t xml:space="preserve"> İlk on bankanın</w:t>
      </w:r>
      <w:r w:rsidR="008258D7" w:rsidRPr="00326ED8">
        <w:rPr>
          <w:rFonts w:ascii="Arial" w:hAnsi="Arial" w:cs="Arial"/>
          <w:sz w:val="22"/>
          <w:szCs w:val="22"/>
        </w:rPr>
        <w:t xml:space="preserve"> toplam aktifler</w:t>
      </w:r>
      <w:r w:rsidR="00230002" w:rsidRPr="00326ED8">
        <w:rPr>
          <w:rFonts w:ascii="Arial" w:hAnsi="Arial" w:cs="Arial"/>
          <w:sz w:val="22"/>
          <w:szCs w:val="22"/>
        </w:rPr>
        <w:t xml:space="preserve"> </w:t>
      </w:r>
      <w:r w:rsidR="009636C3" w:rsidRPr="00326ED8">
        <w:rPr>
          <w:rFonts w:ascii="Arial" w:hAnsi="Arial" w:cs="Arial"/>
          <w:sz w:val="22"/>
          <w:szCs w:val="22"/>
        </w:rPr>
        <w:t>içindeki payı yüzde 86,</w:t>
      </w:r>
      <w:r w:rsidR="00230002" w:rsidRPr="00326ED8">
        <w:rPr>
          <w:rFonts w:ascii="Arial" w:hAnsi="Arial" w:cs="Arial"/>
          <w:sz w:val="22"/>
          <w:szCs w:val="22"/>
        </w:rPr>
        <w:t xml:space="preserve"> mevduat</w:t>
      </w:r>
      <w:r w:rsidR="007B2A46" w:rsidRPr="00326ED8">
        <w:rPr>
          <w:rFonts w:ascii="Arial" w:hAnsi="Arial" w:cs="Arial"/>
          <w:sz w:val="22"/>
          <w:szCs w:val="22"/>
        </w:rPr>
        <w:t xml:space="preserve"> içindeki payı </w:t>
      </w:r>
      <w:r w:rsidR="009636C3" w:rsidRPr="00326ED8">
        <w:rPr>
          <w:rFonts w:ascii="Arial" w:hAnsi="Arial" w:cs="Arial"/>
          <w:sz w:val="22"/>
          <w:szCs w:val="22"/>
        </w:rPr>
        <w:t>yüzde 90</w:t>
      </w:r>
      <w:r w:rsidR="00230002" w:rsidRPr="00326ED8">
        <w:rPr>
          <w:rFonts w:ascii="Arial" w:hAnsi="Arial" w:cs="Arial"/>
          <w:sz w:val="22"/>
          <w:szCs w:val="22"/>
        </w:rPr>
        <w:t xml:space="preserve"> düzeyinde gerçekleşmiştir.</w:t>
      </w:r>
      <w:r w:rsidR="00B714E2" w:rsidRPr="00326ED8">
        <w:rPr>
          <w:rFonts w:ascii="Arial" w:hAnsi="Arial" w:cs="Arial"/>
          <w:sz w:val="22"/>
          <w:szCs w:val="22"/>
        </w:rPr>
        <w:t xml:space="preserve"> </w:t>
      </w:r>
      <w:r w:rsidR="001B38FD" w:rsidRPr="00326ED8">
        <w:rPr>
          <w:rFonts w:ascii="Arial" w:hAnsi="Arial" w:cs="Arial"/>
          <w:sz w:val="22"/>
          <w:szCs w:val="22"/>
        </w:rPr>
        <w:t>Kre</w:t>
      </w:r>
      <w:r w:rsidR="009636C3" w:rsidRPr="00326ED8">
        <w:rPr>
          <w:rFonts w:ascii="Arial" w:hAnsi="Arial" w:cs="Arial"/>
          <w:sz w:val="22"/>
          <w:szCs w:val="22"/>
        </w:rPr>
        <w:t>diler içindeki payı ise yüzde 84</w:t>
      </w:r>
      <w:r w:rsidR="001B38FD" w:rsidRPr="00326ED8">
        <w:rPr>
          <w:rFonts w:ascii="Arial" w:hAnsi="Arial" w:cs="Arial"/>
          <w:sz w:val="22"/>
          <w:szCs w:val="22"/>
        </w:rPr>
        <w:t xml:space="preserve"> olmuştur.</w:t>
      </w:r>
    </w:p>
    <w:p w:rsidR="009D0CDA" w:rsidRPr="00326ED8" w:rsidRDefault="009D0CDA" w:rsidP="009D0CDA">
      <w:pPr>
        <w:jc w:val="both"/>
        <w:rPr>
          <w:rFonts w:ascii="Arial" w:hAnsi="Arial" w:cs="Arial"/>
          <w:sz w:val="22"/>
          <w:szCs w:val="22"/>
        </w:rPr>
      </w:pPr>
    </w:p>
    <w:p w:rsidR="00CC3FDF" w:rsidRPr="00326ED8" w:rsidRDefault="00CC3FDF" w:rsidP="00CC3FDF">
      <w:pPr>
        <w:pStyle w:val="BodyText"/>
        <w:rPr>
          <w:rFonts w:ascii="Arial" w:hAnsi="Arial" w:cs="Arial"/>
          <w:b/>
          <w:sz w:val="22"/>
          <w:szCs w:val="22"/>
        </w:rPr>
      </w:pPr>
    </w:p>
    <w:p w:rsidR="00CE08B2" w:rsidRPr="00326ED8" w:rsidRDefault="00CE08B2" w:rsidP="00CC3FDF">
      <w:pPr>
        <w:pStyle w:val="Heading4"/>
        <w:rPr>
          <w:rFonts w:ascii="Arial" w:hAnsi="Arial" w:cs="Arial"/>
          <w:b/>
          <w:szCs w:val="24"/>
        </w:rPr>
      </w:pPr>
    </w:p>
    <w:p w:rsidR="004F5921" w:rsidRPr="0074470B" w:rsidRDefault="004F5921" w:rsidP="004F5921"/>
    <w:sectPr w:rsidR="004F5921" w:rsidRPr="0074470B" w:rsidSect="00150A4B">
      <w:headerReference w:type="default" r:id="rId13"/>
      <w:footerReference w:type="even" r:id="rId14"/>
      <w:footerReference w:type="default" r:id="rId15"/>
      <w:headerReference w:type="first" r:id="rId16"/>
      <w:pgSz w:w="11909" w:h="16834" w:code="9"/>
      <w:pgMar w:top="2381" w:right="2268" w:bottom="1440"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B00" w:rsidRDefault="00A10B00">
      <w:r>
        <w:separator/>
      </w:r>
    </w:p>
  </w:endnote>
  <w:endnote w:type="continuationSeparator" w:id="0">
    <w:p w:rsidR="00A10B00" w:rsidRDefault="00A10B00">
      <w:r>
        <w:continuationSeparator/>
      </w:r>
    </w:p>
  </w:endnote>
  <w:endnote w:type="continuationNotice" w:id="1">
    <w:p w:rsidR="00A10B00" w:rsidRDefault="00A10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5A2" w:rsidRDefault="00EC25A2"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Pr="00150A4B" w:rsidRDefault="00EC25A2"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C040D1">
      <w:rPr>
        <w:rStyle w:val="PageNumber"/>
        <w:rFonts w:ascii="Arial" w:hAnsi="Arial" w:cs="Arial"/>
        <w:noProof/>
        <w:sz w:val="18"/>
        <w:szCs w:val="18"/>
      </w:rPr>
      <w:t>1</w:t>
    </w:r>
    <w:r w:rsidRPr="00150A4B">
      <w:rPr>
        <w:rStyle w:val="PageNumber"/>
        <w:rFonts w:ascii="Arial" w:hAnsi="Arial" w:cs="Arial"/>
        <w:sz w:val="18"/>
        <w:szCs w:val="18"/>
      </w:rPr>
      <w:fldChar w:fldCharType="end"/>
    </w:r>
  </w:p>
  <w:p w:rsidR="00EC25A2" w:rsidRPr="00150A4B" w:rsidRDefault="00EC25A2" w:rsidP="00150A4B">
    <w:pPr>
      <w:pStyle w:val="Footer"/>
      <w:ind w:right="360"/>
      <w:rPr>
        <w:rFonts w:ascii="Arial" w:hAnsi="Arial" w:cs="Arial"/>
        <w:sz w:val="18"/>
        <w:szCs w:val="18"/>
      </w:rPr>
    </w:pPr>
    <w:r w:rsidRPr="00150A4B">
      <w:rPr>
        <w:rFonts w:ascii="Arial" w:hAnsi="Arial" w:cs="Arial"/>
        <w:sz w:val="18"/>
        <w:szCs w:val="18"/>
      </w:rPr>
      <w:t>TBB/İstatistiki Raporlar/Üç Aylık B</w:t>
    </w:r>
    <w:r>
      <w:rPr>
        <w:rFonts w:ascii="Arial" w:hAnsi="Arial" w:cs="Arial"/>
        <w:sz w:val="18"/>
        <w:szCs w:val="18"/>
      </w:rPr>
      <w:t>an</w:t>
    </w:r>
    <w:r w:rsidR="0002321F">
      <w:rPr>
        <w:rFonts w:ascii="Arial" w:hAnsi="Arial" w:cs="Arial"/>
        <w:sz w:val="18"/>
        <w:szCs w:val="18"/>
      </w:rPr>
      <w:t>kac</w:t>
    </w:r>
    <w:r w:rsidR="000C1903">
      <w:rPr>
        <w:rFonts w:ascii="Arial" w:hAnsi="Arial" w:cs="Arial"/>
        <w:sz w:val="18"/>
        <w:szCs w:val="18"/>
      </w:rPr>
      <w:t>ılık Sektörü Bilgileri/Mart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B00" w:rsidRDefault="00A10B00">
      <w:r>
        <w:separator/>
      </w:r>
    </w:p>
  </w:footnote>
  <w:footnote w:type="continuationSeparator" w:id="0">
    <w:p w:rsidR="00A10B00" w:rsidRDefault="00A10B00">
      <w:r>
        <w:continuationSeparator/>
      </w:r>
    </w:p>
  </w:footnote>
  <w:footnote w:type="continuationNotice" w:id="1">
    <w:p w:rsidR="00A10B00" w:rsidRDefault="00A10B00"/>
  </w:footnote>
  <w:footnote w:id="2">
    <w:p w:rsidR="00EC25A2" w:rsidRPr="0043078B" w:rsidRDefault="00EC25A2" w:rsidP="00F56C32">
      <w:pPr>
        <w:pStyle w:val="FootnoteText"/>
        <w:jc w:val="both"/>
        <w:rPr>
          <w:rFonts w:ascii="Arial" w:hAnsi="Arial" w:cs="Arial"/>
          <w:sz w:val="18"/>
          <w:szCs w:val="18"/>
        </w:rPr>
      </w:pPr>
      <w:r w:rsidRPr="0043078B">
        <w:rPr>
          <w:rStyle w:val="FootnoteReference"/>
          <w:rFonts w:ascii="Arial" w:hAnsi="Arial" w:cs="Arial"/>
          <w:sz w:val="18"/>
          <w:szCs w:val="18"/>
        </w:rPr>
        <w:footnoteRef/>
      </w:r>
      <w:r w:rsidRPr="0043078B">
        <w:rPr>
          <w:rFonts w:ascii="Arial" w:hAnsi="Arial" w:cs="Arial"/>
          <w:sz w:val="18"/>
          <w:szCs w:val="18"/>
        </w:rPr>
        <w:t xml:space="preserve"> Mevduat bankalarıyla kalkınma ve yatırım bankalarını (KYB) kapsamaktadır.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1" behindDoc="0" locked="0" layoutInCell="1" allowOverlap="1" wp14:anchorId="3313CCA0" wp14:editId="1755529F">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0" behindDoc="0" locked="0" layoutInCell="1" allowOverlap="1" wp14:anchorId="199DE4BA" wp14:editId="6DAA18D4">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1">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2">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3">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7">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0">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3"/>
  </w:num>
  <w:num w:numId="5">
    <w:abstractNumId w:val="4"/>
  </w:num>
  <w:num w:numId="6">
    <w:abstractNumId w:val="5"/>
  </w:num>
  <w:num w:numId="7">
    <w:abstractNumId w:val="12"/>
  </w:num>
  <w:num w:numId="8">
    <w:abstractNumId w:val="2"/>
  </w:num>
  <w:num w:numId="9">
    <w:abstractNumId w:val="11"/>
  </w:num>
  <w:num w:numId="10">
    <w:abstractNumId w:val="13"/>
  </w:num>
  <w:num w:numId="11">
    <w:abstractNumId w:val="14"/>
  </w:num>
  <w:num w:numId="12">
    <w:abstractNumId w:val="6"/>
  </w:num>
  <w:num w:numId="13">
    <w:abstractNumId w:val="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594D"/>
    <w:rsid w:val="000059AC"/>
    <w:rsid w:val="00005DCA"/>
    <w:rsid w:val="00006D24"/>
    <w:rsid w:val="00011F74"/>
    <w:rsid w:val="00015DC6"/>
    <w:rsid w:val="00020CE0"/>
    <w:rsid w:val="00022197"/>
    <w:rsid w:val="0002321F"/>
    <w:rsid w:val="00024B85"/>
    <w:rsid w:val="0002551A"/>
    <w:rsid w:val="000259D4"/>
    <w:rsid w:val="000278CF"/>
    <w:rsid w:val="0003002A"/>
    <w:rsid w:val="000305F2"/>
    <w:rsid w:val="00032C99"/>
    <w:rsid w:val="00032FBF"/>
    <w:rsid w:val="00033D63"/>
    <w:rsid w:val="00034CC3"/>
    <w:rsid w:val="000370A9"/>
    <w:rsid w:val="0004120D"/>
    <w:rsid w:val="000445E2"/>
    <w:rsid w:val="000463F7"/>
    <w:rsid w:val="00050BEE"/>
    <w:rsid w:val="0005252A"/>
    <w:rsid w:val="0006000E"/>
    <w:rsid w:val="000601DB"/>
    <w:rsid w:val="00061AB1"/>
    <w:rsid w:val="00061BE5"/>
    <w:rsid w:val="00063096"/>
    <w:rsid w:val="00063DD6"/>
    <w:rsid w:val="00067586"/>
    <w:rsid w:val="0006776F"/>
    <w:rsid w:val="00071922"/>
    <w:rsid w:val="0007418F"/>
    <w:rsid w:val="000753BC"/>
    <w:rsid w:val="00075ACB"/>
    <w:rsid w:val="00075DBF"/>
    <w:rsid w:val="00077A58"/>
    <w:rsid w:val="000811AE"/>
    <w:rsid w:val="00081CCD"/>
    <w:rsid w:val="00083580"/>
    <w:rsid w:val="00085D08"/>
    <w:rsid w:val="00086B44"/>
    <w:rsid w:val="0008765B"/>
    <w:rsid w:val="000879F2"/>
    <w:rsid w:val="000908AB"/>
    <w:rsid w:val="000936F4"/>
    <w:rsid w:val="000937FD"/>
    <w:rsid w:val="00093E05"/>
    <w:rsid w:val="00093E66"/>
    <w:rsid w:val="0009420C"/>
    <w:rsid w:val="00095DF9"/>
    <w:rsid w:val="000967DD"/>
    <w:rsid w:val="00097274"/>
    <w:rsid w:val="000A0291"/>
    <w:rsid w:val="000A2627"/>
    <w:rsid w:val="000A4894"/>
    <w:rsid w:val="000A4F94"/>
    <w:rsid w:val="000A70E6"/>
    <w:rsid w:val="000B01DA"/>
    <w:rsid w:val="000B34A0"/>
    <w:rsid w:val="000B4601"/>
    <w:rsid w:val="000B6BA1"/>
    <w:rsid w:val="000C0B54"/>
    <w:rsid w:val="000C1903"/>
    <w:rsid w:val="000C1C7E"/>
    <w:rsid w:val="000C2C6E"/>
    <w:rsid w:val="000C2D9B"/>
    <w:rsid w:val="000C3218"/>
    <w:rsid w:val="000C58F6"/>
    <w:rsid w:val="000C6167"/>
    <w:rsid w:val="000C6FD5"/>
    <w:rsid w:val="000C7475"/>
    <w:rsid w:val="000D3587"/>
    <w:rsid w:val="000D471E"/>
    <w:rsid w:val="000D6B38"/>
    <w:rsid w:val="000E02E7"/>
    <w:rsid w:val="000E1602"/>
    <w:rsid w:val="000E31DB"/>
    <w:rsid w:val="000E35C0"/>
    <w:rsid w:val="000E4B10"/>
    <w:rsid w:val="000E509C"/>
    <w:rsid w:val="000E51E4"/>
    <w:rsid w:val="000F7A76"/>
    <w:rsid w:val="00103A86"/>
    <w:rsid w:val="00103AB5"/>
    <w:rsid w:val="0010596C"/>
    <w:rsid w:val="00106D99"/>
    <w:rsid w:val="00111013"/>
    <w:rsid w:val="0011286C"/>
    <w:rsid w:val="00112CE3"/>
    <w:rsid w:val="00122327"/>
    <w:rsid w:val="00122E2E"/>
    <w:rsid w:val="0012491B"/>
    <w:rsid w:val="00125017"/>
    <w:rsid w:val="00131823"/>
    <w:rsid w:val="00136B7D"/>
    <w:rsid w:val="00136CB6"/>
    <w:rsid w:val="001447FF"/>
    <w:rsid w:val="001450BA"/>
    <w:rsid w:val="00147144"/>
    <w:rsid w:val="001471EC"/>
    <w:rsid w:val="00150A4B"/>
    <w:rsid w:val="001514D2"/>
    <w:rsid w:val="00152005"/>
    <w:rsid w:val="00153528"/>
    <w:rsid w:val="00154601"/>
    <w:rsid w:val="00155926"/>
    <w:rsid w:val="00157407"/>
    <w:rsid w:val="001574B3"/>
    <w:rsid w:val="0016118B"/>
    <w:rsid w:val="00161F83"/>
    <w:rsid w:val="001636FB"/>
    <w:rsid w:val="00165874"/>
    <w:rsid w:val="00166097"/>
    <w:rsid w:val="00167128"/>
    <w:rsid w:val="00167EDA"/>
    <w:rsid w:val="00172BAC"/>
    <w:rsid w:val="0018089A"/>
    <w:rsid w:val="00180DAB"/>
    <w:rsid w:val="001828AC"/>
    <w:rsid w:val="001835B2"/>
    <w:rsid w:val="00191F07"/>
    <w:rsid w:val="00194709"/>
    <w:rsid w:val="00195E9D"/>
    <w:rsid w:val="001A100A"/>
    <w:rsid w:val="001A3625"/>
    <w:rsid w:val="001A3896"/>
    <w:rsid w:val="001A3B73"/>
    <w:rsid w:val="001A421F"/>
    <w:rsid w:val="001A5AA7"/>
    <w:rsid w:val="001A794A"/>
    <w:rsid w:val="001B0C6F"/>
    <w:rsid w:val="001B38FD"/>
    <w:rsid w:val="001B7295"/>
    <w:rsid w:val="001C04BB"/>
    <w:rsid w:val="001C2CFD"/>
    <w:rsid w:val="001C42E9"/>
    <w:rsid w:val="001C6255"/>
    <w:rsid w:val="001C7B29"/>
    <w:rsid w:val="001D051F"/>
    <w:rsid w:val="001D05D0"/>
    <w:rsid w:val="001D13FD"/>
    <w:rsid w:val="001D2E7D"/>
    <w:rsid w:val="001D7D3E"/>
    <w:rsid w:val="001E228E"/>
    <w:rsid w:val="001E73D9"/>
    <w:rsid w:val="001F16BE"/>
    <w:rsid w:val="001F2AB3"/>
    <w:rsid w:val="001F4C7F"/>
    <w:rsid w:val="001F5F13"/>
    <w:rsid w:val="0020333F"/>
    <w:rsid w:val="00203C7D"/>
    <w:rsid w:val="00206936"/>
    <w:rsid w:val="00207DB5"/>
    <w:rsid w:val="0021772C"/>
    <w:rsid w:val="00217832"/>
    <w:rsid w:val="0022175F"/>
    <w:rsid w:val="00222299"/>
    <w:rsid w:val="002224FB"/>
    <w:rsid w:val="00224A0A"/>
    <w:rsid w:val="00225997"/>
    <w:rsid w:val="00230002"/>
    <w:rsid w:val="00230DCA"/>
    <w:rsid w:val="0023180D"/>
    <w:rsid w:val="00232A50"/>
    <w:rsid w:val="0023445A"/>
    <w:rsid w:val="0024522A"/>
    <w:rsid w:val="0024544F"/>
    <w:rsid w:val="00245C28"/>
    <w:rsid w:val="002503E1"/>
    <w:rsid w:val="00251274"/>
    <w:rsid w:val="00254778"/>
    <w:rsid w:val="00254A3B"/>
    <w:rsid w:val="00260664"/>
    <w:rsid w:val="00260B58"/>
    <w:rsid w:val="00260E00"/>
    <w:rsid w:val="00261591"/>
    <w:rsid w:val="00261CF1"/>
    <w:rsid w:val="002659B2"/>
    <w:rsid w:val="00266803"/>
    <w:rsid w:val="002749B5"/>
    <w:rsid w:val="002754BE"/>
    <w:rsid w:val="002755B6"/>
    <w:rsid w:val="00275616"/>
    <w:rsid w:val="00276405"/>
    <w:rsid w:val="00285C69"/>
    <w:rsid w:val="00290664"/>
    <w:rsid w:val="002910A9"/>
    <w:rsid w:val="002918BD"/>
    <w:rsid w:val="00295A20"/>
    <w:rsid w:val="0029736E"/>
    <w:rsid w:val="002A1921"/>
    <w:rsid w:val="002A3055"/>
    <w:rsid w:val="002A3392"/>
    <w:rsid w:val="002A395D"/>
    <w:rsid w:val="002A411A"/>
    <w:rsid w:val="002A436F"/>
    <w:rsid w:val="002A5130"/>
    <w:rsid w:val="002A522A"/>
    <w:rsid w:val="002A6850"/>
    <w:rsid w:val="002C3712"/>
    <w:rsid w:val="002C3ED8"/>
    <w:rsid w:val="002C7DDB"/>
    <w:rsid w:val="002D0DE5"/>
    <w:rsid w:val="002D130A"/>
    <w:rsid w:val="002D2756"/>
    <w:rsid w:val="002D3980"/>
    <w:rsid w:val="002D5069"/>
    <w:rsid w:val="002D7A9D"/>
    <w:rsid w:val="002E2194"/>
    <w:rsid w:val="002E6204"/>
    <w:rsid w:val="002E6743"/>
    <w:rsid w:val="002F34E9"/>
    <w:rsid w:val="002F4CD8"/>
    <w:rsid w:val="003006EF"/>
    <w:rsid w:val="0030136D"/>
    <w:rsid w:val="003014E8"/>
    <w:rsid w:val="00305753"/>
    <w:rsid w:val="00305757"/>
    <w:rsid w:val="00306747"/>
    <w:rsid w:val="00312173"/>
    <w:rsid w:val="003163D5"/>
    <w:rsid w:val="00326ED8"/>
    <w:rsid w:val="00330FE3"/>
    <w:rsid w:val="003323C1"/>
    <w:rsid w:val="003330C4"/>
    <w:rsid w:val="0033513E"/>
    <w:rsid w:val="00335F58"/>
    <w:rsid w:val="00335FF8"/>
    <w:rsid w:val="00336F28"/>
    <w:rsid w:val="0033715A"/>
    <w:rsid w:val="00340088"/>
    <w:rsid w:val="00340F3E"/>
    <w:rsid w:val="00345E90"/>
    <w:rsid w:val="0034679A"/>
    <w:rsid w:val="00350863"/>
    <w:rsid w:val="00352BD4"/>
    <w:rsid w:val="003570CA"/>
    <w:rsid w:val="003578A3"/>
    <w:rsid w:val="0036173B"/>
    <w:rsid w:val="0036213D"/>
    <w:rsid w:val="00362919"/>
    <w:rsid w:val="00363D8B"/>
    <w:rsid w:val="00370D0D"/>
    <w:rsid w:val="00372DF9"/>
    <w:rsid w:val="00373ED0"/>
    <w:rsid w:val="003745B7"/>
    <w:rsid w:val="003757FE"/>
    <w:rsid w:val="00377C1C"/>
    <w:rsid w:val="00380952"/>
    <w:rsid w:val="00380F02"/>
    <w:rsid w:val="00383261"/>
    <w:rsid w:val="003837C0"/>
    <w:rsid w:val="00386A43"/>
    <w:rsid w:val="0039275A"/>
    <w:rsid w:val="0039426B"/>
    <w:rsid w:val="003A5525"/>
    <w:rsid w:val="003A56FF"/>
    <w:rsid w:val="003A6266"/>
    <w:rsid w:val="003B13E1"/>
    <w:rsid w:val="003B19BC"/>
    <w:rsid w:val="003B339D"/>
    <w:rsid w:val="003B386B"/>
    <w:rsid w:val="003B5786"/>
    <w:rsid w:val="003B622B"/>
    <w:rsid w:val="003B7722"/>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D0B"/>
    <w:rsid w:val="00400B5C"/>
    <w:rsid w:val="004017C3"/>
    <w:rsid w:val="0040486F"/>
    <w:rsid w:val="004102AE"/>
    <w:rsid w:val="004105D3"/>
    <w:rsid w:val="00412035"/>
    <w:rsid w:val="004127D7"/>
    <w:rsid w:val="00414B9F"/>
    <w:rsid w:val="00416474"/>
    <w:rsid w:val="00416F67"/>
    <w:rsid w:val="00420C40"/>
    <w:rsid w:val="00421689"/>
    <w:rsid w:val="0042259E"/>
    <w:rsid w:val="00423136"/>
    <w:rsid w:val="00424298"/>
    <w:rsid w:val="004247CC"/>
    <w:rsid w:val="00427CE0"/>
    <w:rsid w:val="00430E8D"/>
    <w:rsid w:val="004322BD"/>
    <w:rsid w:val="0043620B"/>
    <w:rsid w:val="00437F86"/>
    <w:rsid w:val="00441B54"/>
    <w:rsid w:val="00442F96"/>
    <w:rsid w:val="004434AA"/>
    <w:rsid w:val="004505A8"/>
    <w:rsid w:val="004506A2"/>
    <w:rsid w:val="00455529"/>
    <w:rsid w:val="00456A62"/>
    <w:rsid w:val="00462089"/>
    <w:rsid w:val="00463568"/>
    <w:rsid w:val="004654B5"/>
    <w:rsid w:val="00466055"/>
    <w:rsid w:val="00470F99"/>
    <w:rsid w:val="00471727"/>
    <w:rsid w:val="00473AB2"/>
    <w:rsid w:val="00477332"/>
    <w:rsid w:val="00477356"/>
    <w:rsid w:val="004774B6"/>
    <w:rsid w:val="00477DA6"/>
    <w:rsid w:val="00480730"/>
    <w:rsid w:val="00480EDA"/>
    <w:rsid w:val="00481874"/>
    <w:rsid w:val="00482B3B"/>
    <w:rsid w:val="00482B60"/>
    <w:rsid w:val="00485FDC"/>
    <w:rsid w:val="00486730"/>
    <w:rsid w:val="00486C4D"/>
    <w:rsid w:val="00494876"/>
    <w:rsid w:val="00497A10"/>
    <w:rsid w:val="00497A9E"/>
    <w:rsid w:val="004A0A64"/>
    <w:rsid w:val="004A1F60"/>
    <w:rsid w:val="004A33DD"/>
    <w:rsid w:val="004A3FB3"/>
    <w:rsid w:val="004A4178"/>
    <w:rsid w:val="004A4B10"/>
    <w:rsid w:val="004A555F"/>
    <w:rsid w:val="004A7C1A"/>
    <w:rsid w:val="004B1643"/>
    <w:rsid w:val="004B1FC3"/>
    <w:rsid w:val="004B2791"/>
    <w:rsid w:val="004B4BF8"/>
    <w:rsid w:val="004C02B9"/>
    <w:rsid w:val="004C1703"/>
    <w:rsid w:val="004C7609"/>
    <w:rsid w:val="004C7C41"/>
    <w:rsid w:val="004D05CD"/>
    <w:rsid w:val="004D3AC4"/>
    <w:rsid w:val="004D403E"/>
    <w:rsid w:val="004D4232"/>
    <w:rsid w:val="004D5CF1"/>
    <w:rsid w:val="004D787D"/>
    <w:rsid w:val="004D7B77"/>
    <w:rsid w:val="004E14E4"/>
    <w:rsid w:val="004E2606"/>
    <w:rsid w:val="004E396B"/>
    <w:rsid w:val="004E4338"/>
    <w:rsid w:val="004E5DFF"/>
    <w:rsid w:val="004E6E67"/>
    <w:rsid w:val="004E7CE0"/>
    <w:rsid w:val="004E7D5B"/>
    <w:rsid w:val="004E7FE8"/>
    <w:rsid w:val="004F1D3D"/>
    <w:rsid w:val="004F3B96"/>
    <w:rsid w:val="004F44E5"/>
    <w:rsid w:val="004F5487"/>
    <w:rsid w:val="004F5921"/>
    <w:rsid w:val="004F712D"/>
    <w:rsid w:val="005018EA"/>
    <w:rsid w:val="00505221"/>
    <w:rsid w:val="0050684C"/>
    <w:rsid w:val="00506B8D"/>
    <w:rsid w:val="00507BB0"/>
    <w:rsid w:val="005122F3"/>
    <w:rsid w:val="005148BF"/>
    <w:rsid w:val="00516ECA"/>
    <w:rsid w:val="00525553"/>
    <w:rsid w:val="00525CA5"/>
    <w:rsid w:val="00531E64"/>
    <w:rsid w:val="00536AD5"/>
    <w:rsid w:val="00537C3F"/>
    <w:rsid w:val="00537E7E"/>
    <w:rsid w:val="00541E6B"/>
    <w:rsid w:val="0054289A"/>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4B76"/>
    <w:rsid w:val="00575870"/>
    <w:rsid w:val="005762DD"/>
    <w:rsid w:val="00577367"/>
    <w:rsid w:val="00584963"/>
    <w:rsid w:val="00586269"/>
    <w:rsid w:val="0058626F"/>
    <w:rsid w:val="00591106"/>
    <w:rsid w:val="00591B57"/>
    <w:rsid w:val="00592862"/>
    <w:rsid w:val="005953B8"/>
    <w:rsid w:val="0059643E"/>
    <w:rsid w:val="005976B8"/>
    <w:rsid w:val="005A0B40"/>
    <w:rsid w:val="005A168C"/>
    <w:rsid w:val="005A25E2"/>
    <w:rsid w:val="005A266D"/>
    <w:rsid w:val="005A5609"/>
    <w:rsid w:val="005A5C4B"/>
    <w:rsid w:val="005A6016"/>
    <w:rsid w:val="005A6CD3"/>
    <w:rsid w:val="005B0140"/>
    <w:rsid w:val="005B05D6"/>
    <w:rsid w:val="005B1C8E"/>
    <w:rsid w:val="005B2B21"/>
    <w:rsid w:val="005B3898"/>
    <w:rsid w:val="005B3EFF"/>
    <w:rsid w:val="005B44F3"/>
    <w:rsid w:val="005B6700"/>
    <w:rsid w:val="005C2713"/>
    <w:rsid w:val="005C3735"/>
    <w:rsid w:val="005C4052"/>
    <w:rsid w:val="005C409F"/>
    <w:rsid w:val="005C7CE5"/>
    <w:rsid w:val="005D06FE"/>
    <w:rsid w:val="005D0E10"/>
    <w:rsid w:val="005D12F2"/>
    <w:rsid w:val="005D1D5E"/>
    <w:rsid w:val="005D29B1"/>
    <w:rsid w:val="005D35A0"/>
    <w:rsid w:val="005D4558"/>
    <w:rsid w:val="005D58E4"/>
    <w:rsid w:val="005D5ABD"/>
    <w:rsid w:val="005D7F85"/>
    <w:rsid w:val="005E2055"/>
    <w:rsid w:val="005E3E8E"/>
    <w:rsid w:val="005E5114"/>
    <w:rsid w:val="005F04CA"/>
    <w:rsid w:val="005F15D0"/>
    <w:rsid w:val="005F213D"/>
    <w:rsid w:val="005F2667"/>
    <w:rsid w:val="005F66FE"/>
    <w:rsid w:val="0060474C"/>
    <w:rsid w:val="00604C5F"/>
    <w:rsid w:val="00607397"/>
    <w:rsid w:val="00607C2D"/>
    <w:rsid w:val="00611335"/>
    <w:rsid w:val="00611613"/>
    <w:rsid w:val="006117B9"/>
    <w:rsid w:val="00614B08"/>
    <w:rsid w:val="00614B29"/>
    <w:rsid w:val="00622182"/>
    <w:rsid w:val="00624C34"/>
    <w:rsid w:val="0062500F"/>
    <w:rsid w:val="0062616B"/>
    <w:rsid w:val="00627C07"/>
    <w:rsid w:val="00630977"/>
    <w:rsid w:val="00632D6B"/>
    <w:rsid w:val="0063456B"/>
    <w:rsid w:val="006360B8"/>
    <w:rsid w:val="0063687C"/>
    <w:rsid w:val="00640452"/>
    <w:rsid w:val="00640A80"/>
    <w:rsid w:val="00641A2F"/>
    <w:rsid w:val="006426AA"/>
    <w:rsid w:val="00642D9E"/>
    <w:rsid w:val="00645506"/>
    <w:rsid w:val="00647886"/>
    <w:rsid w:val="00647F4A"/>
    <w:rsid w:val="00650E79"/>
    <w:rsid w:val="006512E4"/>
    <w:rsid w:val="006519EE"/>
    <w:rsid w:val="00652B19"/>
    <w:rsid w:val="00652CD7"/>
    <w:rsid w:val="00653C01"/>
    <w:rsid w:val="0065417E"/>
    <w:rsid w:val="00654CD1"/>
    <w:rsid w:val="00654F24"/>
    <w:rsid w:val="0065518C"/>
    <w:rsid w:val="00661190"/>
    <w:rsid w:val="006627DB"/>
    <w:rsid w:val="00665004"/>
    <w:rsid w:val="006666E6"/>
    <w:rsid w:val="00666EB4"/>
    <w:rsid w:val="0066712B"/>
    <w:rsid w:val="00667D87"/>
    <w:rsid w:val="006700E1"/>
    <w:rsid w:val="00671675"/>
    <w:rsid w:val="006772EF"/>
    <w:rsid w:val="006774D2"/>
    <w:rsid w:val="006775AB"/>
    <w:rsid w:val="00682012"/>
    <w:rsid w:val="006820F1"/>
    <w:rsid w:val="00682B26"/>
    <w:rsid w:val="00683217"/>
    <w:rsid w:val="00686DCE"/>
    <w:rsid w:val="00687560"/>
    <w:rsid w:val="00687966"/>
    <w:rsid w:val="006914FC"/>
    <w:rsid w:val="00693B87"/>
    <w:rsid w:val="0069507F"/>
    <w:rsid w:val="006954A3"/>
    <w:rsid w:val="00696A6F"/>
    <w:rsid w:val="006972CF"/>
    <w:rsid w:val="006A0114"/>
    <w:rsid w:val="006A0315"/>
    <w:rsid w:val="006A2F97"/>
    <w:rsid w:val="006A4559"/>
    <w:rsid w:val="006A6D53"/>
    <w:rsid w:val="006A707E"/>
    <w:rsid w:val="006A7761"/>
    <w:rsid w:val="006B1A0F"/>
    <w:rsid w:val="006B349D"/>
    <w:rsid w:val="006B4250"/>
    <w:rsid w:val="006B47AB"/>
    <w:rsid w:val="006B49BA"/>
    <w:rsid w:val="006B6B40"/>
    <w:rsid w:val="006C1716"/>
    <w:rsid w:val="006C1F9C"/>
    <w:rsid w:val="006C31CE"/>
    <w:rsid w:val="006C513A"/>
    <w:rsid w:val="006C5339"/>
    <w:rsid w:val="006C6B87"/>
    <w:rsid w:val="006C7F38"/>
    <w:rsid w:val="006D052E"/>
    <w:rsid w:val="006D0623"/>
    <w:rsid w:val="006D0981"/>
    <w:rsid w:val="006D2484"/>
    <w:rsid w:val="006D2835"/>
    <w:rsid w:val="006D2CEF"/>
    <w:rsid w:val="006D455F"/>
    <w:rsid w:val="006D4FF6"/>
    <w:rsid w:val="006E2E9F"/>
    <w:rsid w:val="006E6098"/>
    <w:rsid w:val="006F6C26"/>
    <w:rsid w:val="00700D37"/>
    <w:rsid w:val="007046DB"/>
    <w:rsid w:val="007061C7"/>
    <w:rsid w:val="00710059"/>
    <w:rsid w:val="00712084"/>
    <w:rsid w:val="007124A8"/>
    <w:rsid w:val="0071472E"/>
    <w:rsid w:val="007159EA"/>
    <w:rsid w:val="00715B51"/>
    <w:rsid w:val="007178F9"/>
    <w:rsid w:val="00721BE3"/>
    <w:rsid w:val="00722D11"/>
    <w:rsid w:val="0072311B"/>
    <w:rsid w:val="00725158"/>
    <w:rsid w:val="00727469"/>
    <w:rsid w:val="00730ED9"/>
    <w:rsid w:val="00731499"/>
    <w:rsid w:val="00735AF8"/>
    <w:rsid w:val="00736644"/>
    <w:rsid w:val="00736ED1"/>
    <w:rsid w:val="00737D21"/>
    <w:rsid w:val="00737DCB"/>
    <w:rsid w:val="007406A6"/>
    <w:rsid w:val="007419B4"/>
    <w:rsid w:val="0074470B"/>
    <w:rsid w:val="00745565"/>
    <w:rsid w:val="00746D32"/>
    <w:rsid w:val="007526D0"/>
    <w:rsid w:val="00755393"/>
    <w:rsid w:val="00755D03"/>
    <w:rsid w:val="00756539"/>
    <w:rsid w:val="007575D8"/>
    <w:rsid w:val="00757953"/>
    <w:rsid w:val="00757B91"/>
    <w:rsid w:val="007605DA"/>
    <w:rsid w:val="0076210E"/>
    <w:rsid w:val="00762450"/>
    <w:rsid w:val="007624CE"/>
    <w:rsid w:val="00764C16"/>
    <w:rsid w:val="00765701"/>
    <w:rsid w:val="00765D66"/>
    <w:rsid w:val="00766D9A"/>
    <w:rsid w:val="00767790"/>
    <w:rsid w:val="00772054"/>
    <w:rsid w:val="00772D5D"/>
    <w:rsid w:val="00776E52"/>
    <w:rsid w:val="0078217B"/>
    <w:rsid w:val="007826A3"/>
    <w:rsid w:val="00783920"/>
    <w:rsid w:val="00784A1E"/>
    <w:rsid w:val="00790245"/>
    <w:rsid w:val="007913B0"/>
    <w:rsid w:val="00791D09"/>
    <w:rsid w:val="00793ECE"/>
    <w:rsid w:val="00794FAA"/>
    <w:rsid w:val="007964CC"/>
    <w:rsid w:val="007A16D8"/>
    <w:rsid w:val="007A3257"/>
    <w:rsid w:val="007A3993"/>
    <w:rsid w:val="007A4430"/>
    <w:rsid w:val="007A473B"/>
    <w:rsid w:val="007A4E4B"/>
    <w:rsid w:val="007A57EB"/>
    <w:rsid w:val="007A6654"/>
    <w:rsid w:val="007A71E1"/>
    <w:rsid w:val="007A7F7F"/>
    <w:rsid w:val="007B0C1A"/>
    <w:rsid w:val="007B141B"/>
    <w:rsid w:val="007B19AB"/>
    <w:rsid w:val="007B2A46"/>
    <w:rsid w:val="007B7F6D"/>
    <w:rsid w:val="007C0AEA"/>
    <w:rsid w:val="007C1059"/>
    <w:rsid w:val="007C5AD9"/>
    <w:rsid w:val="007C77CB"/>
    <w:rsid w:val="007D0A2C"/>
    <w:rsid w:val="007D191A"/>
    <w:rsid w:val="007D59DF"/>
    <w:rsid w:val="007D6B34"/>
    <w:rsid w:val="007D70BB"/>
    <w:rsid w:val="007E1339"/>
    <w:rsid w:val="007E1832"/>
    <w:rsid w:val="007E1AC7"/>
    <w:rsid w:val="007E2822"/>
    <w:rsid w:val="007E2A78"/>
    <w:rsid w:val="007E3557"/>
    <w:rsid w:val="007E4AF2"/>
    <w:rsid w:val="007E7590"/>
    <w:rsid w:val="007F3E67"/>
    <w:rsid w:val="007F469B"/>
    <w:rsid w:val="007F47D4"/>
    <w:rsid w:val="007F4850"/>
    <w:rsid w:val="007F49D8"/>
    <w:rsid w:val="007F4A76"/>
    <w:rsid w:val="007F5D24"/>
    <w:rsid w:val="00800C4D"/>
    <w:rsid w:val="008042C8"/>
    <w:rsid w:val="008049D1"/>
    <w:rsid w:val="00804FFF"/>
    <w:rsid w:val="0080653E"/>
    <w:rsid w:val="00806C65"/>
    <w:rsid w:val="008071B5"/>
    <w:rsid w:val="008074B7"/>
    <w:rsid w:val="008102F3"/>
    <w:rsid w:val="008108CB"/>
    <w:rsid w:val="00810CD6"/>
    <w:rsid w:val="00811D7B"/>
    <w:rsid w:val="008153CD"/>
    <w:rsid w:val="00817885"/>
    <w:rsid w:val="0081788A"/>
    <w:rsid w:val="008258D7"/>
    <w:rsid w:val="00825E65"/>
    <w:rsid w:val="00830114"/>
    <w:rsid w:val="0083217D"/>
    <w:rsid w:val="00833A0A"/>
    <w:rsid w:val="00833E8B"/>
    <w:rsid w:val="0083577B"/>
    <w:rsid w:val="008369CA"/>
    <w:rsid w:val="0084744F"/>
    <w:rsid w:val="00847DF9"/>
    <w:rsid w:val="0085294D"/>
    <w:rsid w:val="00852BCF"/>
    <w:rsid w:val="00854E79"/>
    <w:rsid w:val="008556EE"/>
    <w:rsid w:val="00855975"/>
    <w:rsid w:val="00855EFF"/>
    <w:rsid w:val="00856624"/>
    <w:rsid w:val="0086063C"/>
    <w:rsid w:val="00860DBB"/>
    <w:rsid w:val="00861749"/>
    <w:rsid w:val="008618B7"/>
    <w:rsid w:val="008620EB"/>
    <w:rsid w:val="008622F4"/>
    <w:rsid w:val="00862ACA"/>
    <w:rsid w:val="008638FB"/>
    <w:rsid w:val="00863E6D"/>
    <w:rsid w:val="008654C4"/>
    <w:rsid w:val="008701BE"/>
    <w:rsid w:val="00873BF4"/>
    <w:rsid w:val="00874CCA"/>
    <w:rsid w:val="00876518"/>
    <w:rsid w:val="00880CB4"/>
    <w:rsid w:val="00881A93"/>
    <w:rsid w:val="00885E1E"/>
    <w:rsid w:val="008861B0"/>
    <w:rsid w:val="00887ADA"/>
    <w:rsid w:val="00892A5F"/>
    <w:rsid w:val="00892CF6"/>
    <w:rsid w:val="008964A8"/>
    <w:rsid w:val="008974BF"/>
    <w:rsid w:val="008A1D59"/>
    <w:rsid w:val="008A71FB"/>
    <w:rsid w:val="008A78DE"/>
    <w:rsid w:val="008B01D7"/>
    <w:rsid w:val="008B1E31"/>
    <w:rsid w:val="008B4FC3"/>
    <w:rsid w:val="008B53B2"/>
    <w:rsid w:val="008B622D"/>
    <w:rsid w:val="008C1224"/>
    <w:rsid w:val="008C1A50"/>
    <w:rsid w:val="008C3653"/>
    <w:rsid w:val="008C4221"/>
    <w:rsid w:val="008C55E1"/>
    <w:rsid w:val="008C6307"/>
    <w:rsid w:val="008C758A"/>
    <w:rsid w:val="008C7E48"/>
    <w:rsid w:val="008D1679"/>
    <w:rsid w:val="008D1D5E"/>
    <w:rsid w:val="008D4D0C"/>
    <w:rsid w:val="008D6852"/>
    <w:rsid w:val="008E599A"/>
    <w:rsid w:val="008E7143"/>
    <w:rsid w:val="008E72BC"/>
    <w:rsid w:val="008F07C6"/>
    <w:rsid w:val="008F0DE6"/>
    <w:rsid w:val="008F130F"/>
    <w:rsid w:val="008F2964"/>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3F80"/>
    <w:rsid w:val="00924635"/>
    <w:rsid w:val="00930047"/>
    <w:rsid w:val="00935006"/>
    <w:rsid w:val="00940242"/>
    <w:rsid w:val="00940D54"/>
    <w:rsid w:val="00943608"/>
    <w:rsid w:val="00952E33"/>
    <w:rsid w:val="009535B2"/>
    <w:rsid w:val="0095455B"/>
    <w:rsid w:val="009554CD"/>
    <w:rsid w:val="00960732"/>
    <w:rsid w:val="009634AF"/>
    <w:rsid w:val="009636C3"/>
    <w:rsid w:val="00965A8B"/>
    <w:rsid w:val="00967CBC"/>
    <w:rsid w:val="00970B36"/>
    <w:rsid w:val="009724AE"/>
    <w:rsid w:val="00975B71"/>
    <w:rsid w:val="00975E31"/>
    <w:rsid w:val="009767FB"/>
    <w:rsid w:val="00983868"/>
    <w:rsid w:val="00983A3D"/>
    <w:rsid w:val="009901C0"/>
    <w:rsid w:val="00992E84"/>
    <w:rsid w:val="0099355B"/>
    <w:rsid w:val="00994241"/>
    <w:rsid w:val="009958CE"/>
    <w:rsid w:val="009A0646"/>
    <w:rsid w:val="009A1083"/>
    <w:rsid w:val="009A17FE"/>
    <w:rsid w:val="009A1BE7"/>
    <w:rsid w:val="009A45C6"/>
    <w:rsid w:val="009A565D"/>
    <w:rsid w:val="009A7A59"/>
    <w:rsid w:val="009B0446"/>
    <w:rsid w:val="009B0D31"/>
    <w:rsid w:val="009B4E56"/>
    <w:rsid w:val="009B6FFC"/>
    <w:rsid w:val="009C07F4"/>
    <w:rsid w:val="009C1881"/>
    <w:rsid w:val="009C308E"/>
    <w:rsid w:val="009C34A0"/>
    <w:rsid w:val="009C4749"/>
    <w:rsid w:val="009D0CDA"/>
    <w:rsid w:val="009D1030"/>
    <w:rsid w:val="009D3A68"/>
    <w:rsid w:val="009D3C04"/>
    <w:rsid w:val="009E354E"/>
    <w:rsid w:val="009E4B22"/>
    <w:rsid w:val="009E6161"/>
    <w:rsid w:val="009F1914"/>
    <w:rsid w:val="009F25A5"/>
    <w:rsid w:val="009F3E29"/>
    <w:rsid w:val="009F78D3"/>
    <w:rsid w:val="00A02C0C"/>
    <w:rsid w:val="00A0306E"/>
    <w:rsid w:val="00A0461F"/>
    <w:rsid w:val="00A05BB6"/>
    <w:rsid w:val="00A07355"/>
    <w:rsid w:val="00A10B00"/>
    <w:rsid w:val="00A10CD9"/>
    <w:rsid w:val="00A11798"/>
    <w:rsid w:val="00A12E01"/>
    <w:rsid w:val="00A13155"/>
    <w:rsid w:val="00A13A59"/>
    <w:rsid w:val="00A17CA2"/>
    <w:rsid w:val="00A20B6F"/>
    <w:rsid w:val="00A21128"/>
    <w:rsid w:val="00A21D70"/>
    <w:rsid w:val="00A22E8E"/>
    <w:rsid w:val="00A23A52"/>
    <w:rsid w:val="00A25B23"/>
    <w:rsid w:val="00A26A4D"/>
    <w:rsid w:val="00A31B87"/>
    <w:rsid w:val="00A31EF6"/>
    <w:rsid w:val="00A33932"/>
    <w:rsid w:val="00A3506E"/>
    <w:rsid w:val="00A4074B"/>
    <w:rsid w:val="00A467DF"/>
    <w:rsid w:val="00A51C3C"/>
    <w:rsid w:val="00A52AC7"/>
    <w:rsid w:val="00A6029D"/>
    <w:rsid w:val="00A61E86"/>
    <w:rsid w:val="00A62814"/>
    <w:rsid w:val="00A62BA8"/>
    <w:rsid w:val="00A634DF"/>
    <w:rsid w:val="00A635EB"/>
    <w:rsid w:val="00A636FF"/>
    <w:rsid w:val="00A65F0C"/>
    <w:rsid w:val="00A70DC7"/>
    <w:rsid w:val="00A72125"/>
    <w:rsid w:val="00A724A1"/>
    <w:rsid w:val="00A764FD"/>
    <w:rsid w:val="00A774EA"/>
    <w:rsid w:val="00A82433"/>
    <w:rsid w:val="00A84040"/>
    <w:rsid w:val="00A84955"/>
    <w:rsid w:val="00A8595D"/>
    <w:rsid w:val="00A93F51"/>
    <w:rsid w:val="00A94D85"/>
    <w:rsid w:val="00A96EF1"/>
    <w:rsid w:val="00A97E2E"/>
    <w:rsid w:val="00AA0762"/>
    <w:rsid w:val="00AA1423"/>
    <w:rsid w:val="00AA4956"/>
    <w:rsid w:val="00AA4A24"/>
    <w:rsid w:val="00AA5B72"/>
    <w:rsid w:val="00AA637E"/>
    <w:rsid w:val="00AA6F78"/>
    <w:rsid w:val="00AB0E3B"/>
    <w:rsid w:val="00AB2236"/>
    <w:rsid w:val="00AB45AE"/>
    <w:rsid w:val="00AC095A"/>
    <w:rsid w:val="00AC1A06"/>
    <w:rsid w:val="00AC2261"/>
    <w:rsid w:val="00AC255A"/>
    <w:rsid w:val="00AC367E"/>
    <w:rsid w:val="00AC3738"/>
    <w:rsid w:val="00AC6DC4"/>
    <w:rsid w:val="00AC7A5A"/>
    <w:rsid w:val="00AD2036"/>
    <w:rsid w:val="00AD4967"/>
    <w:rsid w:val="00AD4C87"/>
    <w:rsid w:val="00AD5A9E"/>
    <w:rsid w:val="00AD5B8D"/>
    <w:rsid w:val="00AD762A"/>
    <w:rsid w:val="00AE0C00"/>
    <w:rsid w:val="00AE1D6D"/>
    <w:rsid w:val="00AE28EF"/>
    <w:rsid w:val="00AE2B3B"/>
    <w:rsid w:val="00AE7290"/>
    <w:rsid w:val="00AF286A"/>
    <w:rsid w:val="00AF39D2"/>
    <w:rsid w:val="00AF7648"/>
    <w:rsid w:val="00AF7B7C"/>
    <w:rsid w:val="00B036BB"/>
    <w:rsid w:val="00B0725D"/>
    <w:rsid w:val="00B13A78"/>
    <w:rsid w:val="00B15FB7"/>
    <w:rsid w:val="00B317F5"/>
    <w:rsid w:val="00B36C62"/>
    <w:rsid w:val="00B377A8"/>
    <w:rsid w:val="00B37B11"/>
    <w:rsid w:val="00B40D73"/>
    <w:rsid w:val="00B42401"/>
    <w:rsid w:val="00B4764C"/>
    <w:rsid w:val="00B47D4B"/>
    <w:rsid w:val="00B5062F"/>
    <w:rsid w:val="00B524FE"/>
    <w:rsid w:val="00B53166"/>
    <w:rsid w:val="00B53264"/>
    <w:rsid w:val="00B54293"/>
    <w:rsid w:val="00B544A9"/>
    <w:rsid w:val="00B54736"/>
    <w:rsid w:val="00B54A6C"/>
    <w:rsid w:val="00B57C3B"/>
    <w:rsid w:val="00B57EF3"/>
    <w:rsid w:val="00B607EC"/>
    <w:rsid w:val="00B61717"/>
    <w:rsid w:val="00B61E33"/>
    <w:rsid w:val="00B629B7"/>
    <w:rsid w:val="00B64E70"/>
    <w:rsid w:val="00B67179"/>
    <w:rsid w:val="00B67341"/>
    <w:rsid w:val="00B6764C"/>
    <w:rsid w:val="00B678DD"/>
    <w:rsid w:val="00B67AF4"/>
    <w:rsid w:val="00B714E2"/>
    <w:rsid w:val="00B7355D"/>
    <w:rsid w:val="00B7395F"/>
    <w:rsid w:val="00B74935"/>
    <w:rsid w:val="00B74D61"/>
    <w:rsid w:val="00B776E9"/>
    <w:rsid w:val="00B77C6A"/>
    <w:rsid w:val="00B8163E"/>
    <w:rsid w:val="00B8193E"/>
    <w:rsid w:val="00B81F6E"/>
    <w:rsid w:val="00B90FBD"/>
    <w:rsid w:val="00B916D3"/>
    <w:rsid w:val="00B92B96"/>
    <w:rsid w:val="00B92D13"/>
    <w:rsid w:val="00B92E86"/>
    <w:rsid w:val="00B94017"/>
    <w:rsid w:val="00B946B0"/>
    <w:rsid w:val="00B958B5"/>
    <w:rsid w:val="00B96753"/>
    <w:rsid w:val="00B96964"/>
    <w:rsid w:val="00B97452"/>
    <w:rsid w:val="00BA1195"/>
    <w:rsid w:val="00BA34C9"/>
    <w:rsid w:val="00BA365D"/>
    <w:rsid w:val="00BA3FC9"/>
    <w:rsid w:val="00BA4A6A"/>
    <w:rsid w:val="00BA4B73"/>
    <w:rsid w:val="00BA5F04"/>
    <w:rsid w:val="00BA6D98"/>
    <w:rsid w:val="00BB21A0"/>
    <w:rsid w:val="00BB2A2E"/>
    <w:rsid w:val="00BB481A"/>
    <w:rsid w:val="00BB4E9C"/>
    <w:rsid w:val="00BB5AE2"/>
    <w:rsid w:val="00BB7368"/>
    <w:rsid w:val="00BB7A53"/>
    <w:rsid w:val="00BC036B"/>
    <w:rsid w:val="00BC4703"/>
    <w:rsid w:val="00BC5F9F"/>
    <w:rsid w:val="00BC6200"/>
    <w:rsid w:val="00BD0C9A"/>
    <w:rsid w:val="00BD161D"/>
    <w:rsid w:val="00BD1A9A"/>
    <w:rsid w:val="00BD3A4A"/>
    <w:rsid w:val="00BD47B6"/>
    <w:rsid w:val="00BD4A48"/>
    <w:rsid w:val="00BD4CEB"/>
    <w:rsid w:val="00BD5557"/>
    <w:rsid w:val="00BD5DEB"/>
    <w:rsid w:val="00BE0DD8"/>
    <w:rsid w:val="00BE2B5E"/>
    <w:rsid w:val="00BE37B1"/>
    <w:rsid w:val="00BF0CF2"/>
    <w:rsid w:val="00BF487D"/>
    <w:rsid w:val="00BF4D49"/>
    <w:rsid w:val="00BF65A3"/>
    <w:rsid w:val="00C040D1"/>
    <w:rsid w:val="00C07016"/>
    <w:rsid w:val="00C07F29"/>
    <w:rsid w:val="00C12B21"/>
    <w:rsid w:val="00C14D5B"/>
    <w:rsid w:val="00C175C8"/>
    <w:rsid w:val="00C2006D"/>
    <w:rsid w:val="00C2338D"/>
    <w:rsid w:val="00C26685"/>
    <w:rsid w:val="00C30109"/>
    <w:rsid w:val="00C32761"/>
    <w:rsid w:val="00C34B4A"/>
    <w:rsid w:val="00C34CDB"/>
    <w:rsid w:val="00C359D1"/>
    <w:rsid w:val="00C361F9"/>
    <w:rsid w:val="00C37684"/>
    <w:rsid w:val="00C404A0"/>
    <w:rsid w:val="00C43E10"/>
    <w:rsid w:val="00C43E28"/>
    <w:rsid w:val="00C51476"/>
    <w:rsid w:val="00C51EA0"/>
    <w:rsid w:val="00C520D3"/>
    <w:rsid w:val="00C52768"/>
    <w:rsid w:val="00C5649C"/>
    <w:rsid w:val="00C663F1"/>
    <w:rsid w:val="00C66829"/>
    <w:rsid w:val="00C66E24"/>
    <w:rsid w:val="00C70614"/>
    <w:rsid w:val="00C706C0"/>
    <w:rsid w:val="00C717DA"/>
    <w:rsid w:val="00C726B6"/>
    <w:rsid w:val="00C74079"/>
    <w:rsid w:val="00C7448B"/>
    <w:rsid w:val="00C76498"/>
    <w:rsid w:val="00C8343F"/>
    <w:rsid w:val="00C838EA"/>
    <w:rsid w:val="00C85BBF"/>
    <w:rsid w:val="00C860F8"/>
    <w:rsid w:val="00C87CFD"/>
    <w:rsid w:val="00C90039"/>
    <w:rsid w:val="00C93B11"/>
    <w:rsid w:val="00C93F38"/>
    <w:rsid w:val="00C9583E"/>
    <w:rsid w:val="00C9751E"/>
    <w:rsid w:val="00CA1960"/>
    <w:rsid w:val="00CA2C05"/>
    <w:rsid w:val="00CA3A29"/>
    <w:rsid w:val="00CA4467"/>
    <w:rsid w:val="00CA5407"/>
    <w:rsid w:val="00CA5BE0"/>
    <w:rsid w:val="00CA686D"/>
    <w:rsid w:val="00CA7C03"/>
    <w:rsid w:val="00CA7DCA"/>
    <w:rsid w:val="00CB11EF"/>
    <w:rsid w:val="00CB3CEB"/>
    <w:rsid w:val="00CB5931"/>
    <w:rsid w:val="00CB59D5"/>
    <w:rsid w:val="00CC13EA"/>
    <w:rsid w:val="00CC3FDF"/>
    <w:rsid w:val="00CC4CE2"/>
    <w:rsid w:val="00CC4FFA"/>
    <w:rsid w:val="00CC60B6"/>
    <w:rsid w:val="00CC69E9"/>
    <w:rsid w:val="00CC707F"/>
    <w:rsid w:val="00CD1210"/>
    <w:rsid w:val="00CD44E5"/>
    <w:rsid w:val="00CD47C8"/>
    <w:rsid w:val="00CD4D78"/>
    <w:rsid w:val="00CD6AF6"/>
    <w:rsid w:val="00CE0091"/>
    <w:rsid w:val="00CE08B2"/>
    <w:rsid w:val="00CE2365"/>
    <w:rsid w:val="00CE34B7"/>
    <w:rsid w:val="00CE47F9"/>
    <w:rsid w:val="00CE60A9"/>
    <w:rsid w:val="00CF0340"/>
    <w:rsid w:val="00CF3101"/>
    <w:rsid w:val="00CF3300"/>
    <w:rsid w:val="00CF3A14"/>
    <w:rsid w:val="00CF3F72"/>
    <w:rsid w:val="00CF451E"/>
    <w:rsid w:val="00CF4678"/>
    <w:rsid w:val="00CF50E7"/>
    <w:rsid w:val="00CF5C23"/>
    <w:rsid w:val="00CF6B74"/>
    <w:rsid w:val="00D006AE"/>
    <w:rsid w:val="00D057D9"/>
    <w:rsid w:val="00D115A3"/>
    <w:rsid w:val="00D11637"/>
    <w:rsid w:val="00D12F1B"/>
    <w:rsid w:val="00D13DFB"/>
    <w:rsid w:val="00D16329"/>
    <w:rsid w:val="00D203B7"/>
    <w:rsid w:val="00D22F7C"/>
    <w:rsid w:val="00D23649"/>
    <w:rsid w:val="00D25E02"/>
    <w:rsid w:val="00D331FB"/>
    <w:rsid w:val="00D35895"/>
    <w:rsid w:val="00D35F3A"/>
    <w:rsid w:val="00D37F80"/>
    <w:rsid w:val="00D40931"/>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F07"/>
    <w:rsid w:val="00D62F1E"/>
    <w:rsid w:val="00D6341B"/>
    <w:rsid w:val="00D64A6E"/>
    <w:rsid w:val="00D6561C"/>
    <w:rsid w:val="00D706EB"/>
    <w:rsid w:val="00D73E73"/>
    <w:rsid w:val="00D74F95"/>
    <w:rsid w:val="00D7503A"/>
    <w:rsid w:val="00D76398"/>
    <w:rsid w:val="00D83ED7"/>
    <w:rsid w:val="00D84A5A"/>
    <w:rsid w:val="00D863F0"/>
    <w:rsid w:val="00D91397"/>
    <w:rsid w:val="00D914EF"/>
    <w:rsid w:val="00D91F0A"/>
    <w:rsid w:val="00D9276D"/>
    <w:rsid w:val="00D92975"/>
    <w:rsid w:val="00D94329"/>
    <w:rsid w:val="00D95C13"/>
    <w:rsid w:val="00D95FC7"/>
    <w:rsid w:val="00D97330"/>
    <w:rsid w:val="00DA0C81"/>
    <w:rsid w:val="00DA0CB8"/>
    <w:rsid w:val="00DA172E"/>
    <w:rsid w:val="00DA2D8F"/>
    <w:rsid w:val="00DA3691"/>
    <w:rsid w:val="00DA3E0C"/>
    <w:rsid w:val="00DA4F5D"/>
    <w:rsid w:val="00DA64C0"/>
    <w:rsid w:val="00DA74D8"/>
    <w:rsid w:val="00DB22DA"/>
    <w:rsid w:val="00DB3CC7"/>
    <w:rsid w:val="00DB3EA8"/>
    <w:rsid w:val="00DB576F"/>
    <w:rsid w:val="00DB6A79"/>
    <w:rsid w:val="00DC0974"/>
    <w:rsid w:val="00DC09CA"/>
    <w:rsid w:val="00DC3014"/>
    <w:rsid w:val="00DC5A0B"/>
    <w:rsid w:val="00DC6317"/>
    <w:rsid w:val="00DC7D87"/>
    <w:rsid w:val="00DD120B"/>
    <w:rsid w:val="00DD2D35"/>
    <w:rsid w:val="00DD4BF2"/>
    <w:rsid w:val="00DD52CF"/>
    <w:rsid w:val="00DD5735"/>
    <w:rsid w:val="00DD7A0C"/>
    <w:rsid w:val="00DE1A10"/>
    <w:rsid w:val="00DE2A5B"/>
    <w:rsid w:val="00DE35D9"/>
    <w:rsid w:val="00DF027D"/>
    <w:rsid w:val="00DF1CF4"/>
    <w:rsid w:val="00DF4199"/>
    <w:rsid w:val="00DF441B"/>
    <w:rsid w:val="00DF645B"/>
    <w:rsid w:val="00DF70D1"/>
    <w:rsid w:val="00E00204"/>
    <w:rsid w:val="00E019DC"/>
    <w:rsid w:val="00E05555"/>
    <w:rsid w:val="00E075F4"/>
    <w:rsid w:val="00E12819"/>
    <w:rsid w:val="00E1311E"/>
    <w:rsid w:val="00E145F6"/>
    <w:rsid w:val="00E14B3C"/>
    <w:rsid w:val="00E15BA7"/>
    <w:rsid w:val="00E17124"/>
    <w:rsid w:val="00E2281D"/>
    <w:rsid w:val="00E23236"/>
    <w:rsid w:val="00E23D82"/>
    <w:rsid w:val="00E26035"/>
    <w:rsid w:val="00E27F76"/>
    <w:rsid w:val="00E30D64"/>
    <w:rsid w:val="00E3346F"/>
    <w:rsid w:val="00E33944"/>
    <w:rsid w:val="00E33DA2"/>
    <w:rsid w:val="00E340DE"/>
    <w:rsid w:val="00E341E1"/>
    <w:rsid w:val="00E37C5B"/>
    <w:rsid w:val="00E42234"/>
    <w:rsid w:val="00E42399"/>
    <w:rsid w:val="00E462C4"/>
    <w:rsid w:val="00E51216"/>
    <w:rsid w:val="00E51D32"/>
    <w:rsid w:val="00E54AA9"/>
    <w:rsid w:val="00E5647E"/>
    <w:rsid w:val="00E5762C"/>
    <w:rsid w:val="00E602BB"/>
    <w:rsid w:val="00E610B2"/>
    <w:rsid w:val="00E6119C"/>
    <w:rsid w:val="00E7090B"/>
    <w:rsid w:val="00E73D8A"/>
    <w:rsid w:val="00E73F9A"/>
    <w:rsid w:val="00E74AFE"/>
    <w:rsid w:val="00E770DD"/>
    <w:rsid w:val="00E834F5"/>
    <w:rsid w:val="00E87A97"/>
    <w:rsid w:val="00E919F8"/>
    <w:rsid w:val="00E95759"/>
    <w:rsid w:val="00E96AD4"/>
    <w:rsid w:val="00EA02A6"/>
    <w:rsid w:val="00EA036A"/>
    <w:rsid w:val="00EA22B2"/>
    <w:rsid w:val="00EA357E"/>
    <w:rsid w:val="00EA64E3"/>
    <w:rsid w:val="00EA71A1"/>
    <w:rsid w:val="00EA7599"/>
    <w:rsid w:val="00EB1BAE"/>
    <w:rsid w:val="00EB5DC0"/>
    <w:rsid w:val="00EC1FF0"/>
    <w:rsid w:val="00EC25A2"/>
    <w:rsid w:val="00ED0EA7"/>
    <w:rsid w:val="00ED19E4"/>
    <w:rsid w:val="00ED1D2F"/>
    <w:rsid w:val="00ED25BB"/>
    <w:rsid w:val="00ED46DE"/>
    <w:rsid w:val="00ED4E85"/>
    <w:rsid w:val="00ED6789"/>
    <w:rsid w:val="00ED7CB5"/>
    <w:rsid w:val="00EE27F4"/>
    <w:rsid w:val="00EE38DE"/>
    <w:rsid w:val="00EE45EB"/>
    <w:rsid w:val="00EE55A4"/>
    <w:rsid w:val="00EE60A9"/>
    <w:rsid w:val="00EE6CDC"/>
    <w:rsid w:val="00EF079A"/>
    <w:rsid w:val="00EF0855"/>
    <w:rsid w:val="00EF23B4"/>
    <w:rsid w:val="00EF4509"/>
    <w:rsid w:val="00EF6083"/>
    <w:rsid w:val="00EF723C"/>
    <w:rsid w:val="00F00142"/>
    <w:rsid w:val="00F028F4"/>
    <w:rsid w:val="00F03BDC"/>
    <w:rsid w:val="00F04FB0"/>
    <w:rsid w:val="00F066D0"/>
    <w:rsid w:val="00F1183C"/>
    <w:rsid w:val="00F14FE7"/>
    <w:rsid w:val="00F15267"/>
    <w:rsid w:val="00F15EB7"/>
    <w:rsid w:val="00F1763E"/>
    <w:rsid w:val="00F176FA"/>
    <w:rsid w:val="00F22CF2"/>
    <w:rsid w:val="00F25941"/>
    <w:rsid w:val="00F263D6"/>
    <w:rsid w:val="00F26A72"/>
    <w:rsid w:val="00F31367"/>
    <w:rsid w:val="00F3215A"/>
    <w:rsid w:val="00F333B6"/>
    <w:rsid w:val="00F33959"/>
    <w:rsid w:val="00F40801"/>
    <w:rsid w:val="00F41BF1"/>
    <w:rsid w:val="00F42B32"/>
    <w:rsid w:val="00F450BA"/>
    <w:rsid w:val="00F454A9"/>
    <w:rsid w:val="00F47A60"/>
    <w:rsid w:val="00F50C39"/>
    <w:rsid w:val="00F5346E"/>
    <w:rsid w:val="00F54943"/>
    <w:rsid w:val="00F549DC"/>
    <w:rsid w:val="00F56C32"/>
    <w:rsid w:val="00F57653"/>
    <w:rsid w:val="00F57F1C"/>
    <w:rsid w:val="00F627A0"/>
    <w:rsid w:val="00F660EE"/>
    <w:rsid w:val="00F72594"/>
    <w:rsid w:val="00F7478C"/>
    <w:rsid w:val="00F77BAE"/>
    <w:rsid w:val="00F829FB"/>
    <w:rsid w:val="00F83F2B"/>
    <w:rsid w:val="00F86491"/>
    <w:rsid w:val="00F91B1E"/>
    <w:rsid w:val="00F92064"/>
    <w:rsid w:val="00F9228A"/>
    <w:rsid w:val="00F9254A"/>
    <w:rsid w:val="00F937D5"/>
    <w:rsid w:val="00F9485C"/>
    <w:rsid w:val="00F96A25"/>
    <w:rsid w:val="00F97174"/>
    <w:rsid w:val="00F972B5"/>
    <w:rsid w:val="00FA1D0E"/>
    <w:rsid w:val="00FA2403"/>
    <w:rsid w:val="00FA2BE8"/>
    <w:rsid w:val="00FA583C"/>
    <w:rsid w:val="00FA64BA"/>
    <w:rsid w:val="00FB016D"/>
    <w:rsid w:val="00FB0574"/>
    <w:rsid w:val="00FB118D"/>
    <w:rsid w:val="00FB133C"/>
    <w:rsid w:val="00FB2121"/>
    <w:rsid w:val="00FB4F20"/>
    <w:rsid w:val="00FC1BBC"/>
    <w:rsid w:val="00FC3481"/>
    <w:rsid w:val="00FC34E7"/>
    <w:rsid w:val="00FC5816"/>
    <w:rsid w:val="00FD1079"/>
    <w:rsid w:val="00FD1CAD"/>
    <w:rsid w:val="00FD2A6F"/>
    <w:rsid w:val="00FD311E"/>
    <w:rsid w:val="00FD321D"/>
    <w:rsid w:val="00FD571E"/>
    <w:rsid w:val="00FD7E98"/>
    <w:rsid w:val="00FE1080"/>
    <w:rsid w:val="00FE1749"/>
    <w:rsid w:val="00FE3168"/>
    <w:rsid w:val="00FE3FB1"/>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mev\Bankac&#305;l&#305;k%20G&#246;stergeleri%20Sunumlar\Ara&#351;t&#305;rma%20raporlar&#305;\bankalar&#305;m&#305;z\2013\grafik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824492468893258E-2"/>
          <c:y val="0.1133337022581455"/>
          <c:w val="0.84937786509495738"/>
          <c:h val="0.80185403907844854"/>
        </c:manualLayout>
      </c:layout>
      <c:barChart>
        <c:barDir val="col"/>
        <c:grouping val="clustered"/>
        <c:varyColors val="0"/>
        <c:ser>
          <c:idx val="1"/>
          <c:order val="0"/>
          <c:spPr>
            <a:pattFill prst="pct30">
              <a:fgClr>
                <a:srgbClr val="0000FF"/>
              </a:fgClr>
              <a:bgClr>
                <a:schemeClr val="bg1"/>
              </a:bgClr>
            </a:pattFill>
            <a:ln w="9525">
              <a:solidFill>
                <a:sysClr val="windowText" lastClr="000000"/>
              </a:solidFill>
              <a:prstDash val="solid"/>
            </a:ln>
          </c:spPr>
          <c:invertIfNegative val="0"/>
          <c:cat>
            <c:strRef>
              <c:f>Sheet2!$B$24:$B$29</c:f>
              <c:strCache>
                <c:ptCount val="6"/>
                <c:pt idx="0">
                  <c:v>08</c:v>
                </c:pt>
                <c:pt idx="1">
                  <c:v>09</c:v>
                </c:pt>
                <c:pt idx="2">
                  <c:v>10</c:v>
                </c:pt>
                <c:pt idx="3">
                  <c:v>11</c:v>
                </c:pt>
                <c:pt idx="4">
                  <c:v>12</c:v>
                </c:pt>
                <c:pt idx="5">
                  <c:v>13</c:v>
                </c:pt>
              </c:strCache>
            </c:strRef>
          </c:cat>
          <c:val>
            <c:numRef>
              <c:f>Sheet2!$C$24:$C$29</c:f>
              <c:numCache>
                <c:formatCode>General</c:formatCode>
                <c:ptCount val="6"/>
                <c:pt idx="0">
                  <c:v>742</c:v>
                </c:pt>
                <c:pt idx="1">
                  <c:v>617</c:v>
                </c:pt>
                <c:pt idx="2">
                  <c:v>732</c:v>
                </c:pt>
                <c:pt idx="3">
                  <c:v>772</c:v>
                </c:pt>
                <c:pt idx="4">
                  <c:v>786</c:v>
                </c:pt>
                <c:pt idx="5">
                  <c:v>820</c:v>
                </c:pt>
              </c:numCache>
            </c:numRef>
          </c:val>
        </c:ser>
        <c:dLbls>
          <c:showLegendKey val="0"/>
          <c:showVal val="0"/>
          <c:showCatName val="0"/>
          <c:showSerName val="0"/>
          <c:showPercent val="0"/>
          <c:showBubbleSize val="0"/>
        </c:dLbls>
        <c:gapWidth val="150"/>
        <c:axId val="57413632"/>
        <c:axId val="57415168"/>
      </c:barChart>
      <c:lineChart>
        <c:grouping val="standard"/>
        <c:varyColors val="0"/>
        <c:ser>
          <c:idx val="0"/>
          <c:order val="1"/>
          <c:spPr>
            <a:ln w="38100">
              <a:solidFill>
                <a:srgbClr val="0000CC"/>
              </a:solidFill>
              <a:prstDash val="solid"/>
            </a:ln>
          </c:spPr>
          <c:marker>
            <c:symbol val="none"/>
          </c:marker>
          <c:cat>
            <c:strRef>
              <c:f>Sheet2!$B$24:$B$29</c:f>
              <c:strCache>
                <c:ptCount val="6"/>
                <c:pt idx="0">
                  <c:v>08</c:v>
                </c:pt>
                <c:pt idx="1">
                  <c:v>09</c:v>
                </c:pt>
                <c:pt idx="2">
                  <c:v>10</c:v>
                </c:pt>
                <c:pt idx="3">
                  <c:v>11</c:v>
                </c:pt>
                <c:pt idx="4">
                  <c:v>12</c:v>
                </c:pt>
                <c:pt idx="5">
                  <c:v>13</c:v>
                </c:pt>
              </c:strCache>
            </c:strRef>
          </c:cat>
          <c:val>
            <c:numRef>
              <c:f>Sheet2!$D$24:$D$29</c:f>
              <c:numCache>
                <c:formatCode>0</c:formatCode>
                <c:ptCount val="6"/>
                <c:pt idx="0">
                  <c:v>77.050355941114603</c:v>
                </c:pt>
                <c:pt idx="1">
                  <c:v>87.505214060860439</c:v>
                </c:pt>
                <c:pt idx="2">
                  <c:v>91.181522171945701</c:v>
                </c:pt>
                <c:pt idx="3">
                  <c:v>94.024674131274125</c:v>
                </c:pt>
                <c:pt idx="4">
                  <c:v>96.728429781227959</c:v>
                </c:pt>
                <c:pt idx="5">
                  <c:v>111</c:v>
                </c:pt>
              </c:numCache>
            </c:numRef>
          </c:val>
          <c:smooth val="0"/>
        </c:ser>
        <c:dLbls>
          <c:showLegendKey val="0"/>
          <c:showVal val="0"/>
          <c:showCatName val="0"/>
          <c:showSerName val="0"/>
          <c:showPercent val="0"/>
          <c:showBubbleSize val="0"/>
        </c:dLbls>
        <c:marker val="1"/>
        <c:smooth val="0"/>
        <c:axId val="57417088"/>
        <c:axId val="57418880"/>
      </c:lineChart>
      <c:catAx>
        <c:axId val="5741363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57415168"/>
        <c:crosses val="autoZero"/>
        <c:auto val="0"/>
        <c:lblAlgn val="ctr"/>
        <c:lblOffset val="100"/>
        <c:tickLblSkip val="1"/>
        <c:tickMarkSkip val="1"/>
        <c:noMultiLvlLbl val="0"/>
      </c:catAx>
      <c:valAx>
        <c:axId val="57415168"/>
        <c:scaling>
          <c:orientation val="minMax"/>
          <c:max val="900"/>
          <c:min val="300"/>
        </c:scaling>
        <c:delete val="0"/>
        <c:axPos val="l"/>
        <c:majorGridlines>
          <c:spPr>
            <a:ln w="3175">
              <a:solidFill>
                <a:srgbClr val="000000"/>
              </a:solidFill>
              <a:prstDash val="sysDash"/>
            </a:ln>
          </c:spPr>
        </c:majorGridlines>
        <c:title>
          <c:tx>
            <c:rich>
              <a:bodyPr rot="0" vert="horz"/>
              <a:lstStyle/>
              <a:p>
                <a:pPr algn="ctr">
                  <a:defRPr sz="700" b="0" i="0" u="none" strike="noStrike" baseline="0">
                    <a:solidFill>
                      <a:srgbClr val="000000"/>
                    </a:solidFill>
                    <a:latin typeface="Arial"/>
                    <a:ea typeface="Arial"/>
                    <a:cs typeface="Arial"/>
                  </a:defRPr>
                </a:pPr>
                <a:r>
                  <a:rPr lang="tr-TR" sz="700"/>
                  <a:t>milyar dolar</a:t>
                </a:r>
              </a:p>
            </c:rich>
          </c:tx>
          <c:layout>
            <c:manualLayout>
              <c:xMode val="edge"/>
              <c:yMode val="edge"/>
              <c:x val="1.3097576948264571E-2"/>
              <c:y val="1.8703703703703705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57413632"/>
        <c:crosses val="autoZero"/>
        <c:crossBetween val="between"/>
        <c:majorUnit val="200"/>
      </c:valAx>
      <c:catAx>
        <c:axId val="57417088"/>
        <c:scaling>
          <c:orientation val="minMax"/>
        </c:scaling>
        <c:delete val="1"/>
        <c:axPos val="b"/>
        <c:numFmt formatCode="General" sourceLinked="1"/>
        <c:majorTickMark val="out"/>
        <c:minorTickMark val="none"/>
        <c:tickLblPos val="none"/>
        <c:crossAx val="57418880"/>
        <c:crosses val="autoZero"/>
        <c:auto val="0"/>
        <c:lblAlgn val="ctr"/>
        <c:lblOffset val="100"/>
        <c:noMultiLvlLbl val="0"/>
      </c:catAx>
      <c:valAx>
        <c:axId val="57418880"/>
        <c:scaling>
          <c:orientation val="minMax"/>
          <c:min val="75"/>
        </c:scaling>
        <c:delete val="0"/>
        <c:axPos val="r"/>
        <c:title>
          <c:tx>
            <c:rich>
              <a:bodyPr rot="0" vert="horz"/>
              <a:lstStyle/>
              <a:p>
                <a:pPr algn="ctr">
                  <a:defRPr sz="700" b="0" i="0" u="none" strike="noStrike" baseline="0">
                    <a:solidFill>
                      <a:srgbClr val="000000"/>
                    </a:solidFill>
                    <a:latin typeface="Arial"/>
                    <a:ea typeface="Arial"/>
                    <a:cs typeface="Arial"/>
                  </a:defRPr>
                </a:pPr>
                <a:r>
                  <a:rPr lang="tr-TR" sz="700"/>
                  <a:t>yüzde</a:t>
                </a:r>
              </a:p>
            </c:rich>
          </c:tx>
          <c:layout>
            <c:manualLayout>
              <c:xMode val="edge"/>
              <c:yMode val="edge"/>
              <c:x val="0.92075965946299931"/>
              <c:y val="1.2037037037037037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57417088"/>
        <c:crosses val="max"/>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F4C3-78B1-4472-9B8F-BC1379DEC1A0}">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FBC723-7305-4AAD-821F-CAA93C36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Aslı Özaktan</cp:lastModifiedBy>
  <cp:revision>2</cp:revision>
  <cp:lastPrinted>2014-06-03T12:59:00Z</cp:lastPrinted>
  <dcterms:created xsi:type="dcterms:W3CDTF">2014-06-04T06:53:00Z</dcterms:created>
  <dcterms:modified xsi:type="dcterms:W3CDTF">2014-06-04T06:53:00Z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