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E5" w:rsidRPr="000A6FF3" w:rsidRDefault="00CC3FDF" w:rsidP="000435B7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bookmarkStart w:id="0" w:name="_GoBack"/>
      <w:bookmarkEnd w:id="0"/>
      <w:r w:rsidRPr="000A6FF3">
        <w:rPr>
          <w:rFonts w:ascii="Arial" w:hAnsi="Arial" w:cs="Arial"/>
          <w:sz w:val="28"/>
          <w:szCs w:val="28"/>
          <w:lang w:val="tr-TR"/>
        </w:rPr>
        <w:t>Türkiye Bankacılık Sistemi</w:t>
      </w:r>
      <w:r w:rsidRPr="000A6FF3">
        <w:rPr>
          <w:rStyle w:val="FootnoteReference"/>
          <w:rFonts w:ascii="Arial" w:hAnsi="Arial" w:cs="Arial"/>
          <w:sz w:val="28"/>
          <w:szCs w:val="28"/>
          <w:lang w:val="tr-TR"/>
        </w:rPr>
        <w:footnoteReference w:id="2"/>
      </w:r>
    </w:p>
    <w:p w:rsidR="00C5615B" w:rsidRPr="000435B7" w:rsidRDefault="00CC3FDF" w:rsidP="000435B7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0A6FF3">
        <w:rPr>
          <w:rFonts w:ascii="Arial" w:hAnsi="Arial" w:cs="Arial"/>
          <w:sz w:val="28"/>
          <w:szCs w:val="28"/>
          <w:lang w:val="tr-TR"/>
        </w:rPr>
        <w:t>“</w:t>
      </w:r>
      <w:r w:rsidR="00F25CC7" w:rsidRPr="000A6FF3">
        <w:rPr>
          <w:rFonts w:ascii="Arial" w:hAnsi="Arial" w:cs="Arial"/>
          <w:sz w:val="28"/>
          <w:szCs w:val="28"/>
          <w:lang w:val="tr-TR"/>
        </w:rPr>
        <w:t>Eylül</w:t>
      </w:r>
      <w:r w:rsidR="00A20AC8" w:rsidRPr="000A6FF3">
        <w:rPr>
          <w:rFonts w:ascii="Arial" w:hAnsi="Arial" w:cs="Arial"/>
          <w:sz w:val="28"/>
          <w:szCs w:val="28"/>
          <w:lang w:val="tr-TR"/>
        </w:rPr>
        <w:t xml:space="preserve"> 201</w:t>
      </w:r>
      <w:r w:rsidR="00001628" w:rsidRPr="000A6FF3">
        <w:rPr>
          <w:rFonts w:ascii="Arial" w:hAnsi="Arial" w:cs="Arial"/>
          <w:sz w:val="28"/>
          <w:szCs w:val="28"/>
          <w:lang w:val="tr-TR"/>
        </w:rPr>
        <w:t>6</w:t>
      </w:r>
      <w:r w:rsidRPr="000A6FF3">
        <w:rPr>
          <w:rFonts w:ascii="Arial" w:hAnsi="Arial" w:cs="Arial"/>
          <w:sz w:val="28"/>
          <w:szCs w:val="28"/>
          <w:lang w:val="tr-TR"/>
        </w:rPr>
        <w:t>”</w:t>
      </w:r>
    </w:p>
    <w:p w:rsidR="00012F8B" w:rsidRDefault="00012F8B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015DC6" w:rsidRPr="00BA2739" w:rsidRDefault="00BA2739" w:rsidP="00C06DDF">
      <w:pPr>
        <w:spacing w:before="120"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BA2739">
        <w:rPr>
          <w:rFonts w:ascii="Arial" w:hAnsi="Arial" w:cs="Arial"/>
          <w:b/>
          <w:sz w:val="22"/>
          <w:szCs w:val="22"/>
        </w:rPr>
        <w:t>Türkiye ekonomisi</w:t>
      </w:r>
      <w:r w:rsidR="002940B0" w:rsidRPr="00BA2739">
        <w:rPr>
          <w:rFonts w:ascii="Arial" w:hAnsi="Arial" w:cs="Arial"/>
          <w:b/>
          <w:sz w:val="22"/>
          <w:szCs w:val="22"/>
        </w:rPr>
        <w:t xml:space="preserve"> </w:t>
      </w:r>
      <w:r w:rsidRPr="00BA2739">
        <w:rPr>
          <w:rFonts w:ascii="Arial" w:hAnsi="Arial" w:cs="Arial"/>
          <w:b/>
          <w:sz w:val="22"/>
          <w:szCs w:val="22"/>
        </w:rPr>
        <w:t>15 Temmuz Darbe Giri</w:t>
      </w:r>
      <w:r w:rsidR="00012F8B">
        <w:rPr>
          <w:rFonts w:ascii="Arial" w:hAnsi="Arial" w:cs="Arial"/>
          <w:b/>
          <w:sz w:val="22"/>
          <w:szCs w:val="22"/>
        </w:rPr>
        <w:t>şimi’nden olumsuz etkilenmiş;</w:t>
      </w:r>
      <w:r w:rsidRPr="00BA2739">
        <w:rPr>
          <w:rFonts w:ascii="Arial" w:hAnsi="Arial" w:cs="Arial"/>
          <w:b/>
          <w:sz w:val="22"/>
          <w:szCs w:val="22"/>
        </w:rPr>
        <w:t xml:space="preserve"> </w:t>
      </w:r>
      <w:r w:rsidR="00012F8B">
        <w:rPr>
          <w:rFonts w:ascii="Arial" w:hAnsi="Arial" w:cs="Arial"/>
          <w:b/>
          <w:sz w:val="22"/>
          <w:szCs w:val="22"/>
        </w:rPr>
        <w:t>e</w:t>
      </w:r>
      <w:r w:rsidRPr="00BA2739">
        <w:rPr>
          <w:rFonts w:ascii="Arial" w:hAnsi="Arial" w:cs="Arial"/>
          <w:b/>
          <w:sz w:val="22"/>
          <w:szCs w:val="22"/>
        </w:rPr>
        <w:t xml:space="preserve">konomik </w:t>
      </w:r>
      <w:r w:rsidR="00012F8B">
        <w:rPr>
          <w:rFonts w:ascii="Arial" w:hAnsi="Arial" w:cs="Arial"/>
          <w:b/>
          <w:sz w:val="22"/>
          <w:szCs w:val="22"/>
        </w:rPr>
        <w:t>faaliyet yavaşlamıştır.</w:t>
      </w:r>
      <w:r w:rsidR="002940B0" w:rsidRPr="00BA2739">
        <w:rPr>
          <w:rFonts w:ascii="Arial" w:hAnsi="Arial" w:cs="Arial"/>
          <w:b/>
          <w:i/>
          <w:sz w:val="22"/>
          <w:szCs w:val="22"/>
        </w:rPr>
        <w:t xml:space="preserve"> </w:t>
      </w:r>
      <w:r w:rsidR="00B137E6" w:rsidRPr="00BA2739">
        <w:rPr>
          <w:rFonts w:ascii="Arial" w:hAnsi="Arial" w:cs="Arial"/>
          <w:b/>
          <w:i/>
          <w:sz w:val="22"/>
          <w:szCs w:val="22"/>
        </w:rPr>
        <w:t xml:space="preserve">Bankacılık </w:t>
      </w:r>
      <w:r w:rsidR="002B36CC" w:rsidRPr="00BA2739">
        <w:rPr>
          <w:rFonts w:ascii="Arial" w:hAnsi="Arial" w:cs="Arial"/>
          <w:b/>
          <w:i/>
          <w:sz w:val="22"/>
          <w:szCs w:val="22"/>
        </w:rPr>
        <w:t>sektöründe</w:t>
      </w:r>
      <w:r w:rsidR="008E32DB" w:rsidRPr="00BA2739">
        <w:rPr>
          <w:rFonts w:ascii="Arial" w:hAnsi="Arial" w:cs="Arial"/>
          <w:b/>
          <w:i/>
          <w:sz w:val="22"/>
          <w:szCs w:val="22"/>
        </w:rPr>
        <w:t xml:space="preserve"> </w:t>
      </w:r>
      <w:r w:rsidR="00012F8B">
        <w:rPr>
          <w:rFonts w:ascii="Arial" w:hAnsi="Arial" w:cs="Arial"/>
          <w:b/>
          <w:i/>
          <w:sz w:val="22"/>
          <w:szCs w:val="22"/>
        </w:rPr>
        <w:t>kaynak ve kredi büyümesi ivme kaybetmiş, reel olarak durma noktasına gelmiştir.</w:t>
      </w:r>
      <w:r w:rsidR="00262377">
        <w:rPr>
          <w:rFonts w:ascii="Arial" w:hAnsi="Arial" w:cs="Arial"/>
          <w:b/>
          <w:i/>
          <w:sz w:val="22"/>
          <w:szCs w:val="22"/>
        </w:rPr>
        <w:t xml:space="preserve"> Sabit fiyatlarla bilanço büyüklüğü ve mevduat daralmıştır.</w:t>
      </w:r>
      <w:r w:rsidR="00012F8B">
        <w:rPr>
          <w:rFonts w:ascii="Arial" w:hAnsi="Arial" w:cs="Arial"/>
          <w:b/>
          <w:i/>
          <w:sz w:val="22"/>
          <w:szCs w:val="22"/>
        </w:rPr>
        <w:t xml:space="preserve"> Kar hacmi</w:t>
      </w:r>
      <w:r w:rsidR="00EF05D2" w:rsidRPr="00BA2739">
        <w:rPr>
          <w:rFonts w:ascii="Arial" w:hAnsi="Arial" w:cs="Arial"/>
          <w:b/>
          <w:i/>
          <w:sz w:val="22"/>
          <w:szCs w:val="22"/>
        </w:rPr>
        <w:t xml:space="preserve"> </w:t>
      </w:r>
      <w:r w:rsidR="002940B0" w:rsidRPr="00BA2739">
        <w:rPr>
          <w:rFonts w:ascii="Arial" w:hAnsi="Arial" w:cs="Arial"/>
          <w:b/>
          <w:i/>
          <w:sz w:val="22"/>
          <w:szCs w:val="22"/>
        </w:rPr>
        <w:t>ö</w:t>
      </w:r>
      <w:r w:rsidR="00012F8B">
        <w:rPr>
          <w:rFonts w:ascii="Arial" w:hAnsi="Arial" w:cs="Arial"/>
          <w:b/>
          <w:i/>
          <w:sz w:val="22"/>
          <w:szCs w:val="22"/>
        </w:rPr>
        <w:t>zkaynak büyümesini desteklemi</w:t>
      </w:r>
      <w:r w:rsidR="009267BF">
        <w:rPr>
          <w:rFonts w:ascii="Arial" w:hAnsi="Arial" w:cs="Arial"/>
          <w:b/>
          <w:i/>
          <w:sz w:val="22"/>
          <w:szCs w:val="22"/>
        </w:rPr>
        <w:t>ş</w:t>
      </w:r>
      <w:r w:rsidR="00012F8B">
        <w:rPr>
          <w:rFonts w:ascii="Arial" w:hAnsi="Arial" w:cs="Arial"/>
          <w:b/>
          <w:i/>
          <w:sz w:val="22"/>
          <w:szCs w:val="22"/>
        </w:rPr>
        <w:t xml:space="preserve">, </w:t>
      </w:r>
      <w:r w:rsidR="002940B0" w:rsidRPr="00BA2739">
        <w:rPr>
          <w:rFonts w:ascii="Arial" w:hAnsi="Arial" w:cs="Arial"/>
          <w:b/>
          <w:i/>
          <w:sz w:val="22"/>
          <w:szCs w:val="22"/>
        </w:rPr>
        <w:t>kredi</w:t>
      </w:r>
      <w:r w:rsidRPr="00BA2739">
        <w:rPr>
          <w:rFonts w:ascii="Arial" w:hAnsi="Arial" w:cs="Arial"/>
          <w:b/>
          <w:i/>
          <w:sz w:val="22"/>
          <w:szCs w:val="22"/>
        </w:rPr>
        <w:t xml:space="preserve">lerin finansmanında özkaynakların payı artmıştır. </w:t>
      </w:r>
      <w:r w:rsidR="002940B0" w:rsidRPr="00BA273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D475EE" w:rsidRPr="00ED4714" w:rsidRDefault="00D475EE" w:rsidP="00C06DDF">
      <w:pPr>
        <w:spacing w:before="120" w:after="120"/>
        <w:jc w:val="both"/>
        <w:rPr>
          <w:rFonts w:ascii="Arial" w:hAnsi="Arial" w:cs="Arial"/>
          <w:b/>
          <w:i/>
          <w:color w:val="FF0000"/>
          <w:sz w:val="10"/>
          <w:szCs w:val="10"/>
        </w:rPr>
      </w:pPr>
    </w:p>
    <w:p w:rsidR="00E27F76" w:rsidRPr="00012F8B" w:rsidRDefault="00CC3FDF" w:rsidP="00D85D1A">
      <w:pPr>
        <w:pStyle w:val="ListParagraph"/>
        <w:numPr>
          <w:ilvl w:val="0"/>
          <w:numId w:val="24"/>
        </w:numPr>
        <w:spacing w:before="120" w:after="12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12F8B">
        <w:rPr>
          <w:rFonts w:ascii="Arial" w:hAnsi="Arial" w:cs="Arial"/>
          <w:b/>
          <w:sz w:val="22"/>
          <w:szCs w:val="22"/>
        </w:rPr>
        <w:t>Genel Değerlendirme</w:t>
      </w:r>
    </w:p>
    <w:p w:rsidR="00012F8B" w:rsidRPr="00012F8B" w:rsidRDefault="00012F8B" w:rsidP="00012F8B">
      <w:pPr>
        <w:pStyle w:val="ListParagraph"/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E13102" w:rsidRDefault="00012F8B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Tü</w:t>
      </w:r>
      <w:r w:rsidR="00D952E0" w:rsidRPr="00D952E0">
        <w:rPr>
          <w:rFonts w:ascii="Arial" w:hAnsi="Arial" w:cs="Arial"/>
          <w:b/>
          <w:sz w:val="22"/>
          <w:szCs w:val="22"/>
        </w:rPr>
        <w:t>rkiye’de büyüme yavaşlamıştır</w:t>
      </w:r>
      <w:r w:rsidR="00303244" w:rsidRPr="00D952E0">
        <w:rPr>
          <w:rFonts w:ascii="Arial" w:hAnsi="Arial" w:cs="Arial"/>
          <w:b/>
          <w:sz w:val="22"/>
          <w:szCs w:val="22"/>
        </w:rPr>
        <w:t>:</w:t>
      </w:r>
      <w:r w:rsidR="00303244" w:rsidRPr="00D952E0">
        <w:rPr>
          <w:rFonts w:ascii="Arial" w:hAnsi="Arial" w:cs="Arial"/>
          <w:sz w:val="22"/>
          <w:szCs w:val="22"/>
        </w:rPr>
        <w:t xml:space="preserve"> </w:t>
      </w:r>
      <w:r w:rsidR="00E13102" w:rsidRPr="00F566C5">
        <w:rPr>
          <w:rFonts w:ascii="Arial" w:hAnsi="Arial" w:cs="Arial"/>
          <w:sz w:val="22"/>
          <w:szCs w:val="22"/>
        </w:rPr>
        <w:t xml:space="preserve">2016 yılı üçüncü çeyreğinde 15 Temmuz </w:t>
      </w:r>
      <w:r w:rsidR="00BA2739">
        <w:rPr>
          <w:rFonts w:ascii="Arial" w:hAnsi="Arial" w:cs="Arial"/>
          <w:sz w:val="22"/>
          <w:szCs w:val="22"/>
        </w:rPr>
        <w:t>Darbe G</w:t>
      </w:r>
      <w:r w:rsidR="00E13102" w:rsidRPr="00F566C5">
        <w:rPr>
          <w:rFonts w:ascii="Arial" w:hAnsi="Arial" w:cs="Arial"/>
          <w:sz w:val="22"/>
          <w:szCs w:val="22"/>
        </w:rPr>
        <w:t>irişimi</w:t>
      </w:r>
      <w:r w:rsidR="00BA2739">
        <w:rPr>
          <w:rFonts w:ascii="Arial" w:hAnsi="Arial" w:cs="Arial"/>
          <w:sz w:val="22"/>
          <w:szCs w:val="22"/>
        </w:rPr>
        <w:t>’nin</w:t>
      </w:r>
      <w:r w:rsidR="00E13102" w:rsidRPr="00F566C5">
        <w:rPr>
          <w:rFonts w:ascii="Arial" w:hAnsi="Arial" w:cs="Arial"/>
          <w:sz w:val="22"/>
          <w:szCs w:val="22"/>
        </w:rPr>
        <w:t xml:space="preserve"> neden olduğu şok ve belirsizlik </w:t>
      </w:r>
      <w:r>
        <w:rPr>
          <w:rFonts w:ascii="Arial" w:hAnsi="Arial" w:cs="Arial"/>
          <w:sz w:val="22"/>
          <w:szCs w:val="22"/>
        </w:rPr>
        <w:t>ekonomik faaliyeti olumsuz etkilemiştir. İlk yarıda</w:t>
      </w:r>
      <w:r w:rsidR="00F032A1">
        <w:rPr>
          <w:rFonts w:ascii="Arial" w:hAnsi="Arial" w:cs="Arial"/>
          <w:sz w:val="22"/>
          <w:szCs w:val="22"/>
        </w:rPr>
        <w:t xml:space="preserve"> büyümede gözlenen yavaşlama</w:t>
      </w:r>
      <w:r>
        <w:rPr>
          <w:rFonts w:ascii="Arial" w:hAnsi="Arial" w:cs="Arial"/>
          <w:sz w:val="22"/>
          <w:szCs w:val="22"/>
        </w:rPr>
        <w:t xml:space="preserve"> </w:t>
      </w:r>
      <w:r w:rsidR="00F032A1">
        <w:rPr>
          <w:rFonts w:ascii="Arial" w:hAnsi="Arial" w:cs="Arial"/>
          <w:sz w:val="22"/>
          <w:szCs w:val="22"/>
        </w:rPr>
        <w:t xml:space="preserve">üçüncü çeyrekte hızlanmıştır. </w:t>
      </w:r>
      <w:r w:rsidR="00E13102" w:rsidRPr="00F566C5">
        <w:rPr>
          <w:rFonts w:ascii="Arial" w:hAnsi="Arial" w:cs="Arial"/>
          <w:sz w:val="22"/>
          <w:szCs w:val="22"/>
        </w:rPr>
        <w:t>Enflasyon</w:t>
      </w:r>
      <w:r w:rsidR="00F032A1">
        <w:rPr>
          <w:rFonts w:ascii="Arial" w:hAnsi="Arial" w:cs="Arial"/>
          <w:sz w:val="22"/>
          <w:szCs w:val="22"/>
        </w:rPr>
        <w:t>da</w:t>
      </w:r>
      <w:r w:rsidR="00E13102" w:rsidRPr="00F566C5">
        <w:rPr>
          <w:rFonts w:ascii="Arial" w:hAnsi="Arial" w:cs="Arial"/>
          <w:sz w:val="22"/>
          <w:szCs w:val="22"/>
        </w:rPr>
        <w:t xml:space="preserve"> </w:t>
      </w:r>
      <w:r w:rsidR="00F032A1">
        <w:rPr>
          <w:rFonts w:ascii="Arial" w:hAnsi="Arial" w:cs="Arial"/>
          <w:sz w:val="22"/>
          <w:szCs w:val="22"/>
        </w:rPr>
        <w:t xml:space="preserve">ve faiz oranlarında </w:t>
      </w:r>
      <w:r w:rsidR="00E13102" w:rsidRPr="00F566C5">
        <w:rPr>
          <w:rFonts w:ascii="Arial" w:hAnsi="Arial" w:cs="Arial"/>
          <w:sz w:val="22"/>
          <w:szCs w:val="22"/>
        </w:rPr>
        <w:t xml:space="preserve">aşağı yönlü bir seyir </w:t>
      </w:r>
      <w:r w:rsidR="00F032A1">
        <w:rPr>
          <w:rFonts w:ascii="Arial" w:hAnsi="Arial" w:cs="Arial"/>
          <w:sz w:val="22"/>
          <w:szCs w:val="22"/>
        </w:rPr>
        <w:t xml:space="preserve">olmuştur. </w:t>
      </w:r>
    </w:p>
    <w:p w:rsidR="00F032A1" w:rsidRPr="00012F8B" w:rsidRDefault="00F032A1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6D5AB7" w:rsidRDefault="00A245C6" w:rsidP="00F032A1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2334D5">
        <w:rPr>
          <w:rFonts w:ascii="Arial" w:hAnsi="Arial"/>
          <w:b/>
          <w:sz w:val="22"/>
          <w:szCs w:val="22"/>
        </w:rPr>
        <w:t xml:space="preserve">Merkez Bankası </w:t>
      </w:r>
      <w:r w:rsidR="00303244" w:rsidRPr="002334D5">
        <w:rPr>
          <w:rFonts w:ascii="Arial" w:hAnsi="Arial"/>
          <w:b/>
          <w:sz w:val="22"/>
          <w:szCs w:val="22"/>
        </w:rPr>
        <w:t xml:space="preserve">faiz koridorunun üst bandında </w:t>
      </w:r>
      <w:r w:rsidR="002334D5" w:rsidRPr="002334D5">
        <w:rPr>
          <w:rFonts w:ascii="Arial" w:hAnsi="Arial"/>
          <w:b/>
          <w:sz w:val="22"/>
          <w:szCs w:val="22"/>
        </w:rPr>
        <w:t xml:space="preserve">indirimlerine </w:t>
      </w:r>
      <w:r w:rsidR="00D952E0">
        <w:rPr>
          <w:rFonts w:ascii="Arial" w:hAnsi="Arial"/>
          <w:b/>
          <w:sz w:val="22"/>
          <w:szCs w:val="22"/>
        </w:rPr>
        <w:t>devam etmiştir:</w:t>
      </w:r>
      <w:r w:rsidR="00D85D1A">
        <w:rPr>
          <w:rFonts w:ascii="Arial" w:hAnsi="Arial"/>
          <w:b/>
          <w:sz w:val="22"/>
          <w:szCs w:val="22"/>
        </w:rPr>
        <w:t xml:space="preserve"> </w:t>
      </w:r>
      <w:r w:rsidR="00303244" w:rsidRPr="002334D5">
        <w:rPr>
          <w:rFonts w:ascii="Arial" w:hAnsi="Arial" w:cs="Arial"/>
          <w:sz w:val="22"/>
          <w:szCs w:val="22"/>
        </w:rPr>
        <w:t xml:space="preserve">Merkez </w:t>
      </w:r>
      <w:r w:rsidR="00303244" w:rsidRPr="00410FEE">
        <w:rPr>
          <w:rFonts w:ascii="Arial" w:hAnsi="Arial" w:cs="Arial"/>
          <w:sz w:val="22"/>
          <w:szCs w:val="22"/>
        </w:rPr>
        <w:t>Bankası</w:t>
      </w:r>
      <w:r w:rsidR="003C25CA" w:rsidRPr="00410FEE">
        <w:rPr>
          <w:rFonts w:ascii="Arial" w:hAnsi="Arial" w:cs="Arial"/>
          <w:sz w:val="22"/>
          <w:szCs w:val="22"/>
        </w:rPr>
        <w:t xml:space="preserve"> </w:t>
      </w:r>
      <w:r w:rsidR="00F802EE" w:rsidRPr="00410FEE">
        <w:rPr>
          <w:rFonts w:ascii="Arial" w:hAnsi="Arial" w:cs="Arial"/>
          <w:sz w:val="22"/>
          <w:szCs w:val="22"/>
        </w:rPr>
        <w:t>m</w:t>
      </w:r>
      <w:r w:rsidR="003C25CA" w:rsidRPr="00410FEE">
        <w:rPr>
          <w:rFonts w:ascii="Arial" w:hAnsi="Arial" w:cs="Arial"/>
          <w:sz w:val="22"/>
          <w:szCs w:val="22"/>
        </w:rPr>
        <w:t xml:space="preserve">arjinal </w:t>
      </w:r>
      <w:r w:rsidR="00801364" w:rsidRPr="00410FEE">
        <w:rPr>
          <w:rFonts w:ascii="Arial" w:hAnsi="Arial" w:cs="Arial"/>
          <w:sz w:val="22"/>
          <w:szCs w:val="22"/>
        </w:rPr>
        <w:t>f</w:t>
      </w:r>
      <w:r w:rsidR="003C25CA" w:rsidRPr="00410FEE">
        <w:rPr>
          <w:rFonts w:ascii="Arial" w:hAnsi="Arial" w:cs="Arial"/>
          <w:sz w:val="22"/>
          <w:szCs w:val="22"/>
        </w:rPr>
        <w:t>onlama oranı</w:t>
      </w:r>
      <w:r w:rsidR="002334D5" w:rsidRPr="00410FEE">
        <w:rPr>
          <w:rFonts w:ascii="Arial" w:hAnsi="Arial" w:cs="Arial"/>
          <w:sz w:val="22"/>
          <w:szCs w:val="22"/>
        </w:rPr>
        <w:t>nda indirimlerine devam etmiş  ve  yüzde 9’d</w:t>
      </w:r>
      <w:r w:rsidR="00E65B86" w:rsidRPr="00410FEE">
        <w:rPr>
          <w:rFonts w:ascii="Arial" w:hAnsi="Arial" w:cs="Arial"/>
          <w:sz w:val="22"/>
          <w:szCs w:val="22"/>
        </w:rPr>
        <w:t>an kademeli olarak</w:t>
      </w:r>
      <w:r w:rsidR="003C25CA" w:rsidRPr="00410FEE">
        <w:rPr>
          <w:rFonts w:ascii="Arial" w:hAnsi="Arial" w:cs="Arial"/>
          <w:sz w:val="22"/>
          <w:szCs w:val="22"/>
        </w:rPr>
        <w:t xml:space="preserve"> yüzde </w:t>
      </w:r>
      <w:r w:rsidR="002334D5" w:rsidRPr="00410FEE">
        <w:rPr>
          <w:rFonts w:ascii="Arial" w:hAnsi="Arial" w:cs="Arial"/>
          <w:sz w:val="22"/>
          <w:szCs w:val="22"/>
        </w:rPr>
        <w:t>8,25’e</w:t>
      </w:r>
      <w:r w:rsidR="003C25CA" w:rsidRPr="00410FEE">
        <w:rPr>
          <w:rFonts w:ascii="Arial" w:hAnsi="Arial" w:cs="Arial"/>
          <w:sz w:val="22"/>
          <w:szCs w:val="22"/>
        </w:rPr>
        <w:t xml:space="preserve"> indirmiştir. </w:t>
      </w:r>
      <w:r w:rsidR="002334D5" w:rsidRPr="00410FEE">
        <w:rPr>
          <w:rFonts w:ascii="Arial" w:hAnsi="Arial" w:cs="Arial"/>
          <w:sz w:val="22"/>
          <w:szCs w:val="22"/>
        </w:rPr>
        <w:t>Haziran</w:t>
      </w:r>
      <w:r w:rsidR="003C25CA" w:rsidRPr="00410FEE">
        <w:rPr>
          <w:rFonts w:ascii="Arial" w:hAnsi="Arial" w:cs="Arial"/>
          <w:sz w:val="22"/>
          <w:szCs w:val="22"/>
        </w:rPr>
        <w:t xml:space="preserve"> ayı sonu itibariyle </w:t>
      </w:r>
      <w:r w:rsidR="002334D5" w:rsidRPr="00410FEE">
        <w:rPr>
          <w:rFonts w:ascii="Arial" w:hAnsi="Arial" w:cs="Arial"/>
          <w:sz w:val="22"/>
          <w:szCs w:val="22"/>
        </w:rPr>
        <w:t>yüzde 8,2</w:t>
      </w:r>
      <w:r w:rsidR="00031E5A" w:rsidRPr="00410FEE">
        <w:rPr>
          <w:rFonts w:ascii="Arial" w:hAnsi="Arial" w:cs="Arial"/>
          <w:sz w:val="22"/>
          <w:szCs w:val="22"/>
        </w:rPr>
        <w:t xml:space="preserve"> </w:t>
      </w:r>
      <w:r w:rsidR="00E65B86" w:rsidRPr="00410FEE">
        <w:rPr>
          <w:rFonts w:ascii="Arial" w:hAnsi="Arial" w:cs="Arial"/>
          <w:sz w:val="22"/>
          <w:szCs w:val="22"/>
        </w:rPr>
        <w:t>olan ağırlıklı or</w:t>
      </w:r>
      <w:r w:rsidR="002334D5" w:rsidRPr="00410FEE">
        <w:rPr>
          <w:rFonts w:ascii="Arial" w:hAnsi="Arial" w:cs="Arial"/>
          <w:sz w:val="22"/>
          <w:szCs w:val="22"/>
        </w:rPr>
        <w:t>talama fonlama maliyeti, Eylül</w:t>
      </w:r>
      <w:r w:rsidR="00E65B86" w:rsidRPr="00410FEE">
        <w:rPr>
          <w:rFonts w:ascii="Arial" w:hAnsi="Arial" w:cs="Arial"/>
          <w:sz w:val="22"/>
          <w:szCs w:val="22"/>
        </w:rPr>
        <w:t xml:space="preserve"> </w:t>
      </w:r>
      <w:r w:rsidR="00E65B86" w:rsidRPr="007B4322">
        <w:rPr>
          <w:rFonts w:ascii="Arial" w:hAnsi="Arial" w:cs="Arial"/>
          <w:sz w:val="22"/>
          <w:szCs w:val="22"/>
        </w:rPr>
        <w:t xml:space="preserve">2016’da yüzde </w:t>
      </w:r>
      <w:r w:rsidR="007B4322" w:rsidRPr="007B4322">
        <w:rPr>
          <w:rFonts w:ascii="Arial" w:hAnsi="Arial" w:cs="Arial"/>
          <w:sz w:val="22"/>
          <w:szCs w:val="22"/>
        </w:rPr>
        <w:t>7,8’e</w:t>
      </w:r>
      <w:r w:rsidR="00E65B86" w:rsidRPr="007B4322">
        <w:rPr>
          <w:rFonts w:ascii="Arial" w:hAnsi="Arial" w:cs="Arial"/>
          <w:sz w:val="22"/>
          <w:szCs w:val="22"/>
        </w:rPr>
        <w:t xml:space="preserve"> gerilemiştir.</w:t>
      </w:r>
      <w:r w:rsidR="000510A6" w:rsidRPr="007B4322">
        <w:rPr>
          <w:rFonts w:ascii="Arial" w:hAnsi="Arial" w:cs="Arial"/>
          <w:sz w:val="22"/>
          <w:szCs w:val="22"/>
        </w:rPr>
        <w:t xml:space="preserve"> </w:t>
      </w:r>
      <w:r w:rsidR="00D85D1A">
        <w:rPr>
          <w:rFonts w:ascii="Arial" w:hAnsi="Arial" w:cs="Arial"/>
          <w:sz w:val="22"/>
          <w:szCs w:val="22"/>
        </w:rPr>
        <w:t xml:space="preserve">Benzer şekilde ortalama olarak </w:t>
      </w:r>
      <w:r w:rsidR="00A11428">
        <w:rPr>
          <w:rFonts w:ascii="Arial" w:hAnsi="Arial" w:cs="Arial"/>
          <w:sz w:val="22"/>
          <w:szCs w:val="22"/>
        </w:rPr>
        <w:t xml:space="preserve">faiz oranı konut kredilerinde 169 </w:t>
      </w:r>
      <w:r w:rsidR="00D85D1A">
        <w:rPr>
          <w:rFonts w:ascii="Arial" w:hAnsi="Arial" w:cs="Arial"/>
          <w:sz w:val="22"/>
          <w:szCs w:val="22"/>
        </w:rPr>
        <w:t xml:space="preserve">baz puan, ticari kredilerde </w:t>
      </w:r>
      <w:r w:rsidR="00A11428">
        <w:rPr>
          <w:rFonts w:ascii="Arial" w:hAnsi="Arial" w:cs="Arial"/>
          <w:sz w:val="22"/>
          <w:szCs w:val="22"/>
        </w:rPr>
        <w:t>60</w:t>
      </w:r>
      <w:r w:rsidR="00D85D1A">
        <w:rPr>
          <w:rFonts w:ascii="Arial" w:hAnsi="Arial" w:cs="Arial"/>
          <w:sz w:val="22"/>
          <w:szCs w:val="22"/>
        </w:rPr>
        <w:t xml:space="preserve"> baz puan, </w:t>
      </w:r>
      <w:r w:rsidR="00A11428">
        <w:rPr>
          <w:rFonts w:ascii="Arial" w:hAnsi="Arial" w:cs="Arial"/>
          <w:sz w:val="22"/>
          <w:szCs w:val="22"/>
        </w:rPr>
        <w:t xml:space="preserve">ihtiyaç kredilerinde 43 </w:t>
      </w:r>
      <w:r w:rsidR="00D85D1A">
        <w:rPr>
          <w:rFonts w:ascii="Arial" w:hAnsi="Arial" w:cs="Arial"/>
          <w:sz w:val="22"/>
          <w:szCs w:val="22"/>
        </w:rPr>
        <w:t xml:space="preserve">baz puan </w:t>
      </w:r>
      <w:r w:rsidR="00A11428">
        <w:rPr>
          <w:rFonts w:ascii="Arial" w:hAnsi="Arial" w:cs="Arial"/>
          <w:sz w:val="22"/>
          <w:szCs w:val="22"/>
        </w:rPr>
        <w:t xml:space="preserve">ve taşıt kredilerinde 75 baz puan </w:t>
      </w:r>
      <w:r w:rsidR="00D85D1A">
        <w:rPr>
          <w:rFonts w:ascii="Arial" w:hAnsi="Arial" w:cs="Arial"/>
          <w:sz w:val="22"/>
          <w:szCs w:val="22"/>
        </w:rPr>
        <w:t>gerilemiştir.</w:t>
      </w:r>
    </w:p>
    <w:p w:rsidR="00D85D1A" w:rsidRDefault="00D85D1A" w:rsidP="00F032A1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A11428" w:rsidRDefault="00641A2F" w:rsidP="00A1142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bookmarkStart w:id="1" w:name="OLE_LINK17"/>
      <w:bookmarkStart w:id="2" w:name="OLE_LINK18"/>
      <w:r w:rsidRPr="000A6FF3">
        <w:rPr>
          <w:rFonts w:ascii="Arial" w:hAnsi="Arial" w:cs="Arial"/>
          <w:b/>
          <w:sz w:val="22"/>
          <w:szCs w:val="22"/>
        </w:rPr>
        <w:t>2.</w:t>
      </w:r>
      <w:r w:rsidR="00CB11EF" w:rsidRPr="000A6FF3">
        <w:rPr>
          <w:rFonts w:ascii="Arial" w:hAnsi="Arial" w:cs="Arial"/>
          <w:b/>
          <w:sz w:val="22"/>
          <w:szCs w:val="22"/>
        </w:rPr>
        <w:t xml:space="preserve"> </w:t>
      </w:r>
      <w:r w:rsidR="00C06DDF" w:rsidRPr="000A6FF3">
        <w:rPr>
          <w:rFonts w:ascii="Arial" w:hAnsi="Arial" w:cs="Arial"/>
          <w:b/>
          <w:sz w:val="22"/>
          <w:szCs w:val="22"/>
        </w:rPr>
        <w:t>Sektör Gelişmeleri</w:t>
      </w:r>
    </w:p>
    <w:p w:rsidR="004A33DD" w:rsidRPr="000A6FF3" w:rsidRDefault="00082ACD" w:rsidP="00D85D1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Mevduat, kalkınma ve yatırım bankalarının b</w:t>
      </w:r>
      <w:r w:rsidR="00736644" w:rsidRPr="000A6FF3">
        <w:rPr>
          <w:rFonts w:ascii="Arial" w:hAnsi="Arial" w:cs="Arial"/>
          <w:sz w:val="22"/>
          <w:szCs w:val="22"/>
        </w:rPr>
        <w:t>ilanço toplamı,</w:t>
      </w:r>
      <w:r w:rsidR="00F25CC7" w:rsidRPr="000A6FF3">
        <w:rPr>
          <w:rFonts w:ascii="Arial" w:hAnsi="Arial" w:cs="Arial"/>
          <w:sz w:val="22"/>
          <w:szCs w:val="22"/>
        </w:rPr>
        <w:t xml:space="preserve"> Eylül</w:t>
      </w:r>
      <w:r w:rsidR="00001628" w:rsidRPr="000A6FF3">
        <w:rPr>
          <w:rFonts w:ascii="Arial" w:hAnsi="Arial" w:cs="Arial"/>
          <w:sz w:val="22"/>
          <w:szCs w:val="22"/>
        </w:rPr>
        <w:t xml:space="preserve"> </w:t>
      </w:r>
      <w:r w:rsidR="00CD4D78" w:rsidRPr="000A6FF3">
        <w:rPr>
          <w:rFonts w:ascii="Arial" w:hAnsi="Arial" w:cs="Arial"/>
          <w:sz w:val="22"/>
          <w:szCs w:val="22"/>
        </w:rPr>
        <w:t>201</w:t>
      </w:r>
      <w:r w:rsidR="00001628" w:rsidRPr="000A6FF3">
        <w:rPr>
          <w:rFonts w:ascii="Arial" w:hAnsi="Arial" w:cs="Arial"/>
          <w:sz w:val="22"/>
          <w:szCs w:val="22"/>
        </w:rPr>
        <w:t>6</w:t>
      </w:r>
      <w:r w:rsidR="0055654D" w:rsidRPr="000A6FF3">
        <w:rPr>
          <w:rFonts w:ascii="Arial" w:hAnsi="Arial" w:cs="Arial"/>
          <w:sz w:val="22"/>
          <w:szCs w:val="22"/>
        </w:rPr>
        <w:t xml:space="preserve"> itibariyle</w:t>
      </w:r>
      <w:r w:rsidR="005A6CD3" w:rsidRPr="000A6FF3">
        <w:rPr>
          <w:rFonts w:ascii="Arial" w:hAnsi="Arial" w:cs="Arial"/>
          <w:sz w:val="22"/>
          <w:szCs w:val="22"/>
        </w:rPr>
        <w:t>, geçen y</w:t>
      </w:r>
      <w:r w:rsidR="00BB7A53" w:rsidRPr="000A6FF3">
        <w:rPr>
          <w:rFonts w:ascii="Arial" w:hAnsi="Arial" w:cs="Arial"/>
          <w:sz w:val="22"/>
          <w:szCs w:val="22"/>
        </w:rPr>
        <w:t xml:space="preserve">ılın aynı dönemine göre </w:t>
      </w:r>
      <w:r w:rsidR="009767FB" w:rsidRPr="000A6FF3">
        <w:rPr>
          <w:rFonts w:ascii="Arial" w:hAnsi="Arial" w:cs="Arial"/>
          <w:sz w:val="22"/>
          <w:szCs w:val="22"/>
        </w:rPr>
        <w:t xml:space="preserve">TL bazında </w:t>
      </w:r>
      <w:r w:rsidR="00BB7A53" w:rsidRPr="00D47D5F">
        <w:rPr>
          <w:rFonts w:ascii="Arial" w:hAnsi="Arial" w:cs="Arial"/>
          <w:b/>
          <w:sz w:val="22"/>
          <w:szCs w:val="22"/>
        </w:rPr>
        <w:t>yüzde</w:t>
      </w:r>
      <w:r w:rsidR="00BB7A53" w:rsidRPr="000A6FF3">
        <w:rPr>
          <w:rFonts w:ascii="Arial" w:hAnsi="Arial" w:cs="Arial"/>
          <w:sz w:val="22"/>
          <w:szCs w:val="22"/>
        </w:rPr>
        <w:t xml:space="preserve"> </w:t>
      </w:r>
      <w:r w:rsidR="000A6FF3" w:rsidRPr="000A6FF3">
        <w:rPr>
          <w:rFonts w:ascii="Arial" w:hAnsi="Arial" w:cs="Arial"/>
          <w:b/>
          <w:sz w:val="22"/>
          <w:szCs w:val="22"/>
        </w:rPr>
        <w:t>6</w:t>
      </w:r>
      <w:r w:rsidR="00DA2D8F" w:rsidRPr="000A6FF3">
        <w:rPr>
          <w:rFonts w:ascii="Arial" w:hAnsi="Arial" w:cs="Arial"/>
          <w:sz w:val="22"/>
          <w:szCs w:val="22"/>
        </w:rPr>
        <w:t xml:space="preserve"> oranında büyüyerek </w:t>
      </w:r>
      <w:r w:rsidR="00976105" w:rsidRPr="000A6FF3">
        <w:rPr>
          <w:rFonts w:ascii="Arial" w:hAnsi="Arial" w:cs="Arial"/>
          <w:b/>
          <w:sz w:val="22"/>
          <w:szCs w:val="22"/>
        </w:rPr>
        <w:t>2.</w:t>
      </w:r>
      <w:r w:rsidR="000A6FF3" w:rsidRPr="000A6FF3">
        <w:rPr>
          <w:rFonts w:ascii="Arial" w:hAnsi="Arial" w:cs="Arial"/>
          <w:b/>
          <w:sz w:val="22"/>
          <w:szCs w:val="22"/>
        </w:rPr>
        <w:t>412</w:t>
      </w:r>
      <w:r w:rsidR="005A6CD3" w:rsidRPr="000A6FF3">
        <w:rPr>
          <w:rFonts w:ascii="Arial" w:hAnsi="Arial" w:cs="Arial"/>
          <w:b/>
          <w:sz w:val="22"/>
          <w:szCs w:val="22"/>
        </w:rPr>
        <w:t xml:space="preserve"> milyar TL </w:t>
      </w:r>
      <w:r w:rsidR="009767FB" w:rsidRPr="000A6FF3">
        <w:rPr>
          <w:rFonts w:ascii="Arial" w:hAnsi="Arial" w:cs="Arial"/>
          <w:b/>
          <w:sz w:val="22"/>
          <w:szCs w:val="22"/>
        </w:rPr>
        <w:t>(</w:t>
      </w:r>
      <w:r w:rsidR="00976105" w:rsidRPr="000A6FF3">
        <w:rPr>
          <w:rFonts w:ascii="Arial" w:hAnsi="Arial" w:cs="Arial"/>
          <w:b/>
          <w:sz w:val="22"/>
          <w:szCs w:val="22"/>
        </w:rPr>
        <w:t>8</w:t>
      </w:r>
      <w:r w:rsidR="000A6FF3" w:rsidRPr="000A6FF3">
        <w:rPr>
          <w:rFonts w:ascii="Arial" w:hAnsi="Arial" w:cs="Arial"/>
          <w:b/>
          <w:sz w:val="22"/>
          <w:szCs w:val="22"/>
        </w:rPr>
        <w:t>04</w:t>
      </w:r>
      <w:r w:rsidR="005A6CD3" w:rsidRPr="000A6FF3">
        <w:rPr>
          <w:rFonts w:ascii="Arial" w:hAnsi="Arial" w:cs="Arial"/>
          <w:b/>
          <w:sz w:val="22"/>
          <w:szCs w:val="22"/>
        </w:rPr>
        <w:t xml:space="preserve"> milyar dolar)</w:t>
      </w:r>
      <w:r w:rsidR="00C671CC">
        <w:rPr>
          <w:rFonts w:ascii="Arial" w:hAnsi="Arial" w:cs="Arial"/>
          <w:sz w:val="22"/>
          <w:szCs w:val="22"/>
        </w:rPr>
        <w:t xml:space="preserve"> olmuş, sabit fiyatlarla yüzde 1 küçülmüştür</w:t>
      </w:r>
      <w:r w:rsidR="0065540E">
        <w:rPr>
          <w:rFonts w:ascii="Arial" w:hAnsi="Arial" w:cs="Arial"/>
          <w:sz w:val="22"/>
          <w:szCs w:val="22"/>
        </w:rPr>
        <w:t xml:space="preserve">. </w:t>
      </w:r>
      <w:r w:rsidR="003A387A" w:rsidRPr="000A6FF3">
        <w:rPr>
          <w:rFonts w:ascii="Arial" w:hAnsi="Arial" w:cs="Arial"/>
          <w:sz w:val="22"/>
          <w:szCs w:val="22"/>
        </w:rPr>
        <w:t>Toplam</w:t>
      </w:r>
      <w:r w:rsidR="00AC776B" w:rsidRPr="000A6FF3">
        <w:rPr>
          <w:rFonts w:ascii="Arial" w:hAnsi="Arial" w:cs="Arial"/>
          <w:sz w:val="22"/>
          <w:szCs w:val="22"/>
        </w:rPr>
        <w:t xml:space="preserve"> aktifler dolar bazında</w:t>
      </w:r>
      <w:r w:rsidR="004331D5" w:rsidRPr="000A6FF3">
        <w:rPr>
          <w:rFonts w:ascii="Arial" w:hAnsi="Arial" w:cs="Arial"/>
          <w:sz w:val="22"/>
          <w:szCs w:val="22"/>
        </w:rPr>
        <w:t xml:space="preserve"> </w:t>
      </w:r>
      <w:r w:rsidR="004331D5"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0A6FF3" w:rsidRPr="000A6FF3">
        <w:rPr>
          <w:rFonts w:ascii="Arial" w:hAnsi="Arial" w:cs="Arial"/>
          <w:b/>
          <w:sz w:val="22"/>
          <w:szCs w:val="22"/>
        </w:rPr>
        <w:t xml:space="preserve">7 </w:t>
      </w:r>
      <w:r w:rsidR="00D85D1A">
        <w:rPr>
          <w:rFonts w:ascii="Arial" w:hAnsi="Arial" w:cs="Arial"/>
          <w:sz w:val="22"/>
          <w:szCs w:val="22"/>
        </w:rPr>
        <w:t>büyümüş</w:t>
      </w:r>
      <w:r w:rsidR="0065540E">
        <w:rPr>
          <w:rFonts w:ascii="Arial" w:hAnsi="Arial" w:cs="Arial"/>
          <w:sz w:val="22"/>
          <w:szCs w:val="22"/>
        </w:rPr>
        <w:t xml:space="preserve">tür. </w:t>
      </w:r>
      <w:r w:rsidR="000A6FF3" w:rsidRPr="000A6FF3">
        <w:rPr>
          <w:rFonts w:ascii="Arial" w:hAnsi="Arial" w:cs="Arial"/>
          <w:sz w:val="22"/>
          <w:szCs w:val="22"/>
        </w:rPr>
        <w:t>Eylül</w:t>
      </w:r>
      <w:r w:rsidR="00001628" w:rsidRPr="000A6FF3">
        <w:rPr>
          <w:rFonts w:ascii="Arial" w:hAnsi="Arial" w:cs="Arial"/>
          <w:sz w:val="22"/>
          <w:szCs w:val="22"/>
        </w:rPr>
        <w:t xml:space="preserve"> 2016</w:t>
      </w:r>
      <w:r w:rsidR="000E2381" w:rsidRPr="000A6FF3">
        <w:rPr>
          <w:rFonts w:ascii="Arial" w:hAnsi="Arial" w:cs="Arial"/>
          <w:sz w:val="22"/>
          <w:szCs w:val="22"/>
        </w:rPr>
        <w:t xml:space="preserve"> itibariyle mevduat, kalkınma ve yatırım bankalarının toplam aktifler</w:t>
      </w:r>
      <w:r w:rsidR="00801364" w:rsidRPr="000A6FF3">
        <w:rPr>
          <w:rFonts w:ascii="Arial" w:hAnsi="Arial" w:cs="Arial"/>
          <w:sz w:val="22"/>
          <w:szCs w:val="22"/>
        </w:rPr>
        <w:t>inin gsyh’ya oranı</w:t>
      </w:r>
      <w:r w:rsidR="00065D30" w:rsidRPr="000A6FF3">
        <w:rPr>
          <w:rFonts w:ascii="Arial" w:hAnsi="Arial" w:cs="Arial"/>
          <w:sz w:val="22"/>
          <w:szCs w:val="22"/>
        </w:rPr>
        <w:t>nın</w:t>
      </w:r>
      <w:r w:rsidR="003A387A" w:rsidRPr="000A6FF3">
        <w:rPr>
          <w:rFonts w:ascii="Arial" w:hAnsi="Arial" w:cs="Arial"/>
          <w:sz w:val="22"/>
          <w:szCs w:val="22"/>
        </w:rPr>
        <w:t xml:space="preserve"> </w:t>
      </w:r>
      <w:r w:rsidR="003A387A"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3A387A" w:rsidRPr="000A6FF3">
        <w:rPr>
          <w:rFonts w:ascii="Arial" w:hAnsi="Arial" w:cs="Arial"/>
          <w:b/>
          <w:sz w:val="22"/>
          <w:szCs w:val="22"/>
        </w:rPr>
        <w:t>1</w:t>
      </w:r>
      <w:r w:rsidR="00666F64" w:rsidRPr="000A6FF3">
        <w:rPr>
          <w:rFonts w:ascii="Arial" w:hAnsi="Arial" w:cs="Arial"/>
          <w:b/>
          <w:sz w:val="22"/>
          <w:szCs w:val="22"/>
        </w:rPr>
        <w:t>1</w:t>
      </w:r>
      <w:r w:rsidR="000A6FF3" w:rsidRPr="000A6FF3">
        <w:rPr>
          <w:rFonts w:ascii="Arial" w:hAnsi="Arial" w:cs="Arial"/>
          <w:b/>
          <w:sz w:val="22"/>
          <w:szCs w:val="22"/>
        </w:rPr>
        <w:t>6</w:t>
      </w:r>
      <w:r w:rsidR="00065D30" w:rsidRPr="000A6FF3">
        <w:rPr>
          <w:rFonts w:ascii="Arial" w:hAnsi="Arial" w:cs="Arial"/>
          <w:sz w:val="22"/>
          <w:szCs w:val="22"/>
        </w:rPr>
        <w:t xml:space="preserve"> olarak gerçekleştiği tahmin edilmektedir.</w:t>
      </w:r>
    </w:p>
    <w:bookmarkEnd w:id="1"/>
    <w:bookmarkEnd w:id="2"/>
    <w:p w:rsidR="0065540E" w:rsidRDefault="0065540E" w:rsidP="0065540E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791324" w:rsidRDefault="0065540E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K</w:t>
      </w:r>
      <w:r w:rsidR="00D25884" w:rsidRPr="000435B7">
        <w:rPr>
          <w:rFonts w:ascii="Arial" w:hAnsi="Arial" w:cs="Arial"/>
          <w:sz w:val="22"/>
          <w:szCs w:val="22"/>
        </w:rPr>
        <w:t xml:space="preserve">redi stoku </w:t>
      </w:r>
      <w:r w:rsidR="000A6FF3" w:rsidRPr="000435B7">
        <w:rPr>
          <w:rFonts w:ascii="Arial" w:hAnsi="Arial" w:cs="Arial"/>
          <w:sz w:val="22"/>
          <w:szCs w:val="22"/>
        </w:rPr>
        <w:t>Eylül</w:t>
      </w:r>
      <w:r w:rsidR="00001628" w:rsidRPr="000435B7">
        <w:rPr>
          <w:rFonts w:ascii="Arial" w:hAnsi="Arial" w:cs="Arial"/>
          <w:sz w:val="22"/>
          <w:szCs w:val="22"/>
        </w:rPr>
        <w:t xml:space="preserve"> 2016</w:t>
      </w:r>
      <w:r w:rsidR="00D25884" w:rsidRPr="000435B7">
        <w:rPr>
          <w:rFonts w:ascii="Arial" w:hAnsi="Arial" w:cs="Arial"/>
          <w:sz w:val="22"/>
          <w:szCs w:val="22"/>
        </w:rPr>
        <w:t xml:space="preserve"> itibariyle yıllık bazda </w:t>
      </w:r>
      <w:r w:rsidR="00D25884" w:rsidRPr="000435B7">
        <w:rPr>
          <w:rFonts w:ascii="Arial" w:hAnsi="Arial" w:cs="Arial"/>
          <w:b/>
          <w:sz w:val="22"/>
          <w:szCs w:val="22"/>
        </w:rPr>
        <w:t xml:space="preserve">yüzde </w:t>
      </w:r>
      <w:r w:rsidR="000A6FF3" w:rsidRPr="000435B7">
        <w:rPr>
          <w:rFonts w:ascii="Arial" w:hAnsi="Arial" w:cs="Arial"/>
          <w:b/>
          <w:sz w:val="22"/>
          <w:szCs w:val="22"/>
        </w:rPr>
        <w:t>9</w:t>
      </w:r>
      <w:r w:rsidR="00D25884" w:rsidRPr="000435B7">
        <w:rPr>
          <w:rFonts w:ascii="Arial" w:hAnsi="Arial" w:cs="Arial"/>
          <w:b/>
          <w:sz w:val="22"/>
          <w:szCs w:val="22"/>
        </w:rPr>
        <w:t xml:space="preserve"> </w:t>
      </w:r>
      <w:r w:rsidR="002B36CC" w:rsidRPr="000435B7">
        <w:rPr>
          <w:rFonts w:ascii="Arial" w:hAnsi="Arial" w:cs="Arial"/>
          <w:sz w:val="22"/>
          <w:szCs w:val="22"/>
        </w:rPr>
        <w:t xml:space="preserve">artmış ve </w:t>
      </w:r>
      <w:r w:rsidR="00976105" w:rsidRPr="000435B7">
        <w:rPr>
          <w:rFonts w:ascii="Arial" w:hAnsi="Arial" w:cs="Arial"/>
          <w:b/>
          <w:sz w:val="22"/>
          <w:szCs w:val="22"/>
        </w:rPr>
        <w:t>1.5</w:t>
      </w:r>
      <w:r w:rsidR="000A6FF3" w:rsidRPr="000435B7">
        <w:rPr>
          <w:rFonts w:ascii="Arial" w:hAnsi="Arial" w:cs="Arial"/>
          <w:b/>
          <w:sz w:val="22"/>
          <w:szCs w:val="22"/>
        </w:rPr>
        <w:t>90</w:t>
      </w:r>
      <w:r w:rsidR="002B36CC" w:rsidRPr="000435B7">
        <w:rPr>
          <w:rFonts w:ascii="Arial" w:hAnsi="Arial" w:cs="Arial"/>
          <w:b/>
          <w:sz w:val="22"/>
          <w:szCs w:val="22"/>
        </w:rPr>
        <w:t xml:space="preserve"> milyar TL</w:t>
      </w:r>
      <w:r w:rsidR="002B36CC" w:rsidRPr="000435B7">
        <w:rPr>
          <w:rFonts w:ascii="Arial" w:hAnsi="Arial" w:cs="Arial"/>
          <w:sz w:val="22"/>
          <w:szCs w:val="22"/>
        </w:rPr>
        <w:t xml:space="preserve"> </w:t>
      </w:r>
      <w:r w:rsidR="00976105" w:rsidRPr="000435B7">
        <w:rPr>
          <w:rFonts w:ascii="Arial" w:hAnsi="Arial" w:cs="Arial"/>
          <w:b/>
          <w:sz w:val="22"/>
          <w:szCs w:val="22"/>
        </w:rPr>
        <w:t>(53</w:t>
      </w:r>
      <w:r w:rsidR="000A6FF3" w:rsidRPr="000435B7">
        <w:rPr>
          <w:rFonts w:ascii="Arial" w:hAnsi="Arial" w:cs="Arial"/>
          <w:b/>
          <w:sz w:val="22"/>
          <w:szCs w:val="22"/>
        </w:rPr>
        <w:t>0</w:t>
      </w:r>
      <w:r w:rsidR="002B36CC" w:rsidRPr="000435B7">
        <w:rPr>
          <w:rFonts w:ascii="Arial" w:hAnsi="Arial" w:cs="Arial"/>
          <w:b/>
          <w:sz w:val="22"/>
          <w:szCs w:val="22"/>
        </w:rPr>
        <w:t xml:space="preserve"> milyar dolar)</w:t>
      </w:r>
      <w:r w:rsidR="00801364" w:rsidRPr="000435B7">
        <w:rPr>
          <w:rFonts w:ascii="Arial" w:hAnsi="Arial" w:cs="Arial"/>
          <w:b/>
          <w:sz w:val="22"/>
          <w:szCs w:val="22"/>
        </w:rPr>
        <w:t xml:space="preserve"> </w:t>
      </w:r>
      <w:r w:rsidR="00801364" w:rsidRPr="000435B7">
        <w:rPr>
          <w:rFonts w:ascii="Arial" w:hAnsi="Arial" w:cs="Arial"/>
          <w:sz w:val="22"/>
          <w:szCs w:val="22"/>
        </w:rPr>
        <w:t>düzeyinde gerçekleşmiştir.</w:t>
      </w:r>
      <w:r w:rsidR="00DE7FAE" w:rsidRPr="000435B7">
        <w:rPr>
          <w:rFonts w:ascii="Arial" w:hAnsi="Arial" w:cs="Arial"/>
          <w:sz w:val="22"/>
          <w:szCs w:val="22"/>
        </w:rPr>
        <w:t xml:space="preserve"> </w:t>
      </w:r>
      <w:r w:rsidR="00801364" w:rsidRPr="000435B7">
        <w:rPr>
          <w:rFonts w:ascii="Arial" w:hAnsi="Arial" w:cs="Arial"/>
          <w:sz w:val="22"/>
          <w:szCs w:val="22"/>
        </w:rPr>
        <w:t xml:space="preserve">Krediler </w:t>
      </w:r>
      <w:r w:rsidR="00082ACD">
        <w:rPr>
          <w:rFonts w:ascii="Arial" w:hAnsi="Arial" w:cs="Arial"/>
          <w:sz w:val="22"/>
          <w:szCs w:val="22"/>
        </w:rPr>
        <w:t>sabit</w:t>
      </w:r>
      <w:r w:rsidR="00001628" w:rsidRPr="000435B7">
        <w:rPr>
          <w:rFonts w:ascii="Arial" w:hAnsi="Arial" w:cs="Arial"/>
          <w:sz w:val="22"/>
          <w:szCs w:val="22"/>
        </w:rPr>
        <w:t xml:space="preserve"> </w:t>
      </w:r>
      <w:r w:rsidR="00082ACD">
        <w:rPr>
          <w:rFonts w:ascii="Arial" w:hAnsi="Arial" w:cs="Arial"/>
          <w:sz w:val="22"/>
          <w:szCs w:val="22"/>
        </w:rPr>
        <w:t>fiyatlarla</w:t>
      </w:r>
      <w:r w:rsidR="00DE7FAE" w:rsidRPr="000435B7">
        <w:rPr>
          <w:rFonts w:ascii="Arial" w:hAnsi="Arial" w:cs="Arial"/>
          <w:sz w:val="22"/>
          <w:szCs w:val="22"/>
        </w:rPr>
        <w:t xml:space="preserve"> yıllık</w:t>
      </w:r>
      <w:r w:rsidR="00082ACD">
        <w:rPr>
          <w:rFonts w:ascii="Arial" w:hAnsi="Arial" w:cs="Arial"/>
          <w:sz w:val="22"/>
          <w:szCs w:val="22"/>
        </w:rPr>
        <w:t xml:space="preserve"> bazda</w:t>
      </w:r>
      <w:r w:rsidR="00DE7FAE" w:rsidRPr="000435B7">
        <w:rPr>
          <w:rFonts w:ascii="Arial" w:hAnsi="Arial" w:cs="Arial"/>
          <w:sz w:val="22"/>
          <w:szCs w:val="22"/>
        </w:rPr>
        <w:t xml:space="preserve"> </w:t>
      </w:r>
      <w:r w:rsidR="00DE7FAE" w:rsidRPr="000435B7">
        <w:rPr>
          <w:rFonts w:ascii="Arial" w:hAnsi="Arial" w:cs="Arial"/>
          <w:b/>
          <w:sz w:val="22"/>
          <w:szCs w:val="22"/>
        </w:rPr>
        <w:t>yüzde</w:t>
      </w:r>
      <w:r w:rsidR="00DE7FAE" w:rsidRPr="000435B7">
        <w:rPr>
          <w:rFonts w:ascii="Arial" w:hAnsi="Arial" w:cs="Arial"/>
          <w:sz w:val="22"/>
          <w:szCs w:val="22"/>
        </w:rPr>
        <w:t xml:space="preserve"> </w:t>
      </w:r>
      <w:r w:rsidR="00C671CC">
        <w:rPr>
          <w:rFonts w:ascii="Arial" w:hAnsi="Arial" w:cs="Arial"/>
          <w:b/>
          <w:sz w:val="22"/>
          <w:szCs w:val="22"/>
        </w:rPr>
        <w:t>1 artmıştır.</w:t>
      </w:r>
      <w:r w:rsidR="001D4FE9" w:rsidRPr="000435B7">
        <w:rPr>
          <w:rFonts w:ascii="Arial" w:hAnsi="Arial" w:cs="Arial"/>
          <w:sz w:val="22"/>
          <w:szCs w:val="22"/>
        </w:rPr>
        <w:t xml:space="preserve"> Kurumsal kredilerde </w:t>
      </w:r>
      <w:r w:rsidR="00CC04EF" w:rsidRPr="000435B7">
        <w:rPr>
          <w:rFonts w:ascii="Arial" w:hAnsi="Arial" w:cs="Arial"/>
          <w:sz w:val="22"/>
          <w:szCs w:val="22"/>
        </w:rPr>
        <w:t>yavaşlama</w:t>
      </w:r>
      <w:r w:rsidR="001D4FE9" w:rsidRPr="000435B7">
        <w:rPr>
          <w:rFonts w:ascii="Arial" w:hAnsi="Arial" w:cs="Arial"/>
          <w:sz w:val="22"/>
          <w:szCs w:val="22"/>
        </w:rPr>
        <w:t xml:space="preserve"> 2016 yılının üçüncü çeyreğinde belirginleşerek devam ederken</w:t>
      </w:r>
      <w:r w:rsidR="005A7706" w:rsidRPr="000435B7">
        <w:rPr>
          <w:rFonts w:ascii="Arial" w:hAnsi="Arial" w:cs="Arial"/>
          <w:sz w:val="22"/>
          <w:szCs w:val="22"/>
        </w:rPr>
        <w:t>,</w:t>
      </w:r>
      <w:r w:rsidR="001D4FE9" w:rsidRPr="000435B7">
        <w:rPr>
          <w:rFonts w:ascii="Arial" w:hAnsi="Arial" w:cs="Arial"/>
          <w:sz w:val="22"/>
          <w:szCs w:val="22"/>
        </w:rPr>
        <w:t xml:space="preserve"> bireysel kredilerde </w:t>
      </w:r>
      <w:r w:rsidR="00082ACD">
        <w:rPr>
          <w:rFonts w:ascii="Arial" w:hAnsi="Arial" w:cs="Arial"/>
          <w:sz w:val="22"/>
          <w:szCs w:val="22"/>
        </w:rPr>
        <w:t>yavaş da olsa toparlanma olmuştur. Bireysel kredilerde hızlanma</w:t>
      </w:r>
      <w:r w:rsidR="00F03E1F" w:rsidRPr="000435B7">
        <w:rPr>
          <w:rFonts w:ascii="Arial" w:hAnsi="Arial" w:cs="Arial"/>
          <w:sz w:val="22"/>
          <w:szCs w:val="22"/>
        </w:rPr>
        <w:t xml:space="preserve"> </w:t>
      </w:r>
      <w:r w:rsidR="00082ACD">
        <w:rPr>
          <w:rFonts w:ascii="Arial" w:hAnsi="Arial" w:cs="Arial"/>
          <w:sz w:val="22"/>
          <w:szCs w:val="22"/>
        </w:rPr>
        <w:t xml:space="preserve">nedeni </w:t>
      </w:r>
      <w:r w:rsidR="00E13102" w:rsidRPr="000435B7">
        <w:rPr>
          <w:rFonts w:ascii="Arial" w:hAnsi="Arial" w:cs="Arial"/>
          <w:sz w:val="22"/>
          <w:szCs w:val="22"/>
        </w:rPr>
        <w:t xml:space="preserve">konut kredilerindeki canlanmadan </w:t>
      </w:r>
      <w:r w:rsidR="00CC04EF" w:rsidRPr="000435B7">
        <w:rPr>
          <w:rFonts w:ascii="Arial" w:hAnsi="Arial" w:cs="Arial"/>
          <w:sz w:val="22"/>
          <w:szCs w:val="22"/>
        </w:rPr>
        <w:t xml:space="preserve">kaynaklanmıştır. </w:t>
      </w:r>
      <w:r w:rsidR="000E2381" w:rsidRPr="001D4FE9">
        <w:rPr>
          <w:rFonts w:ascii="Arial" w:hAnsi="Arial" w:cs="Arial"/>
          <w:sz w:val="22"/>
          <w:szCs w:val="22"/>
        </w:rPr>
        <w:t xml:space="preserve">Kredi mevduat oranı </w:t>
      </w:r>
      <w:r w:rsidR="001D4FE9" w:rsidRPr="001D4FE9">
        <w:rPr>
          <w:rFonts w:ascii="Arial" w:hAnsi="Arial" w:cs="Arial"/>
          <w:sz w:val="22"/>
          <w:szCs w:val="22"/>
        </w:rPr>
        <w:t>Eylü</w:t>
      </w:r>
      <w:r w:rsidR="000435B7">
        <w:rPr>
          <w:rFonts w:ascii="Arial" w:hAnsi="Arial" w:cs="Arial"/>
          <w:sz w:val="22"/>
          <w:szCs w:val="22"/>
        </w:rPr>
        <w:t>l</w:t>
      </w:r>
      <w:r w:rsidR="009E2E86" w:rsidRPr="001D4FE9">
        <w:rPr>
          <w:rFonts w:ascii="Arial" w:hAnsi="Arial" w:cs="Arial"/>
          <w:sz w:val="22"/>
          <w:szCs w:val="22"/>
        </w:rPr>
        <w:t xml:space="preserve"> 2015’e</w:t>
      </w:r>
      <w:r w:rsidR="000E2381" w:rsidRPr="001D4FE9">
        <w:rPr>
          <w:rFonts w:ascii="Arial" w:hAnsi="Arial" w:cs="Arial"/>
          <w:sz w:val="22"/>
          <w:szCs w:val="22"/>
        </w:rPr>
        <w:t xml:space="preserve"> göre </w:t>
      </w:r>
      <w:r w:rsidR="001D4FE9" w:rsidRPr="001D4FE9">
        <w:rPr>
          <w:rFonts w:ascii="Arial" w:hAnsi="Arial" w:cs="Arial"/>
          <w:sz w:val="22"/>
          <w:szCs w:val="22"/>
        </w:rPr>
        <w:t>3</w:t>
      </w:r>
      <w:r w:rsidR="00001628" w:rsidRPr="001D4FE9">
        <w:rPr>
          <w:rFonts w:ascii="Arial" w:hAnsi="Arial" w:cs="Arial"/>
          <w:sz w:val="22"/>
          <w:szCs w:val="22"/>
        </w:rPr>
        <w:t xml:space="preserve"> puan </w:t>
      </w:r>
      <w:r w:rsidR="009E2E86" w:rsidRPr="001D4FE9">
        <w:rPr>
          <w:rFonts w:ascii="Arial" w:hAnsi="Arial" w:cs="Arial"/>
          <w:sz w:val="22"/>
          <w:szCs w:val="22"/>
        </w:rPr>
        <w:t>artarak</w:t>
      </w:r>
      <w:r w:rsidR="000E2381" w:rsidRPr="001D4FE9">
        <w:rPr>
          <w:rFonts w:ascii="Arial" w:hAnsi="Arial" w:cs="Arial"/>
          <w:sz w:val="22"/>
          <w:szCs w:val="22"/>
        </w:rPr>
        <w:t xml:space="preserve"> </w:t>
      </w:r>
      <w:r w:rsidR="000E2381" w:rsidRPr="00D47D5F">
        <w:rPr>
          <w:rFonts w:ascii="Arial" w:hAnsi="Arial" w:cs="Arial"/>
          <w:b/>
          <w:sz w:val="22"/>
          <w:szCs w:val="22"/>
        </w:rPr>
        <w:t>yüzde</w:t>
      </w:r>
      <w:r w:rsidR="000E2381" w:rsidRPr="001D4FE9">
        <w:rPr>
          <w:rFonts w:ascii="Arial" w:hAnsi="Arial" w:cs="Arial"/>
          <w:sz w:val="22"/>
          <w:szCs w:val="22"/>
        </w:rPr>
        <w:t xml:space="preserve"> </w:t>
      </w:r>
      <w:r w:rsidR="000E2381" w:rsidRPr="001D4FE9">
        <w:rPr>
          <w:rFonts w:ascii="Arial" w:hAnsi="Arial" w:cs="Arial"/>
          <w:b/>
          <w:sz w:val="22"/>
          <w:szCs w:val="22"/>
        </w:rPr>
        <w:t>11</w:t>
      </w:r>
      <w:r w:rsidR="009E2E86" w:rsidRPr="001D4FE9">
        <w:rPr>
          <w:rFonts w:ascii="Arial" w:hAnsi="Arial" w:cs="Arial"/>
          <w:b/>
          <w:sz w:val="22"/>
          <w:szCs w:val="22"/>
        </w:rPr>
        <w:t>7</w:t>
      </w:r>
      <w:r w:rsidR="00001628" w:rsidRPr="001D4FE9">
        <w:rPr>
          <w:rFonts w:ascii="Arial" w:hAnsi="Arial" w:cs="Arial"/>
          <w:sz w:val="22"/>
          <w:szCs w:val="22"/>
        </w:rPr>
        <w:t xml:space="preserve"> </w:t>
      </w:r>
      <w:r w:rsidR="009E2E86" w:rsidRPr="001D4FE9">
        <w:rPr>
          <w:rFonts w:ascii="Arial" w:hAnsi="Arial" w:cs="Arial"/>
          <w:sz w:val="22"/>
          <w:szCs w:val="22"/>
        </w:rPr>
        <w:t>olmuştur</w:t>
      </w:r>
      <w:r w:rsidR="000E2381" w:rsidRPr="001D4FE9">
        <w:rPr>
          <w:rFonts w:ascii="Arial" w:hAnsi="Arial" w:cs="Arial"/>
          <w:sz w:val="22"/>
          <w:szCs w:val="22"/>
        </w:rPr>
        <w:t xml:space="preserve">. </w:t>
      </w:r>
      <w:r w:rsidR="009E2E86" w:rsidRPr="001D4FE9">
        <w:rPr>
          <w:rFonts w:ascii="Arial" w:hAnsi="Arial" w:cs="Arial"/>
          <w:sz w:val="22"/>
          <w:szCs w:val="22"/>
        </w:rPr>
        <w:t>Haziran</w:t>
      </w:r>
      <w:r w:rsidR="00001628" w:rsidRPr="001D4FE9">
        <w:rPr>
          <w:rFonts w:ascii="Arial" w:hAnsi="Arial" w:cs="Arial"/>
          <w:sz w:val="22"/>
          <w:szCs w:val="22"/>
        </w:rPr>
        <w:t xml:space="preserve"> 2016</w:t>
      </w:r>
      <w:r w:rsidR="000E2381" w:rsidRPr="001D4FE9">
        <w:rPr>
          <w:rFonts w:ascii="Arial" w:hAnsi="Arial" w:cs="Arial"/>
          <w:sz w:val="22"/>
          <w:szCs w:val="22"/>
        </w:rPr>
        <w:t xml:space="preserve"> itibariyle, bu oran kamu bankalarında </w:t>
      </w:r>
      <w:r w:rsidR="000E2381"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0E2381" w:rsidRPr="001D4FE9">
        <w:rPr>
          <w:rFonts w:ascii="Arial" w:hAnsi="Arial" w:cs="Arial"/>
          <w:b/>
          <w:sz w:val="22"/>
          <w:szCs w:val="22"/>
        </w:rPr>
        <w:t>10</w:t>
      </w:r>
      <w:r w:rsidR="009E2E86" w:rsidRPr="001D4FE9">
        <w:rPr>
          <w:rFonts w:ascii="Arial" w:hAnsi="Arial" w:cs="Arial"/>
          <w:b/>
          <w:sz w:val="22"/>
          <w:szCs w:val="22"/>
        </w:rPr>
        <w:t>7</w:t>
      </w:r>
      <w:r w:rsidR="000E2381" w:rsidRPr="001D4FE9">
        <w:rPr>
          <w:rFonts w:ascii="Arial" w:hAnsi="Arial" w:cs="Arial"/>
          <w:b/>
          <w:sz w:val="22"/>
          <w:szCs w:val="22"/>
        </w:rPr>
        <w:t xml:space="preserve">, </w:t>
      </w:r>
      <w:r w:rsidR="000E2381" w:rsidRPr="001D4FE9">
        <w:rPr>
          <w:rFonts w:ascii="Arial" w:hAnsi="Arial" w:cs="Arial"/>
          <w:sz w:val="22"/>
          <w:szCs w:val="22"/>
        </w:rPr>
        <w:t>özel bankalarda</w:t>
      </w:r>
      <w:r w:rsidR="001D4FE9" w:rsidRPr="001D4FE9">
        <w:rPr>
          <w:rFonts w:ascii="Arial" w:hAnsi="Arial" w:cs="Arial"/>
          <w:sz w:val="22"/>
          <w:szCs w:val="22"/>
        </w:rPr>
        <w:t xml:space="preserve"> </w:t>
      </w:r>
      <w:r w:rsidR="001D4FE9" w:rsidRPr="00D47D5F">
        <w:rPr>
          <w:rFonts w:ascii="Arial" w:hAnsi="Arial" w:cs="Arial"/>
          <w:b/>
          <w:sz w:val="22"/>
          <w:szCs w:val="22"/>
        </w:rPr>
        <w:t>yüzde</w:t>
      </w:r>
      <w:r w:rsidR="001D4FE9" w:rsidRPr="001D4FE9">
        <w:rPr>
          <w:rFonts w:ascii="Arial" w:hAnsi="Arial" w:cs="Arial"/>
          <w:sz w:val="22"/>
          <w:szCs w:val="22"/>
        </w:rPr>
        <w:t xml:space="preserve"> </w:t>
      </w:r>
      <w:r w:rsidR="001D4FE9" w:rsidRPr="001D4FE9">
        <w:rPr>
          <w:rFonts w:ascii="Arial" w:hAnsi="Arial" w:cs="Arial"/>
          <w:b/>
          <w:sz w:val="22"/>
          <w:szCs w:val="22"/>
        </w:rPr>
        <w:t>111</w:t>
      </w:r>
      <w:r w:rsidR="000E2381" w:rsidRPr="001D4FE9">
        <w:rPr>
          <w:rFonts w:ascii="Arial" w:hAnsi="Arial" w:cs="Arial"/>
          <w:sz w:val="22"/>
          <w:szCs w:val="22"/>
        </w:rPr>
        <w:t xml:space="preserve"> ve yabancı sermayeli bankalarda </w:t>
      </w:r>
      <w:r w:rsidR="000E2381" w:rsidRPr="00D47D5F">
        <w:rPr>
          <w:rFonts w:ascii="Arial" w:hAnsi="Arial" w:cs="Arial"/>
          <w:b/>
          <w:sz w:val="22"/>
          <w:szCs w:val="22"/>
        </w:rPr>
        <w:t>yüzde</w:t>
      </w:r>
      <w:r w:rsidR="000E2381" w:rsidRPr="001D4FE9">
        <w:rPr>
          <w:rFonts w:ascii="Arial" w:hAnsi="Arial" w:cs="Arial"/>
          <w:sz w:val="22"/>
          <w:szCs w:val="22"/>
        </w:rPr>
        <w:t xml:space="preserve"> </w:t>
      </w:r>
      <w:r w:rsidR="000E2381" w:rsidRPr="001D4FE9">
        <w:rPr>
          <w:rFonts w:ascii="Arial" w:hAnsi="Arial" w:cs="Arial"/>
          <w:b/>
          <w:sz w:val="22"/>
          <w:szCs w:val="22"/>
        </w:rPr>
        <w:t>11</w:t>
      </w:r>
      <w:r w:rsidR="001D4FE9" w:rsidRPr="001D4FE9">
        <w:rPr>
          <w:rFonts w:ascii="Arial" w:hAnsi="Arial" w:cs="Arial"/>
          <w:b/>
          <w:sz w:val="22"/>
          <w:szCs w:val="22"/>
        </w:rPr>
        <w:t>4</w:t>
      </w:r>
      <w:r w:rsidR="000E2381" w:rsidRPr="001D4FE9">
        <w:rPr>
          <w:rFonts w:ascii="Arial" w:hAnsi="Arial" w:cs="Arial"/>
          <w:sz w:val="22"/>
          <w:szCs w:val="22"/>
        </w:rPr>
        <w:t xml:space="preserve"> olmuştur</w:t>
      </w:r>
      <w:r w:rsidR="000E2381" w:rsidRPr="001D4FE9">
        <w:rPr>
          <w:rStyle w:val="FootnoteReference"/>
          <w:rFonts w:ascii="Arial" w:hAnsi="Arial" w:cs="Arial"/>
          <w:sz w:val="18"/>
          <w:szCs w:val="18"/>
        </w:rPr>
        <w:footnoteReference w:id="3"/>
      </w:r>
      <w:r w:rsidR="000E2381" w:rsidRPr="001D4FE9">
        <w:rPr>
          <w:rFonts w:ascii="Arial" w:hAnsi="Arial" w:cs="Arial"/>
          <w:sz w:val="18"/>
          <w:szCs w:val="18"/>
        </w:rPr>
        <w:t xml:space="preserve">. </w:t>
      </w:r>
    </w:p>
    <w:p w:rsidR="00082ACD" w:rsidRP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color w:val="FF0000"/>
          <w:sz w:val="10"/>
          <w:szCs w:val="10"/>
        </w:rPr>
      </w:pPr>
    </w:p>
    <w:p w:rsidR="00C5615B" w:rsidRPr="00F25CC7" w:rsidRDefault="00C5615B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color w:val="FF0000"/>
          <w:sz w:val="10"/>
          <w:szCs w:val="10"/>
        </w:rPr>
      </w:pPr>
    </w:p>
    <w:p w:rsidR="00082ACD" w:rsidRDefault="000E238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1D4FE9">
        <w:rPr>
          <w:rFonts w:ascii="Arial" w:hAnsi="Arial" w:cs="Arial"/>
          <w:sz w:val="22"/>
          <w:szCs w:val="22"/>
        </w:rPr>
        <w:t xml:space="preserve">Takipteki krediler, yıllık </w:t>
      </w:r>
      <w:r w:rsidR="00801364" w:rsidRPr="001D4FE9">
        <w:rPr>
          <w:rFonts w:ascii="Arial" w:hAnsi="Arial" w:cs="Arial"/>
          <w:sz w:val="22"/>
          <w:szCs w:val="22"/>
        </w:rPr>
        <w:t>bazda</w:t>
      </w:r>
      <w:r w:rsidRPr="001D4FE9">
        <w:rPr>
          <w:rFonts w:ascii="Arial" w:hAnsi="Arial" w:cs="Arial"/>
          <w:sz w:val="22"/>
          <w:szCs w:val="22"/>
        </w:rPr>
        <w:t xml:space="preserve"> </w:t>
      </w:r>
      <w:r w:rsidRPr="00D47D5F">
        <w:rPr>
          <w:rFonts w:ascii="Arial" w:hAnsi="Arial" w:cs="Arial"/>
          <w:b/>
          <w:sz w:val="22"/>
          <w:szCs w:val="22"/>
        </w:rPr>
        <w:t>yüzde</w:t>
      </w:r>
      <w:r w:rsidR="00A606C0" w:rsidRPr="001D4FE9">
        <w:rPr>
          <w:rFonts w:ascii="Arial" w:hAnsi="Arial" w:cs="Arial"/>
          <w:sz w:val="22"/>
          <w:szCs w:val="22"/>
        </w:rPr>
        <w:t xml:space="preserve"> </w:t>
      </w:r>
      <w:r w:rsidR="00A606C0" w:rsidRPr="001D4FE9">
        <w:rPr>
          <w:rFonts w:ascii="Arial" w:hAnsi="Arial" w:cs="Arial"/>
          <w:b/>
          <w:sz w:val="22"/>
          <w:szCs w:val="22"/>
        </w:rPr>
        <w:t>2</w:t>
      </w:r>
      <w:r w:rsidR="001D4FE9" w:rsidRPr="001D4FE9">
        <w:rPr>
          <w:rFonts w:ascii="Arial" w:hAnsi="Arial" w:cs="Arial"/>
          <w:b/>
          <w:sz w:val="22"/>
          <w:szCs w:val="22"/>
        </w:rPr>
        <w:t>9</w:t>
      </w:r>
      <w:r w:rsidRPr="001D4FE9">
        <w:rPr>
          <w:rFonts w:ascii="Arial" w:hAnsi="Arial" w:cs="Arial"/>
          <w:sz w:val="22"/>
          <w:szCs w:val="22"/>
        </w:rPr>
        <w:t xml:space="preserve"> oranında artmıştır. </w:t>
      </w:r>
      <w:r w:rsidR="000B4337" w:rsidRPr="001D4FE9">
        <w:rPr>
          <w:rFonts w:ascii="Arial" w:hAnsi="Arial" w:cs="Arial"/>
          <w:sz w:val="22"/>
          <w:szCs w:val="22"/>
        </w:rPr>
        <w:t>Böylece</w:t>
      </w:r>
      <w:r w:rsidRPr="001D4FE9">
        <w:rPr>
          <w:rFonts w:ascii="Arial" w:hAnsi="Arial" w:cs="Arial"/>
          <w:sz w:val="22"/>
          <w:szCs w:val="22"/>
        </w:rPr>
        <w:t xml:space="preserve">, takipteki kredilerin toplam kredilere oranı </w:t>
      </w:r>
      <w:r w:rsidR="000B4337" w:rsidRPr="001D4FE9">
        <w:rPr>
          <w:rFonts w:ascii="Arial" w:hAnsi="Arial" w:cs="Arial"/>
          <w:sz w:val="22"/>
          <w:szCs w:val="22"/>
        </w:rPr>
        <w:t>bir önceki yıla göre 0,</w:t>
      </w:r>
      <w:r w:rsidR="001D4FE9" w:rsidRPr="001D4FE9">
        <w:rPr>
          <w:rFonts w:ascii="Arial" w:hAnsi="Arial" w:cs="Arial"/>
          <w:sz w:val="22"/>
          <w:szCs w:val="22"/>
        </w:rPr>
        <w:t>5</w:t>
      </w:r>
      <w:r w:rsidR="000B4337" w:rsidRPr="001D4FE9">
        <w:rPr>
          <w:rFonts w:ascii="Arial" w:hAnsi="Arial" w:cs="Arial"/>
          <w:sz w:val="22"/>
          <w:szCs w:val="22"/>
        </w:rPr>
        <w:t xml:space="preserve"> puan art</w:t>
      </w:r>
      <w:r w:rsidR="00082ACD">
        <w:rPr>
          <w:rFonts w:ascii="Arial" w:hAnsi="Arial" w:cs="Arial"/>
          <w:sz w:val="22"/>
          <w:szCs w:val="22"/>
        </w:rPr>
        <w:t xml:space="preserve">arak </w:t>
      </w:r>
      <w:r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0B4337" w:rsidRPr="001D4FE9">
        <w:rPr>
          <w:rFonts w:ascii="Arial" w:hAnsi="Arial" w:cs="Arial"/>
          <w:b/>
          <w:sz w:val="22"/>
          <w:szCs w:val="22"/>
        </w:rPr>
        <w:t>3,</w:t>
      </w:r>
      <w:r w:rsidR="001D4FE9" w:rsidRPr="001D4FE9">
        <w:rPr>
          <w:rFonts w:ascii="Arial" w:hAnsi="Arial" w:cs="Arial"/>
          <w:b/>
          <w:sz w:val="22"/>
          <w:szCs w:val="22"/>
        </w:rPr>
        <w:t>3</w:t>
      </w:r>
      <w:r w:rsidRPr="001D4FE9">
        <w:rPr>
          <w:rFonts w:ascii="Arial" w:hAnsi="Arial" w:cs="Arial"/>
          <w:sz w:val="22"/>
          <w:szCs w:val="22"/>
        </w:rPr>
        <w:t xml:space="preserve"> seviyesinde gerçekleşmiştir. </w:t>
      </w:r>
      <w:r w:rsidR="000435B7">
        <w:rPr>
          <w:rFonts w:ascii="Arial" w:hAnsi="Arial" w:cs="Arial"/>
          <w:sz w:val="22"/>
          <w:szCs w:val="22"/>
        </w:rPr>
        <w:t>Eylül</w:t>
      </w:r>
      <w:r w:rsidR="000B4337" w:rsidRPr="001D4FE9">
        <w:rPr>
          <w:rFonts w:ascii="Arial" w:hAnsi="Arial" w:cs="Arial"/>
          <w:sz w:val="22"/>
          <w:szCs w:val="22"/>
        </w:rPr>
        <w:t xml:space="preserve"> 2016</w:t>
      </w:r>
      <w:r w:rsidR="00A606C0" w:rsidRPr="001D4FE9">
        <w:rPr>
          <w:rFonts w:ascii="Arial" w:hAnsi="Arial" w:cs="Arial"/>
          <w:sz w:val="22"/>
          <w:szCs w:val="22"/>
        </w:rPr>
        <w:t xml:space="preserve"> itibariyle</w:t>
      </w:r>
      <w:r w:rsidRPr="001D4FE9">
        <w:rPr>
          <w:rFonts w:ascii="Arial" w:hAnsi="Arial" w:cs="Arial"/>
          <w:sz w:val="22"/>
          <w:szCs w:val="22"/>
        </w:rPr>
        <w:t xml:space="preserve">, özel karşılıkların takipteki kredileri karşılama oranı </w:t>
      </w:r>
      <w:r w:rsidRPr="00D47D5F">
        <w:rPr>
          <w:rFonts w:ascii="Arial" w:hAnsi="Arial" w:cs="Arial"/>
          <w:b/>
          <w:sz w:val="22"/>
          <w:szCs w:val="22"/>
        </w:rPr>
        <w:t>yüzde</w:t>
      </w:r>
      <w:r w:rsidRPr="001D4FE9">
        <w:rPr>
          <w:rFonts w:ascii="Arial" w:hAnsi="Arial" w:cs="Arial"/>
          <w:sz w:val="22"/>
          <w:szCs w:val="22"/>
        </w:rPr>
        <w:t xml:space="preserve"> </w:t>
      </w:r>
      <w:r w:rsidR="000B4337" w:rsidRPr="001D4FE9">
        <w:rPr>
          <w:rFonts w:ascii="Arial" w:hAnsi="Arial" w:cs="Arial"/>
          <w:b/>
          <w:sz w:val="22"/>
          <w:szCs w:val="22"/>
        </w:rPr>
        <w:t>7</w:t>
      </w:r>
      <w:r w:rsidR="000435B7">
        <w:rPr>
          <w:rFonts w:ascii="Arial" w:hAnsi="Arial" w:cs="Arial"/>
          <w:b/>
          <w:sz w:val="22"/>
          <w:szCs w:val="22"/>
        </w:rPr>
        <w:t>5</w:t>
      </w:r>
      <w:r w:rsidRPr="001D4FE9">
        <w:rPr>
          <w:rFonts w:ascii="Arial" w:hAnsi="Arial" w:cs="Arial"/>
          <w:sz w:val="22"/>
          <w:szCs w:val="22"/>
        </w:rPr>
        <w:t xml:space="preserve"> olmuştur. </w:t>
      </w: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Toplam mevduat</w:t>
      </w:r>
      <w:r w:rsidR="00C507CB" w:rsidRPr="007562F5">
        <w:rPr>
          <w:rFonts w:ascii="Arial" w:hAnsi="Arial" w:cs="Arial"/>
          <w:sz w:val="22"/>
          <w:szCs w:val="22"/>
        </w:rPr>
        <w:t xml:space="preserve"> </w:t>
      </w:r>
      <w:r w:rsidR="001D4FE9" w:rsidRPr="007562F5">
        <w:rPr>
          <w:rFonts w:ascii="Arial" w:hAnsi="Arial" w:cs="Arial"/>
          <w:sz w:val="22"/>
          <w:szCs w:val="22"/>
        </w:rPr>
        <w:t>Eylül</w:t>
      </w:r>
      <w:r w:rsidR="000B4337" w:rsidRPr="007562F5">
        <w:rPr>
          <w:rFonts w:ascii="Arial" w:hAnsi="Arial" w:cs="Arial"/>
          <w:sz w:val="22"/>
          <w:szCs w:val="22"/>
        </w:rPr>
        <w:t xml:space="preserve"> 2016</w:t>
      </w:r>
      <w:r w:rsidR="00C507CB" w:rsidRPr="007562F5">
        <w:rPr>
          <w:rFonts w:ascii="Arial" w:hAnsi="Arial" w:cs="Arial"/>
          <w:sz w:val="22"/>
          <w:szCs w:val="22"/>
        </w:rPr>
        <w:t xml:space="preserve"> itibariyle bir önceki yılın aynı ay</w:t>
      </w:r>
      <w:r w:rsidR="003F6571" w:rsidRPr="007562F5">
        <w:rPr>
          <w:rFonts w:ascii="Arial" w:hAnsi="Arial" w:cs="Arial"/>
          <w:sz w:val="22"/>
          <w:szCs w:val="22"/>
        </w:rPr>
        <w:t xml:space="preserve">ına göre </w:t>
      </w:r>
      <w:r w:rsidR="003F6571"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1D4FE9" w:rsidRPr="00D47D5F">
        <w:rPr>
          <w:rFonts w:ascii="Arial" w:hAnsi="Arial" w:cs="Arial"/>
          <w:b/>
          <w:sz w:val="22"/>
          <w:szCs w:val="22"/>
        </w:rPr>
        <w:t>6</w:t>
      </w:r>
      <w:r w:rsidR="003F6571" w:rsidRPr="007562F5">
        <w:rPr>
          <w:rFonts w:ascii="Arial" w:hAnsi="Arial" w:cs="Arial"/>
          <w:sz w:val="22"/>
          <w:szCs w:val="22"/>
        </w:rPr>
        <w:t xml:space="preserve"> büyüyerek </w:t>
      </w:r>
      <w:r w:rsidR="002B36CC" w:rsidRPr="00D47D5F">
        <w:rPr>
          <w:rFonts w:ascii="Arial" w:hAnsi="Arial" w:cs="Arial"/>
          <w:b/>
          <w:sz w:val="22"/>
          <w:szCs w:val="22"/>
        </w:rPr>
        <w:t>1.</w:t>
      </w:r>
      <w:r w:rsidR="004E2F0D" w:rsidRPr="00D47D5F">
        <w:rPr>
          <w:rFonts w:ascii="Arial" w:hAnsi="Arial" w:cs="Arial"/>
          <w:b/>
          <w:sz w:val="22"/>
          <w:szCs w:val="22"/>
        </w:rPr>
        <w:t>3</w:t>
      </w:r>
      <w:r w:rsidR="001D4FE9" w:rsidRPr="00D47D5F">
        <w:rPr>
          <w:rFonts w:ascii="Arial" w:hAnsi="Arial" w:cs="Arial"/>
          <w:b/>
          <w:sz w:val="22"/>
          <w:szCs w:val="22"/>
        </w:rPr>
        <w:t xml:space="preserve">54 </w:t>
      </w:r>
      <w:r w:rsidR="002B36CC" w:rsidRPr="00D47D5F">
        <w:rPr>
          <w:rFonts w:ascii="Arial" w:hAnsi="Arial" w:cs="Arial"/>
          <w:b/>
          <w:sz w:val="22"/>
          <w:szCs w:val="22"/>
        </w:rPr>
        <w:t>milyar</w:t>
      </w:r>
      <w:r w:rsidR="00C507CB" w:rsidRPr="00D47D5F">
        <w:rPr>
          <w:rFonts w:ascii="Arial" w:hAnsi="Arial" w:cs="Arial"/>
          <w:b/>
          <w:sz w:val="22"/>
          <w:szCs w:val="22"/>
        </w:rPr>
        <w:t xml:space="preserve"> TL’ye</w:t>
      </w:r>
      <w:r w:rsidR="002B36CC" w:rsidRPr="007562F5">
        <w:rPr>
          <w:rFonts w:ascii="Arial" w:hAnsi="Arial" w:cs="Arial"/>
          <w:sz w:val="22"/>
          <w:szCs w:val="22"/>
        </w:rPr>
        <w:t xml:space="preserve"> </w:t>
      </w:r>
      <w:r w:rsidR="002B36CC" w:rsidRPr="007562F5">
        <w:rPr>
          <w:rFonts w:ascii="Arial" w:hAnsi="Arial" w:cs="Arial"/>
          <w:b/>
          <w:sz w:val="22"/>
          <w:szCs w:val="22"/>
        </w:rPr>
        <w:t>(45</w:t>
      </w:r>
      <w:r w:rsidR="001D4FE9" w:rsidRPr="007562F5">
        <w:rPr>
          <w:rFonts w:ascii="Arial" w:hAnsi="Arial" w:cs="Arial"/>
          <w:b/>
          <w:sz w:val="22"/>
          <w:szCs w:val="22"/>
        </w:rPr>
        <w:t>1</w:t>
      </w:r>
      <w:r w:rsidR="002B36CC" w:rsidRPr="007562F5">
        <w:rPr>
          <w:rFonts w:ascii="Arial" w:hAnsi="Arial" w:cs="Arial"/>
          <w:b/>
          <w:sz w:val="22"/>
          <w:szCs w:val="22"/>
        </w:rPr>
        <w:t xml:space="preserve"> milyar dolar)</w:t>
      </w:r>
      <w:r w:rsidR="00C507CB" w:rsidRPr="007562F5">
        <w:rPr>
          <w:rFonts w:ascii="Arial" w:hAnsi="Arial" w:cs="Arial"/>
          <w:sz w:val="22"/>
          <w:szCs w:val="22"/>
        </w:rPr>
        <w:t xml:space="preserve"> ulaşmıştır. </w:t>
      </w:r>
      <w:r>
        <w:rPr>
          <w:rFonts w:ascii="Arial" w:hAnsi="Arial" w:cs="Arial"/>
          <w:sz w:val="22"/>
          <w:szCs w:val="22"/>
        </w:rPr>
        <w:t>Sabit fiyatlarla</w:t>
      </w:r>
      <w:r w:rsidR="000B4337" w:rsidRPr="007562F5">
        <w:rPr>
          <w:rFonts w:ascii="Arial" w:hAnsi="Arial" w:cs="Arial"/>
          <w:sz w:val="22"/>
          <w:szCs w:val="22"/>
        </w:rPr>
        <w:t xml:space="preserve"> </w:t>
      </w:r>
      <w:r w:rsidR="00DE7FAE" w:rsidRPr="007562F5">
        <w:rPr>
          <w:rFonts w:ascii="Arial" w:hAnsi="Arial" w:cs="Arial"/>
          <w:sz w:val="22"/>
          <w:szCs w:val="22"/>
        </w:rPr>
        <w:t xml:space="preserve">mevduatlardaki yıllık </w:t>
      </w:r>
      <w:r w:rsidR="00C671CC">
        <w:rPr>
          <w:rFonts w:ascii="Arial" w:hAnsi="Arial" w:cs="Arial"/>
          <w:sz w:val="22"/>
          <w:szCs w:val="22"/>
        </w:rPr>
        <w:t>daralma</w:t>
      </w:r>
      <w:r w:rsidR="00DE7FAE" w:rsidRPr="007562F5">
        <w:rPr>
          <w:rFonts w:ascii="Arial" w:hAnsi="Arial" w:cs="Arial"/>
          <w:sz w:val="22"/>
          <w:szCs w:val="22"/>
        </w:rPr>
        <w:t xml:space="preserve"> </w:t>
      </w:r>
      <w:r w:rsidR="00DE7FAE"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C671CC">
        <w:rPr>
          <w:rFonts w:ascii="Arial" w:hAnsi="Arial" w:cs="Arial"/>
          <w:b/>
          <w:sz w:val="22"/>
          <w:szCs w:val="22"/>
        </w:rPr>
        <w:t>2</w:t>
      </w:r>
      <w:r w:rsidR="00DE7FAE" w:rsidRPr="007562F5">
        <w:rPr>
          <w:rFonts w:ascii="Arial" w:hAnsi="Arial" w:cs="Arial"/>
          <w:sz w:val="22"/>
          <w:szCs w:val="22"/>
        </w:rPr>
        <w:t xml:space="preserve"> olmuştur</w:t>
      </w:r>
      <w:r w:rsidR="00DE7FAE" w:rsidRPr="007562F5">
        <w:rPr>
          <w:rFonts w:ascii="Arial" w:hAnsi="Arial" w:cs="Arial"/>
          <w:b/>
          <w:sz w:val="22"/>
          <w:szCs w:val="22"/>
        </w:rPr>
        <w:t>.</w:t>
      </w:r>
      <w:r w:rsidR="008F5732" w:rsidRPr="007562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7562F5" w:rsidRPr="007562F5">
        <w:rPr>
          <w:rFonts w:ascii="Arial" w:hAnsi="Arial" w:cs="Arial"/>
          <w:sz w:val="22"/>
          <w:szCs w:val="22"/>
        </w:rPr>
        <w:t xml:space="preserve">oplam pasiflerinin yüzde 56’lık bölümünü mevduatlar oluşturmuştur. </w:t>
      </w: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Default="003F657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7562F5">
        <w:rPr>
          <w:rFonts w:ascii="Arial" w:hAnsi="Arial" w:cs="Arial"/>
          <w:sz w:val="22"/>
          <w:szCs w:val="22"/>
        </w:rPr>
        <w:t xml:space="preserve">YP mevduatlar dolar bazında </w:t>
      </w:r>
      <w:r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7562F5" w:rsidRPr="007562F5">
        <w:rPr>
          <w:rFonts w:ascii="Arial" w:hAnsi="Arial" w:cs="Arial"/>
          <w:b/>
          <w:sz w:val="22"/>
          <w:szCs w:val="22"/>
        </w:rPr>
        <w:t>7</w:t>
      </w:r>
      <w:r w:rsidRPr="007562F5">
        <w:rPr>
          <w:rFonts w:ascii="Arial" w:hAnsi="Arial" w:cs="Arial"/>
          <w:b/>
          <w:sz w:val="22"/>
          <w:szCs w:val="22"/>
        </w:rPr>
        <w:t xml:space="preserve"> </w:t>
      </w:r>
      <w:r w:rsidRPr="007562F5">
        <w:rPr>
          <w:rFonts w:ascii="Arial" w:hAnsi="Arial" w:cs="Arial"/>
          <w:sz w:val="22"/>
          <w:szCs w:val="22"/>
        </w:rPr>
        <w:t xml:space="preserve">oranında </w:t>
      </w:r>
      <w:r w:rsidR="004E2F0D" w:rsidRPr="007562F5">
        <w:rPr>
          <w:rFonts w:ascii="Arial" w:hAnsi="Arial" w:cs="Arial"/>
          <w:sz w:val="22"/>
          <w:szCs w:val="22"/>
        </w:rPr>
        <w:t>azalmıştır</w:t>
      </w:r>
      <w:r w:rsidRPr="007562F5">
        <w:rPr>
          <w:rFonts w:ascii="Arial" w:hAnsi="Arial" w:cs="Arial"/>
          <w:sz w:val="22"/>
          <w:szCs w:val="22"/>
        </w:rPr>
        <w:t xml:space="preserve">. </w:t>
      </w:r>
      <w:r w:rsidR="00C507CB" w:rsidRPr="007562F5">
        <w:rPr>
          <w:rFonts w:ascii="Arial" w:hAnsi="Arial" w:cs="Arial"/>
          <w:sz w:val="22"/>
          <w:szCs w:val="22"/>
        </w:rPr>
        <w:t>Mev</w:t>
      </w:r>
      <w:r w:rsidR="00262377">
        <w:rPr>
          <w:rFonts w:ascii="Arial" w:hAnsi="Arial" w:cs="Arial"/>
          <w:sz w:val="22"/>
          <w:szCs w:val="22"/>
        </w:rPr>
        <w:t>duat içinde TL mevduatların</w:t>
      </w:r>
      <w:r w:rsidR="00C507CB" w:rsidRPr="007562F5">
        <w:rPr>
          <w:rFonts w:ascii="Arial" w:hAnsi="Arial" w:cs="Arial"/>
          <w:sz w:val="22"/>
          <w:szCs w:val="22"/>
        </w:rPr>
        <w:t xml:space="preserve"> payı bir önceki yılın aynı ayına göre </w:t>
      </w:r>
      <w:r w:rsidR="007562F5" w:rsidRPr="007562F5">
        <w:rPr>
          <w:rFonts w:ascii="Arial" w:hAnsi="Arial" w:cs="Arial"/>
          <w:sz w:val="22"/>
          <w:szCs w:val="22"/>
        </w:rPr>
        <w:t>6</w:t>
      </w:r>
      <w:r w:rsidR="00C507CB" w:rsidRPr="007562F5">
        <w:rPr>
          <w:rFonts w:ascii="Arial" w:hAnsi="Arial" w:cs="Arial"/>
          <w:sz w:val="22"/>
          <w:szCs w:val="22"/>
        </w:rPr>
        <w:t xml:space="preserve"> puan </w:t>
      </w:r>
      <w:r w:rsidR="004E2F0D" w:rsidRPr="007562F5">
        <w:rPr>
          <w:rFonts w:ascii="Arial" w:hAnsi="Arial" w:cs="Arial"/>
          <w:sz w:val="22"/>
          <w:szCs w:val="22"/>
        </w:rPr>
        <w:t>artış</w:t>
      </w:r>
      <w:r w:rsidR="00C507CB" w:rsidRPr="007562F5">
        <w:rPr>
          <w:rFonts w:ascii="Arial" w:hAnsi="Arial" w:cs="Arial"/>
          <w:sz w:val="22"/>
          <w:szCs w:val="22"/>
        </w:rPr>
        <w:t xml:space="preserve"> ile </w:t>
      </w:r>
      <w:r w:rsidR="00C507CB" w:rsidRPr="007562F5">
        <w:rPr>
          <w:rFonts w:ascii="Arial" w:hAnsi="Arial" w:cs="Arial"/>
          <w:b/>
          <w:sz w:val="22"/>
          <w:szCs w:val="22"/>
        </w:rPr>
        <w:t>yüzde 5</w:t>
      </w:r>
      <w:r w:rsidR="007562F5" w:rsidRPr="007562F5">
        <w:rPr>
          <w:rFonts w:ascii="Arial" w:hAnsi="Arial" w:cs="Arial"/>
          <w:b/>
          <w:sz w:val="22"/>
          <w:szCs w:val="22"/>
        </w:rPr>
        <w:t>9</w:t>
      </w:r>
      <w:r w:rsidR="007562F5" w:rsidRPr="007562F5">
        <w:rPr>
          <w:rFonts w:ascii="Arial" w:hAnsi="Arial" w:cs="Arial"/>
          <w:sz w:val="22"/>
          <w:szCs w:val="22"/>
        </w:rPr>
        <w:t>’a</w:t>
      </w:r>
      <w:r w:rsidR="00C507CB" w:rsidRPr="007562F5">
        <w:rPr>
          <w:rFonts w:ascii="Arial" w:hAnsi="Arial" w:cs="Arial"/>
          <w:sz w:val="22"/>
          <w:szCs w:val="22"/>
        </w:rPr>
        <w:t xml:space="preserve"> </w:t>
      </w:r>
      <w:r w:rsidR="004E2F0D" w:rsidRPr="007562F5">
        <w:rPr>
          <w:rFonts w:ascii="Arial" w:hAnsi="Arial" w:cs="Arial"/>
          <w:sz w:val="22"/>
          <w:szCs w:val="22"/>
        </w:rPr>
        <w:t>yükselmiştir</w:t>
      </w:r>
      <w:r w:rsidR="00C507CB" w:rsidRPr="007562F5">
        <w:rPr>
          <w:rFonts w:ascii="Arial" w:hAnsi="Arial" w:cs="Arial"/>
          <w:sz w:val="22"/>
          <w:szCs w:val="22"/>
        </w:rPr>
        <w:t xml:space="preserve">. </w:t>
      </w: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Default="000E238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7562F5">
        <w:rPr>
          <w:rFonts w:ascii="Arial" w:hAnsi="Arial" w:cs="Arial"/>
          <w:sz w:val="22"/>
          <w:szCs w:val="22"/>
        </w:rPr>
        <w:t xml:space="preserve">Mevduat dışı kaynaklar yıllık bazda </w:t>
      </w:r>
      <w:r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7562F5" w:rsidRPr="00D47D5F">
        <w:rPr>
          <w:rFonts w:ascii="Arial" w:hAnsi="Arial" w:cs="Arial"/>
          <w:b/>
          <w:sz w:val="22"/>
          <w:szCs w:val="22"/>
        </w:rPr>
        <w:t>3</w:t>
      </w:r>
      <w:r w:rsidR="004F301A" w:rsidRPr="007562F5">
        <w:rPr>
          <w:rFonts w:ascii="Arial" w:hAnsi="Arial" w:cs="Arial"/>
          <w:sz w:val="22"/>
          <w:szCs w:val="22"/>
        </w:rPr>
        <w:t xml:space="preserve"> büyümüştür. Mevduat dışı kaynakların toplam pasifler içindeki</w:t>
      </w:r>
      <w:r w:rsidR="00633517" w:rsidRPr="007562F5">
        <w:rPr>
          <w:rFonts w:ascii="Arial" w:hAnsi="Arial" w:cs="Arial"/>
          <w:sz w:val="22"/>
          <w:szCs w:val="22"/>
        </w:rPr>
        <w:t xml:space="preserve"> payı ise bir önceki yıla göre </w:t>
      </w:r>
      <w:r w:rsidR="007562F5" w:rsidRPr="007562F5">
        <w:rPr>
          <w:rFonts w:ascii="Arial" w:hAnsi="Arial" w:cs="Arial"/>
          <w:sz w:val="22"/>
          <w:szCs w:val="22"/>
        </w:rPr>
        <w:t>1</w:t>
      </w:r>
      <w:r w:rsidR="004F301A" w:rsidRPr="007562F5">
        <w:rPr>
          <w:rFonts w:ascii="Arial" w:hAnsi="Arial" w:cs="Arial"/>
          <w:sz w:val="22"/>
          <w:szCs w:val="22"/>
        </w:rPr>
        <w:t xml:space="preserve"> puan </w:t>
      </w:r>
      <w:r w:rsidR="007562F5" w:rsidRPr="007562F5">
        <w:rPr>
          <w:rFonts w:ascii="Arial" w:hAnsi="Arial" w:cs="Arial"/>
          <w:sz w:val="22"/>
          <w:szCs w:val="22"/>
        </w:rPr>
        <w:t>azalış</w:t>
      </w:r>
      <w:r w:rsidR="004F301A" w:rsidRPr="007562F5">
        <w:rPr>
          <w:rFonts w:ascii="Arial" w:hAnsi="Arial" w:cs="Arial"/>
          <w:sz w:val="22"/>
          <w:szCs w:val="22"/>
        </w:rPr>
        <w:t xml:space="preserve"> ile </w:t>
      </w:r>
      <w:r w:rsidR="004F301A" w:rsidRPr="00D47D5F">
        <w:rPr>
          <w:rFonts w:ascii="Arial" w:hAnsi="Arial" w:cs="Arial"/>
          <w:b/>
          <w:sz w:val="22"/>
          <w:szCs w:val="22"/>
        </w:rPr>
        <w:t>yüzde 2</w:t>
      </w:r>
      <w:r w:rsidR="000B4337" w:rsidRPr="00D47D5F">
        <w:rPr>
          <w:rFonts w:ascii="Arial" w:hAnsi="Arial" w:cs="Arial"/>
          <w:b/>
          <w:sz w:val="22"/>
          <w:szCs w:val="22"/>
        </w:rPr>
        <w:t>5</w:t>
      </w:r>
      <w:r w:rsidR="004F301A" w:rsidRPr="00D952E0">
        <w:rPr>
          <w:rFonts w:ascii="Arial" w:hAnsi="Arial" w:cs="Arial"/>
          <w:sz w:val="22"/>
          <w:szCs w:val="22"/>
        </w:rPr>
        <w:t xml:space="preserve"> </w:t>
      </w:r>
      <w:r w:rsidR="000B4337" w:rsidRPr="007562F5">
        <w:rPr>
          <w:rFonts w:ascii="Arial" w:hAnsi="Arial" w:cs="Arial"/>
          <w:sz w:val="22"/>
          <w:szCs w:val="22"/>
        </w:rPr>
        <w:t>olmuştur.</w:t>
      </w:r>
      <w:r w:rsidRPr="007562F5">
        <w:rPr>
          <w:rFonts w:ascii="Arial" w:hAnsi="Arial" w:cs="Arial"/>
          <w:sz w:val="22"/>
          <w:szCs w:val="22"/>
        </w:rPr>
        <w:t xml:space="preserve"> </w:t>
      </w:r>
      <w:r w:rsidR="00CC04EF" w:rsidRPr="00D952E0">
        <w:rPr>
          <w:rFonts w:ascii="Arial" w:hAnsi="Arial" w:cs="Arial"/>
          <w:sz w:val="22"/>
          <w:szCs w:val="22"/>
        </w:rPr>
        <w:t xml:space="preserve">Mevduat dışı kaynaklardaki </w:t>
      </w:r>
      <w:r w:rsidR="00D952E0" w:rsidRPr="00D952E0">
        <w:rPr>
          <w:rFonts w:ascii="Arial" w:hAnsi="Arial" w:cs="Arial"/>
          <w:sz w:val="22"/>
          <w:szCs w:val="22"/>
        </w:rPr>
        <w:t>yavaşlamada yurtdışı piyasalardan borçlanma</w:t>
      </w:r>
      <w:r w:rsidR="00082ACD">
        <w:rPr>
          <w:rFonts w:ascii="Arial" w:hAnsi="Arial" w:cs="Arial"/>
          <w:sz w:val="22"/>
          <w:szCs w:val="22"/>
        </w:rPr>
        <w:t xml:space="preserve">nın </w:t>
      </w:r>
      <w:r w:rsidR="00D952E0" w:rsidRPr="00D952E0">
        <w:rPr>
          <w:rFonts w:ascii="Arial" w:hAnsi="Arial" w:cs="Arial"/>
          <w:sz w:val="22"/>
          <w:szCs w:val="22"/>
        </w:rPr>
        <w:t>azal</w:t>
      </w:r>
      <w:r w:rsidR="00082ACD">
        <w:rPr>
          <w:rFonts w:ascii="Arial" w:hAnsi="Arial" w:cs="Arial"/>
          <w:sz w:val="22"/>
          <w:szCs w:val="22"/>
        </w:rPr>
        <w:t xml:space="preserve">ması </w:t>
      </w:r>
      <w:r w:rsidR="00D952E0" w:rsidRPr="00D952E0">
        <w:rPr>
          <w:rFonts w:ascii="Arial" w:hAnsi="Arial" w:cs="Arial"/>
          <w:sz w:val="22"/>
          <w:szCs w:val="22"/>
        </w:rPr>
        <w:t>etkili olmuştur.</w:t>
      </w: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7562F5" w:rsidRPr="007562F5" w:rsidRDefault="007562F5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7562F5">
        <w:rPr>
          <w:rFonts w:ascii="Arial" w:hAnsi="Arial" w:cs="Arial"/>
          <w:sz w:val="22"/>
          <w:szCs w:val="22"/>
        </w:rPr>
        <w:t>Özkaynakların yıllık büyüme hızındaki artış</w:t>
      </w:r>
      <w:r w:rsidR="000435B7">
        <w:rPr>
          <w:rFonts w:ascii="Arial" w:hAnsi="Arial" w:cs="Arial"/>
          <w:sz w:val="22"/>
          <w:szCs w:val="22"/>
        </w:rPr>
        <w:t>,</w:t>
      </w:r>
      <w:r w:rsidRPr="007562F5">
        <w:rPr>
          <w:rFonts w:ascii="Arial" w:hAnsi="Arial" w:cs="Arial"/>
          <w:sz w:val="22"/>
          <w:szCs w:val="22"/>
        </w:rPr>
        <w:t xml:space="preserve"> yılın üçüncü çeyreğinde de devam etmiş ve </w:t>
      </w:r>
      <w:r w:rsidRPr="00D47D5F">
        <w:rPr>
          <w:rFonts w:ascii="Arial" w:hAnsi="Arial" w:cs="Arial"/>
          <w:b/>
          <w:sz w:val="22"/>
          <w:szCs w:val="22"/>
        </w:rPr>
        <w:t>yüzde</w:t>
      </w:r>
      <w:r w:rsidRPr="007562F5">
        <w:rPr>
          <w:rFonts w:ascii="Arial" w:hAnsi="Arial" w:cs="Arial"/>
          <w:sz w:val="22"/>
          <w:szCs w:val="22"/>
        </w:rPr>
        <w:t xml:space="preserve"> </w:t>
      </w:r>
      <w:r w:rsidRPr="007562F5">
        <w:rPr>
          <w:rFonts w:ascii="Arial" w:hAnsi="Arial" w:cs="Arial"/>
          <w:b/>
          <w:sz w:val="22"/>
          <w:szCs w:val="22"/>
        </w:rPr>
        <w:t>19</w:t>
      </w:r>
      <w:r w:rsidRPr="007562F5">
        <w:rPr>
          <w:rFonts w:ascii="Arial" w:hAnsi="Arial" w:cs="Arial"/>
          <w:sz w:val="22"/>
          <w:szCs w:val="22"/>
        </w:rPr>
        <w:t xml:space="preserve"> ile bilanço büyümesinin üzerinde gerçekleşmiştir. Eylül 2016 itibariyle </w:t>
      </w:r>
      <w:r w:rsidRPr="007562F5">
        <w:rPr>
          <w:rFonts w:ascii="Arial" w:hAnsi="Arial" w:cs="Arial"/>
          <w:b/>
          <w:sz w:val="22"/>
          <w:szCs w:val="22"/>
        </w:rPr>
        <w:t>281 milyar TL (94 milyar dolar)</w:t>
      </w:r>
      <w:r w:rsidRPr="007562F5">
        <w:rPr>
          <w:rFonts w:ascii="Arial" w:hAnsi="Arial" w:cs="Arial"/>
          <w:sz w:val="22"/>
          <w:szCs w:val="22"/>
        </w:rPr>
        <w:t xml:space="preserve"> düzeyine ulaşan özkaynakların toplam pasifler içindeki payı da </w:t>
      </w:r>
      <w:r w:rsidRPr="007562F5">
        <w:rPr>
          <w:rFonts w:ascii="Arial" w:hAnsi="Arial" w:cs="Arial"/>
          <w:b/>
          <w:sz w:val="22"/>
          <w:szCs w:val="22"/>
        </w:rPr>
        <w:t xml:space="preserve">yüzde 11,7 </w:t>
      </w:r>
      <w:r w:rsidRPr="007562F5">
        <w:rPr>
          <w:rFonts w:ascii="Arial" w:hAnsi="Arial" w:cs="Arial"/>
          <w:sz w:val="22"/>
          <w:szCs w:val="22"/>
        </w:rPr>
        <w:t>olmuştur.</w:t>
      </w: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color w:val="FF0000"/>
          <w:sz w:val="10"/>
          <w:szCs w:val="10"/>
        </w:rPr>
      </w:pP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color w:val="FF0000"/>
          <w:sz w:val="10"/>
          <w:szCs w:val="10"/>
        </w:rPr>
      </w:pPr>
    </w:p>
    <w:p w:rsidR="00082ACD" w:rsidRDefault="000E238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7562F5">
        <w:rPr>
          <w:rFonts w:ascii="Arial" w:hAnsi="Arial" w:cs="Arial"/>
          <w:sz w:val="22"/>
          <w:szCs w:val="22"/>
        </w:rPr>
        <w:t>201</w:t>
      </w:r>
      <w:r w:rsidR="00666F64" w:rsidRPr="007562F5">
        <w:rPr>
          <w:rFonts w:ascii="Arial" w:hAnsi="Arial" w:cs="Arial"/>
          <w:sz w:val="22"/>
          <w:szCs w:val="22"/>
        </w:rPr>
        <w:t>6</w:t>
      </w:r>
      <w:r w:rsidRPr="007562F5">
        <w:rPr>
          <w:rFonts w:ascii="Arial" w:hAnsi="Arial" w:cs="Arial"/>
          <w:sz w:val="22"/>
          <w:szCs w:val="22"/>
        </w:rPr>
        <w:t xml:space="preserve"> yılının ilk </w:t>
      </w:r>
      <w:r w:rsidR="007562F5" w:rsidRPr="007562F5">
        <w:rPr>
          <w:rFonts w:ascii="Arial" w:hAnsi="Arial" w:cs="Arial"/>
          <w:sz w:val="22"/>
          <w:szCs w:val="22"/>
        </w:rPr>
        <w:t>üç çeyreklik</w:t>
      </w:r>
      <w:r w:rsidR="009B7702" w:rsidRPr="007562F5">
        <w:rPr>
          <w:rFonts w:ascii="Arial" w:hAnsi="Arial" w:cs="Arial"/>
          <w:sz w:val="22"/>
          <w:szCs w:val="22"/>
        </w:rPr>
        <w:t xml:space="preserve"> bölümünde</w:t>
      </w:r>
      <w:r w:rsidRPr="007562F5">
        <w:rPr>
          <w:rFonts w:ascii="Arial" w:hAnsi="Arial" w:cs="Arial"/>
          <w:sz w:val="22"/>
          <w:szCs w:val="22"/>
        </w:rPr>
        <w:t xml:space="preserve"> bankacılık sektörünün faiz gelirleri </w:t>
      </w:r>
      <w:r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E4559E" w:rsidRPr="007562F5">
        <w:rPr>
          <w:rFonts w:ascii="Arial" w:hAnsi="Arial" w:cs="Arial"/>
          <w:b/>
          <w:sz w:val="22"/>
          <w:szCs w:val="22"/>
        </w:rPr>
        <w:t>2</w:t>
      </w:r>
      <w:r w:rsidR="007562F5" w:rsidRPr="007562F5">
        <w:rPr>
          <w:rFonts w:ascii="Arial" w:hAnsi="Arial" w:cs="Arial"/>
          <w:b/>
          <w:sz w:val="22"/>
          <w:szCs w:val="22"/>
        </w:rPr>
        <w:t>0</w:t>
      </w:r>
      <w:r w:rsidRPr="007562F5">
        <w:rPr>
          <w:rFonts w:ascii="Arial" w:hAnsi="Arial" w:cs="Arial"/>
          <w:b/>
          <w:sz w:val="22"/>
          <w:szCs w:val="22"/>
        </w:rPr>
        <w:t xml:space="preserve">, </w:t>
      </w:r>
      <w:r w:rsidRPr="007562F5">
        <w:rPr>
          <w:rFonts w:ascii="Arial" w:hAnsi="Arial" w:cs="Arial"/>
          <w:sz w:val="22"/>
          <w:szCs w:val="22"/>
        </w:rPr>
        <w:t xml:space="preserve">faiz giderleri </w:t>
      </w:r>
      <w:r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666F64" w:rsidRPr="007562F5">
        <w:rPr>
          <w:rFonts w:ascii="Arial" w:hAnsi="Arial" w:cs="Arial"/>
          <w:b/>
          <w:sz w:val="22"/>
          <w:szCs w:val="22"/>
        </w:rPr>
        <w:t>2</w:t>
      </w:r>
      <w:r w:rsidR="007562F5" w:rsidRPr="007562F5">
        <w:rPr>
          <w:rFonts w:ascii="Arial" w:hAnsi="Arial" w:cs="Arial"/>
          <w:b/>
          <w:sz w:val="22"/>
          <w:szCs w:val="22"/>
        </w:rPr>
        <w:t>1</w:t>
      </w:r>
      <w:r w:rsidR="009B7702" w:rsidRPr="007562F5">
        <w:rPr>
          <w:rFonts w:ascii="Arial" w:hAnsi="Arial" w:cs="Arial"/>
          <w:sz w:val="22"/>
          <w:szCs w:val="22"/>
        </w:rPr>
        <w:t xml:space="preserve"> </w:t>
      </w:r>
      <w:r w:rsidRPr="007562F5">
        <w:rPr>
          <w:rFonts w:ascii="Arial" w:hAnsi="Arial" w:cs="Arial"/>
          <w:sz w:val="22"/>
          <w:szCs w:val="22"/>
        </w:rPr>
        <w:t>oranında artmıştır. Buna bağlı olarak, net faiz gelirleri geçen yılın aynı dönemine göre TL bazında</w:t>
      </w:r>
      <w:r w:rsidRPr="00D47D5F">
        <w:rPr>
          <w:rFonts w:ascii="Arial" w:hAnsi="Arial" w:cs="Arial"/>
          <w:b/>
          <w:sz w:val="22"/>
          <w:szCs w:val="22"/>
        </w:rPr>
        <w:t xml:space="preserve"> yüzde</w:t>
      </w:r>
      <w:r w:rsidRPr="007562F5">
        <w:rPr>
          <w:rFonts w:ascii="Arial" w:hAnsi="Arial" w:cs="Arial"/>
          <w:sz w:val="22"/>
          <w:szCs w:val="22"/>
        </w:rPr>
        <w:t xml:space="preserve"> </w:t>
      </w:r>
      <w:r w:rsidR="00E4559E" w:rsidRPr="007562F5">
        <w:rPr>
          <w:rFonts w:ascii="Arial" w:hAnsi="Arial" w:cs="Arial"/>
          <w:b/>
          <w:sz w:val="22"/>
          <w:szCs w:val="22"/>
        </w:rPr>
        <w:t>1</w:t>
      </w:r>
      <w:r w:rsidR="007562F5" w:rsidRPr="007562F5">
        <w:rPr>
          <w:rFonts w:ascii="Arial" w:hAnsi="Arial" w:cs="Arial"/>
          <w:b/>
          <w:sz w:val="22"/>
          <w:szCs w:val="22"/>
        </w:rPr>
        <w:t>9</w:t>
      </w:r>
      <w:r w:rsidR="00666F64" w:rsidRPr="007562F5">
        <w:rPr>
          <w:rFonts w:ascii="Arial" w:hAnsi="Arial" w:cs="Arial"/>
          <w:sz w:val="22"/>
          <w:szCs w:val="22"/>
        </w:rPr>
        <w:t xml:space="preserve"> </w:t>
      </w:r>
      <w:r w:rsidRPr="007562F5">
        <w:rPr>
          <w:rFonts w:ascii="Arial" w:hAnsi="Arial" w:cs="Arial"/>
          <w:sz w:val="22"/>
          <w:szCs w:val="22"/>
        </w:rPr>
        <w:t>oranında artmış</w:t>
      </w:r>
      <w:r w:rsidR="00666F64" w:rsidRPr="007562F5">
        <w:rPr>
          <w:rFonts w:ascii="Arial" w:hAnsi="Arial" w:cs="Arial"/>
          <w:sz w:val="22"/>
          <w:szCs w:val="22"/>
        </w:rPr>
        <w:t xml:space="preserve">tır. </w:t>
      </w: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Default="000E238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D952E0">
        <w:rPr>
          <w:rFonts w:ascii="Arial" w:hAnsi="Arial" w:cs="Arial"/>
          <w:sz w:val="22"/>
          <w:szCs w:val="22"/>
        </w:rPr>
        <w:t xml:space="preserve">Kar hacmi, </w:t>
      </w:r>
      <w:r w:rsidR="007562F5" w:rsidRPr="00D952E0">
        <w:rPr>
          <w:rFonts w:ascii="Arial" w:hAnsi="Arial" w:cs="Arial"/>
          <w:sz w:val="22"/>
          <w:szCs w:val="22"/>
        </w:rPr>
        <w:t>2016 yılı Ocak-Eylül</w:t>
      </w:r>
      <w:r w:rsidRPr="00D952E0">
        <w:rPr>
          <w:rFonts w:ascii="Arial" w:hAnsi="Arial" w:cs="Arial"/>
          <w:sz w:val="22"/>
          <w:szCs w:val="22"/>
        </w:rPr>
        <w:t xml:space="preserve"> </w:t>
      </w:r>
      <w:r w:rsidR="007562F5" w:rsidRPr="00D952E0">
        <w:rPr>
          <w:rFonts w:ascii="Arial" w:hAnsi="Arial" w:cs="Arial"/>
          <w:sz w:val="22"/>
          <w:szCs w:val="22"/>
        </w:rPr>
        <w:t xml:space="preserve">döneminde </w:t>
      </w:r>
      <w:r w:rsidRPr="00D952E0">
        <w:rPr>
          <w:rFonts w:ascii="Arial" w:hAnsi="Arial" w:cs="Arial"/>
          <w:sz w:val="22"/>
          <w:szCs w:val="22"/>
        </w:rPr>
        <w:t xml:space="preserve">önceki yılın aynı dönemine göre </w:t>
      </w:r>
      <w:r w:rsidR="00E4559E" w:rsidRPr="00D952E0">
        <w:rPr>
          <w:rFonts w:ascii="Arial" w:hAnsi="Arial" w:cs="Arial"/>
          <w:sz w:val="22"/>
          <w:szCs w:val="22"/>
        </w:rPr>
        <w:t xml:space="preserve">yüzde </w:t>
      </w:r>
      <w:r w:rsidR="007562F5" w:rsidRPr="00D952E0">
        <w:rPr>
          <w:rFonts w:ascii="Arial" w:hAnsi="Arial" w:cs="Arial"/>
          <w:sz w:val="22"/>
          <w:szCs w:val="22"/>
        </w:rPr>
        <w:t>54</w:t>
      </w:r>
      <w:r w:rsidR="00666F64" w:rsidRPr="00D952E0">
        <w:rPr>
          <w:rFonts w:ascii="Arial" w:hAnsi="Arial" w:cs="Arial"/>
          <w:sz w:val="22"/>
          <w:szCs w:val="22"/>
        </w:rPr>
        <w:t xml:space="preserve"> oranında artmış ve </w:t>
      </w:r>
      <w:r w:rsidR="007562F5" w:rsidRPr="00D952E0">
        <w:rPr>
          <w:rFonts w:ascii="Arial" w:hAnsi="Arial" w:cs="Arial"/>
          <w:b/>
          <w:sz w:val="22"/>
          <w:szCs w:val="22"/>
        </w:rPr>
        <w:t>28</w:t>
      </w:r>
      <w:r w:rsidRPr="00D952E0">
        <w:rPr>
          <w:rFonts w:ascii="Arial" w:hAnsi="Arial" w:cs="Arial"/>
          <w:sz w:val="22"/>
          <w:szCs w:val="22"/>
        </w:rPr>
        <w:t xml:space="preserve"> </w:t>
      </w:r>
      <w:r w:rsidRPr="00D952E0">
        <w:rPr>
          <w:rFonts w:ascii="Arial" w:hAnsi="Arial" w:cs="Arial"/>
          <w:b/>
          <w:sz w:val="22"/>
          <w:szCs w:val="22"/>
        </w:rPr>
        <w:t>milyar TL</w:t>
      </w:r>
      <w:r w:rsidR="007562F5" w:rsidRPr="00D952E0">
        <w:rPr>
          <w:rFonts w:ascii="Arial" w:hAnsi="Arial" w:cs="Arial"/>
          <w:sz w:val="22"/>
          <w:szCs w:val="22"/>
        </w:rPr>
        <w:t xml:space="preserve"> seviyesinde gerçekleşmiştir.</w:t>
      </w:r>
      <w:r w:rsidRPr="00D952E0">
        <w:rPr>
          <w:rFonts w:ascii="Arial" w:hAnsi="Arial" w:cs="Arial"/>
          <w:sz w:val="22"/>
          <w:szCs w:val="22"/>
        </w:rPr>
        <w:t xml:space="preserve"> </w:t>
      </w:r>
      <w:r w:rsidR="009B7702" w:rsidRPr="00D952E0">
        <w:rPr>
          <w:rFonts w:ascii="Arial" w:hAnsi="Arial" w:cs="Arial"/>
          <w:sz w:val="22"/>
          <w:szCs w:val="22"/>
        </w:rPr>
        <w:t xml:space="preserve">Böylece </w:t>
      </w:r>
      <w:r w:rsidR="00082ACD">
        <w:rPr>
          <w:rFonts w:ascii="Arial" w:hAnsi="Arial" w:cs="Arial"/>
          <w:sz w:val="22"/>
          <w:szCs w:val="22"/>
        </w:rPr>
        <w:t xml:space="preserve">yıllık </w:t>
      </w:r>
      <w:r w:rsidR="009B7702" w:rsidRPr="00D952E0">
        <w:rPr>
          <w:rFonts w:ascii="Arial" w:hAnsi="Arial" w:cs="Arial"/>
          <w:sz w:val="22"/>
          <w:szCs w:val="22"/>
        </w:rPr>
        <w:t>ortalama</w:t>
      </w:r>
      <w:r w:rsidR="00C06DDF" w:rsidRPr="00D952E0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9B7702" w:rsidRPr="00D952E0">
        <w:rPr>
          <w:rFonts w:ascii="Arial" w:hAnsi="Arial" w:cs="Arial"/>
          <w:sz w:val="22"/>
          <w:szCs w:val="22"/>
        </w:rPr>
        <w:t xml:space="preserve"> özkaynak karlılığı yüzde </w:t>
      </w:r>
      <w:r w:rsidR="007562F5" w:rsidRPr="00D952E0">
        <w:rPr>
          <w:rFonts w:ascii="Arial" w:hAnsi="Arial" w:cs="Arial"/>
          <w:b/>
          <w:sz w:val="22"/>
          <w:szCs w:val="22"/>
        </w:rPr>
        <w:t>13,7,</w:t>
      </w:r>
      <w:r w:rsidR="009B7702" w:rsidRPr="00D952E0">
        <w:rPr>
          <w:rFonts w:ascii="Arial" w:hAnsi="Arial" w:cs="Arial"/>
          <w:sz w:val="22"/>
          <w:szCs w:val="22"/>
        </w:rPr>
        <w:t xml:space="preserve"> ortalama </w:t>
      </w:r>
      <w:r w:rsidR="00082ACD">
        <w:rPr>
          <w:rFonts w:ascii="Arial" w:hAnsi="Arial" w:cs="Arial"/>
          <w:sz w:val="22"/>
          <w:szCs w:val="22"/>
        </w:rPr>
        <w:t xml:space="preserve">yıllık </w:t>
      </w:r>
      <w:r w:rsidR="009B7702" w:rsidRPr="00D952E0">
        <w:rPr>
          <w:rFonts w:ascii="Arial" w:hAnsi="Arial" w:cs="Arial"/>
          <w:sz w:val="22"/>
          <w:szCs w:val="22"/>
        </w:rPr>
        <w:t>aktif karlılığı ise</w:t>
      </w:r>
      <w:r w:rsidR="009B7702" w:rsidRPr="00D952E0">
        <w:rPr>
          <w:rFonts w:ascii="Arial" w:hAnsi="Arial" w:cs="Arial"/>
          <w:b/>
          <w:sz w:val="22"/>
          <w:szCs w:val="22"/>
        </w:rPr>
        <w:t xml:space="preserve"> yüzde</w:t>
      </w:r>
      <w:r w:rsidR="009B7702" w:rsidRPr="00D952E0">
        <w:rPr>
          <w:rFonts w:ascii="Arial" w:hAnsi="Arial" w:cs="Arial"/>
          <w:sz w:val="22"/>
          <w:szCs w:val="22"/>
        </w:rPr>
        <w:t xml:space="preserve"> </w:t>
      </w:r>
      <w:r w:rsidR="009B7702" w:rsidRPr="00D952E0">
        <w:rPr>
          <w:rFonts w:ascii="Arial" w:hAnsi="Arial" w:cs="Arial"/>
          <w:b/>
          <w:sz w:val="22"/>
          <w:szCs w:val="22"/>
        </w:rPr>
        <w:t>1,</w:t>
      </w:r>
      <w:r w:rsidR="007562F5" w:rsidRPr="00D952E0">
        <w:rPr>
          <w:rFonts w:ascii="Arial" w:hAnsi="Arial" w:cs="Arial"/>
          <w:b/>
          <w:sz w:val="22"/>
          <w:szCs w:val="22"/>
        </w:rPr>
        <w:t>5</w:t>
      </w:r>
      <w:r w:rsidR="009B7702" w:rsidRPr="00D952E0">
        <w:rPr>
          <w:rFonts w:ascii="Arial" w:hAnsi="Arial" w:cs="Arial"/>
          <w:sz w:val="22"/>
          <w:szCs w:val="22"/>
        </w:rPr>
        <w:t xml:space="preserve"> olmuştur. </w:t>
      </w:r>
      <w:r w:rsidR="00666F64" w:rsidRPr="00D952E0">
        <w:rPr>
          <w:rFonts w:ascii="Arial" w:hAnsi="Arial" w:cs="Arial"/>
          <w:sz w:val="22"/>
          <w:szCs w:val="22"/>
        </w:rPr>
        <w:t xml:space="preserve">Karlılıktaki yükselişte faiz marjındaki </w:t>
      </w:r>
      <w:r w:rsidR="00D952E0" w:rsidRPr="00D952E0">
        <w:rPr>
          <w:rFonts w:ascii="Arial" w:hAnsi="Arial" w:cs="Arial"/>
          <w:sz w:val="22"/>
          <w:szCs w:val="22"/>
        </w:rPr>
        <w:t xml:space="preserve">yükseliş </w:t>
      </w:r>
      <w:r w:rsidR="00082ACD">
        <w:rPr>
          <w:rFonts w:ascii="Arial" w:hAnsi="Arial" w:cs="Arial"/>
          <w:sz w:val="22"/>
          <w:szCs w:val="22"/>
        </w:rPr>
        <w:t xml:space="preserve">yanında aktif satışlarından elde edilen gelirler ve genel karşılık miktarındaki düşüş </w:t>
      </w:r>
      <w:r w:rsidR="00666F64" w:rsidRPr="00D952E0">
        <w:rPr>
          <w:rFonts w:ascii="Arial" w:hAnsi="Arial" w:cs="Arial"/>
          <w:sz w:val="22"/>
          <w:szCs w:val="22"/>
        </w:rPr>
        <w:t xml:space="preserve">etkili olmuştur. </w:t>
      </w:r>
    </w:p>
    <w:p w:rsidR="00082ACD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E2381" w:rsidRDefault="000E238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6F2386">
        <w:rPr>
          <w:rFonts w:ascii="Arial" w:hAnsi="Arial" w:cs="Arial"/>
          <w:sz w:val="22"/>
          <w:szCs w:val="22"/>
        </w:rPr>
        <w:t xml:space="preserve">Toplam aktiflerin </w:t>
      </w:r>
      <w:r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A942A2" w:rsidRPr="00D47D5F">
        <w:rPr>
          <w:rFonts w:ascii="Arial" w:hAnsi="Arial" w:cs="Arial"/>
          <w:b/>
          <w:sz w:val="22"/>
          <w:szCs w:val="22"/>
        </w:rPr>
        <w:t>5</w:t>
      </w:r>
      <w:r w:rsidR="006F2386" w:rsidRPr="00D47D5F">
        <w:rPr>
          <w:rFonts w:ascii="Arial" w:hAnsi="Arial" w:cs="Arial"/>
          <w:b/>
          <w:sz w:val="22"/>
          <w:szCs w:val="22"/>
        </w:rPr>
        <w:t>1</w:t>
      </w:r>
      <w:r w:rsidR="00A942A2" w:rsidRPr="00D47D5F">
        <w:rPr>
          <w:rFonts w:ascii="Arial" w:hAnsi="Arial" w:cs="Arial"/>
          <w:b/>
          <w:sz w:val="22"/>
          <w:szCs w:val="22"/>
        </w:rPr>
        <w:t>’i</w:t>
      </w:r>
      <w:r w:rsidRPr="00D47D5F">
        <w:rPr>
          <w:rFonts w:ascii="Arial" w:hAnsi="Arial" w:cs="Arial"/>
          <w:b/>
          <w:sz w:val="22"/>
          <w:szCs w:val="22"/>
        </w:rPr>
        <w:t>,</w:t>
      </w:r>
      <w:r w:rsidRPr="006F2386">
        <w:rPr>
          <w:rFonts w:ascii="Arial" w:hAnsi="Arial" w:cs="Arial"/>
          <w:sz w:val="22"/>
          <w:szCs w:val="22"/>
        </w:rPr>
        <w:t xml:space="preserve"> kaynakların ise </w:t>
      </w:r>
      <w:r w:rsidRPr="00D47D5F">
        <w:rPr>
          <w:rFonts w:ascii="Arial" w:hAnsi="Arial" w:cs="Arial"/>
          <w:b/>
          <w:sz w:val="22"/>
          <w:szCs w:val="22"/>
        </w:rPr>
        <w:t xml:space="preserve">yüzde </w:t>
      </w:r>
      <w:r w:rsidR="006030EF" w:rsidRPr="00D47D5F">
        <w:rPr>
          <w:rFonts w:ascii="Arial" w:hAnsi="Arial" w:cs="Arial"/>
          <w:b/>
          <w:sz w:val="22"/>
          <w:szCs w:val="22"/>
        </w:rPr>
        <w:t>76’sı</w:t>
      </w:r>
      <w:r w:rsidRPr="006F2386">
        <w:rPr>
          <w:rFonts w:ascii="Arial" w:hAnsi="Arial" w:cs="Arial"/>
          <w:b/>
          <w:sz w:val="22"/>
          <w:szCs w:val="22"/>
        </w:rPr>
        <w:t xml:space="preserve"> </w:t>
      </w:r>
      <w:r w:rsidRPr="006F2386">
        <w:rPr>
          <w:rFonts w:ascii="Arial" w:hAnsi="Arial" w:cs="Arial"/>
          <w:sz w:val="22"/>
          <w:szCs w:val="22"/>
        </w:rPr>
        <w:t xml:space="preserve">1 yıldan daha kısa vadelidir. 5 yıl ve üzerindeki kalemlerin aktif içindeki payı </w:t>
      </w:r>
      <w:r w:rsidRPr="00D47D5F">
        <w:rPr>
          <w:rFonts w:ascii="Arial" w:hAnsi="Arial" w:cs="Arial"/>
          <w:b/>
          <w:sz w:val="22"/>
          <w:szCs w:val="22"/>
        </w:rPr>
        <w:t>yüzde</w:t>
      </w:r>
      <w:r w:rsidRPr="006F2386">
        <w:rPr>
          <w:rFonts w:ascii="Arial" w:hAnsi="Arial" w:cs="Arial"/>
          <w:sz w:val="22"/>
          <w:szCs w:val="22"/>
        </w:rPr>
        <w:t xml:space="preserve"> </w:t>
      </w:r>
      <w:r w:rsidRPr="006F2386">
        <w:rPr>
          <w:rFonts w:ascii="Arial" w:hAnsi="Arial" w:cs="Arial"/>
          <w:b/>
          <w:sz w:val="22"/>
          <w:szCs w:val="22"/>
        </w:rPr>
        <w:t>1</w:t>
      </w:r>
      <w:r w:rsidR="006F2386" w:rsidRPr="006F2386">
        <w:rPr>
          <w:rFonts w:ascii="Arial" w:hAnsi="Arial" w:cs="Arial"/>
          <w:b/>
          <w:sz w:val="22"/>
          <w:szCs w:val="22"/>
        </w:rPr>
        <w:t>4</w:t>
      </w:r>
      <w:r w:rsidRPr="006F2386">
        <w:rPr>
          <w:rFonts w:ascii="Arial" w:hAnsi="Arial" w:cs="Arial"/>
          <w:sz w:val="22"/>
          <w:szCs w:val="22"/>
        </w:rPr>
        <w:t xml:space="preserve"> seviyesinde iken, bu kalem</w:t>
      </w:r>
      <w:r w:rsidR="002B1970" w:rsidRPr="006F2386">
        <w:rPr>
          <w:rFonts w:ascii="Arial" w:hAnsi="Arial" w:cs="Arial"/>
          <w:sz w:val="22"/>
          <w:szCs w:val="22"/>
        </w:rPr>
        <w:t>ler</w:t>
      </w:r>
      <w:r w:rsidRPr="006F2386">
        <w:rPr>
          <w:rFonts w:ascii="Arial" w:hAnsi="Arial" w:cs="Arial"/>
          <w:sz w:val="22"/>
          <w:szCs w:val="22"/>
        </w:rPr>
        <w:t xml:space="preserve">in toplam pasifler içindeki payı </w:t>
      </w:r>
      <w:r w:rsidRPr="006F2386">
        <w:rPr>
          <w:rFonts w:ascii="Arial" w:hAnsi="Arial" w:cs="Arial"/>
          <w:b/>
          <w:sz w:val="22"/>
          <w:szCs w:val="22"/>
        </w:rPr>
        <w:t xml:space="preserve">yüzde 4 </w:t>
      </w:r>
      <w:r w:rsidRPr="006F2386">
        <w:rPr>
          <w:rFonts w:ascii="Arial" w:hAnsi="Arial" w:cs="Arial"/>
          <w:sz w:val="22"/>
          <w:szCs w:val="22"/>
        </w:rPr>
        <w:t>seviyesindedir.</w:t>
      </w:r>
    </w:p>
    <w:p w:rsidR="00082ACD" w:rsidRPr="006F2386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E2381" w:rsidRPr="00082ACD" w:rsidRDefault="009A38B9" w:rsidP="00082ACD">
      <w:pPr>
        <w:pStyle w:val="ListParagraph"/>
        <w:numPr>
          <w:ilvl w:val="0"/>
          <w:numId w:val="25"/>
        </w:numPr>
        <w:spacing w:before="120" w:after="12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82ACD">
        <w:rPr>
          <w:rFonts w:ascii="Arial" w:hAnsi="Arial" w:cs="Arial"/>
          <w:b/>
          <w:sz w:val="22"/>
          <w:szCs w:val="22"/>
        </w:rPr>
        <w:t>Genel B</w:t>
      </w:r>
      <w:r w:rsidR="000E2381" w:rsidRPr="00082ACD">
        <w:rPr>
          <w:rFonts w:ascii="Arial" w:hAnsi="Arial" w:cs="Arial"/>
          <w:b/>
          <w:sz w:val="22"/>
          <w:szCs w:val="22"/>
        </w:rPr>
        <w:t xml:space="preserve">ilgiler </w:t>
      </w:r>
    </w:p>
    <w:p w:rsidR="00082ACD" w:rsidRPr="00082ACD" w:rsidRDefault="00082ACD" w:rsidP="00082ACD">
      <w:pPr>
        <w:pStyle w:val="ListParagraph"/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E2381" w:rsidRPr="00D952E0" w:rsidRDefault="002D177A" w:rsidP="00012F8B">
      <w:pPr>
        <w:pStyle w:val="ListParagraph"/>
        <w:numPr>
          <w:ilvl w:val="0"/>
          <w:numId w:val="22"/>
        </w:numPr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952E0">
        <w:rPr>
          <w:rFonts w:ascii="Arial" w:hAnsi="Arial" w:cs="Arial"/>
          <w:sz w:val="22"/>
          <w:szCs w:val="22"/>
        </w:rPr>
        <w:t xml:space="preserve">Eylül </w:t>
      </w:r>
      <w:r w:rsidR="000E2381" w:rsidRPr="00D952E0">
        <w:rPr>
          <w:rFonts w:ascii="Arial" w:hAnsi="Arial" w:cs="Arial"/>
          <w:sz w:val="22"/>
          <w:szCs w:val="22"/>
        </w:rPr>
        <w:t>201</w:t>
      </w:r>
      <w:r w:rsidR="006030EF" w:rsidRPr="00D952E0">
        <w:rPr>
          <w:rFonts w:ascii="Arial" w:hAnsi="Arial" w:cs="Arial"/>
          <w:sz w:val="22"/>
          <w:szCs w:val="22"/>
        </w:rPr>
        <w:t>6</w:t>
      </w:r>
      <w:r w:rsidR="000E2381" w:rsidRPr="00D952E0">
        <w:rPr>
          <w:rFonts w:ascii="Arial" w:hAnsi="Arial" w:cs="Arial"/>
          <w:sz w:val="22"/>
          <w:szCs w:val="22"/>
        </w:rPr>
        <w:t xml:space="preserve"> itibariyle faaliyet gösteren </w:t>
      </w:r>
      <w:r w:rsidR="00082ACD">
        <w:rPr>
          <w:rFonts w:ascii="Arial" w:hAnsi="Arial" w:cs="Arial"/>
          <w:sz w:val="22"/>
          <w:szCs w:val="22"/>
        </w:rPr>
        <w:t xml:space="preserve">mevduat, kalkınma ve yatırım </w:t>
      </w:r>
      <w:r w:rsidR="000E2381" w:rsidRPr="00D952E0">
        <w:rPr>
          <w:rFonts w:ascii="Arial" w:hAnsi="Arial" w:cs="Arial"/>
          <w:sz w:val="22"/>
          <w:szCs w:val="22"/>
        </w:rPr>
        <w:t>banka</w:t>
      </w:r>
      <w:r w:rsidR="00082ACD">
        <w:rPr>
          <w:rFonts w:ascii="Arial" w:hAnsi="Arial" w:cs="Arial"/>
          <w:sz w:val="22"/>
          <w:szCs w:val="22"/>
        </w:rPr>
        <w:t>larının</w:t>
      </w:r>
      <w:r w:rsidR="000E2381" w:rsidRPr="00D952E0">
        <w:rPr>
          <w:rFonts w:ascii="Arial" w:hAnsi="Arial" w:cs="Arial"/>
          <w:sz w:val="22"/>
          <w:szCs w:val="22"/>
        </w:rPr>
        <w:t xml:space="preserve"> sayısı </w:t>
      </w:r>
      <w:r w:rsidR="000E2381" w:rsidRPr="00D952E0">
        <w:rPr>
          <w:rFonts w:ascii="Arial" w:hAnsi="Arial" w:cs="Arial"/>
          <w:b/>
          <w:sz w:val="22"/>
          <w:szCs w:val="22"/>
        </w:rPr>
        <w:t>47</w:t>
      </w:r>
      <w:r w:rsidR="000E2381" w:rsidRPr="00D952E0">
        <w:rPr>
          <w:rFonts w:ascii="Arial" w:hAnsi="Arial" w:cs="Arial"/>
          <w:sz w:val="22"/>
          <w:szCs w:val="22"/>
        </w:rPr>
        <w:t xml:space="preserve"> tanedir. Bir önceki yılın aynı ayına göre şube sayısı</w:t>
      </w:r>
      <w:r w:rsidR="006030EF" w:rsidRPr="00D952E0">
        <w:rPr>
          <w:rFonts w:ascii="Arial" w:hAnsi="Arial" w:cs="Arial"/>
          <w:sz w:val="22"/>
          <w:szCs w:val="22"/>
        </w:rPr>
        <w:t xml:space="preserve"> </w:t>
      </w:r>
      <w:r w:rsidR="00133DA8" w:rsidRPr="00D952E0">
        <w:rPr>
          <w:rFonts w:ascii="Arial" w:hAnsi="Arial" w:cs="Arial"/>
          <w:sz w:val="22"/>
          <w:szCs w:val="22"/>
        </w:rPr>
        <w:t>2</w:t>
      </w:r>
      <w:r w:rsidRPr="00D952E0">
        <w:rPr>
          <w:rFonts w:ascii="Arial" w:hAnsi="Arial" w:cs="Arial"/>
          <w:sz w:val="22"/>
          <w:szCs w:val="22"/>
        </w:rPr>
        <w:t>95</w:t>
      </w:r>
      <w:r w:rsidR="000E2381" w:rsidRPr="00D952E0">
        <w:rPr>
          <w:rFonts w:ascii="Arial" w:hAnsi="Arial" w:cs="Arial"/>
          <w:sz w:val="22"/>
          <w:szCs w:val="22"/>
        </w:rPr>
        <w:t xml:space="preserve"> adet a</w:t>
      </w:r>
      <w:r w:rsidR="006030EF" w:rsidRPr="00D952E0">
        <w:rPr>
          <w:rFonts w:ascii="Arial" w:hAnsi="Arial" w:cs="Arial"/>
          <w:sz w:val="22"/>
          <w:szCs w:val="22"/>
        </w:rPr>
        <w:t>zalarak</w:t>
      </w:r>
      <w:r w:rsidR="00133DA8" w:rsidRPr="00D952E0">
        <w:rPr>
          <w:rFonts w:ascii="Arial" w:hAnsi="Arial" w:cs="Arial"/>
          <w:b/>
          <w:sz w:val="22"/>
          <w:szCs w:val="22"/>
        </w:rPr>
        <w:t xml:space="preserve"> 1</w:t>
      </w:r>
      <w:r w:rsidRPr="00D952E0">
        <w:rPr>
          <w:rFonts w:ascii="Arial" w:hAnsi="Arial" w:cs="Arial"/>
          <w:b/>
          <w:sz w:val="22"/>
          <w:szCs w:val="22"/>
        </w:rPr>
        <w:t>0</w:t>
      </w:r>
      <w:r w:rsidR="00133DA8" w:rsidRPr="00D952E0">
        <w:rPr>
          <w:rFonts w:ascii="Arial" w:hAnsi="Arial" w:cs="Arial"/>
          <w:b/>
          <w:sz w:val="22"/>
          <w:szCs w:val="22"/>
        </w:rPr>
        <w:t>.</w:t>
      </w:r>
      <w:r w:rsidRPr="00D952E0">
        <w:rPr>
          <w:rFonts w:ascii="Arial" w:hAnsi="Arial" w:cs="Arial"/>
          <w:b/>
          <w:sz w:val="22"/>
          <w:szCs w:val="22"/>
        </w:rPr>
        <w:t>985</w:t>
      </w:r>
      <w:r w:rsidR="000E2381" w:rsidRPr="00D952E0">
        <w:rPr>
          <w:rFonts w:ascii="Arial" w:hAnsi="Arial" w:cs="Arial"/>
          <w:b/>
          <w:sz w:val="22"/>
          <w:szCs w:val="22"/>
        </w:rPr>
        <w:t>’</w:t>
      </w:r>
      <w:r w:rsidRPr="00D952E0">
        <w:rPr>
          <w:rFonts w:ascii="Arial" w:hAnsi="Arial" w:cs="Arial"/>
          <w:b/>
          <w:sz w:val="22"/>
          <w:szCs w:val="22"/>
        </w:rPr>
        <w:t>e</w:t>
      </w:r>
      <w:r w:rsidR="000E2381" w:rsidRPr="00D952E0">
        <w:rPr>
          <w:rFonts w:ascii="Arial" w:hAnsi="Arial" w:cs="Arial"/>
          <w:b/>
          <w:sz w:val="22"/>
          <w:szCs w:val="22"/>
        </w:rPr>
        <w:t xml:space="preserve"> </w:t>
      </w:r>
      <w:r w:rsidR="006030EF" w:rsidRPr="00D952E0">
        <w:rPr>
          <w:rFonts w:ascii="Arial" w:hAnsi="Arial" w:cs="Arial"/>
          <w:sz w:val="22"/>
          <w:szCs w:val="22"/>
        </w:rPr>
        <w:t>gerilemiştir</w:t>
      </w:r>
      <w:r w:rsidR="000E2381" w:rsidRPr="00D952E0">
        <w:rPr>
          <w:rFonts w:ascii="Arial" w:hAnsi="Arial" w:cs="Arial"/>
          <w:sz w:val="22"/>
          <w:szCs w:val="22"/>
        </w:rPr>
        <w:t xml:space="preserve">. Personel sayısı ise </w:t>
      </w:r>
      <w:r w:rsidRPr="00D952E0">
        <w:rPr>
          <w:rFonts w:ascii="Arial" w:hAnsi="Arial" w:cs="Arial"/>
          <w:sz w:val="22"/>
          <w:szCs w:val="22"/>
        </w:rPr>
        <w:t>3.886</w:t>
      </w:r>
      <w:r w:rsidR="00E76D74" w:rsidRPr="00D952E0">
        <w:rPr>
          <w:rFonts w:ascii="Arial" w:hAnsi="Arial" w:cs="Arial"/>
          <w:sz w:val="22"/>
          <w:szCs w:val="22"/>
        </w:rPr>
        <w:t xml:space="preserve"> </w:t>
      </w:r>
      <w:r w:rsidR="000E2381" w:rsidRPr="00D952E0">
        <w:rPr>
          <w:rFonts w:ascii="Arial" w:hAnsi="Arial" w:cs="Arial"/>
          <w:sz w:val="22"/>
          <w:szCs w:val="22"/>
        </w:rPr>
        <w:t>kişi</w:t>
      </w:r>
      <w:r w:rsidR="000E2381" w:rsidRPr="00D952E0">
        <w:rPr>
          <w:rFonts w:ascii="Arial" w:hAnsi="Arial" w:cs="Arial"/>
          <w:b/>
          <w:sz w:val="22"/>
          <w:szCs w:val="22"/>
        </w:rPr>
        <w:t xml:space="preserve"> </w:t>
      </w:r>
      <w:r w:rsidR="006030EF" w:rsidRPr="00D952E0">
        <w:rPr>
          <w:rFonts w:ascii="Arial" w:hAnsi="Arial" w:cs="Arial"/>
          <w:sz w:val="22"/>
          <w:szCs w:val="22"/>
        </w:rPr>
        <w:t xml:space="preserve">düşerek </w:t>
      </w:r>
      <w:r w:rsidRPr="00D952E0">
        <w:rPr>
          <w:rFonts w:ascii="Arial" w:hAnsi="Arial" w:cs="Arial"/>
          <w:b/>
          <w:sz w:val="22"/>
          <w:szCs w:val="22"/>
        </w:rPr>
        <w:t>197</w:t>
      </w:r>
      <w:r w:rsidR="000E2381" w:rsidRPr="00D952E0">
        <w:rPr>
          <w:rFonts w:ascii="Arial" w:hAnsi="Arial" w:cs="Arial"/>
          <w:b/>
          <w:sz w:val="22"/>
          <w:szCs w:val="22"/>
        </w:rPr>
        <w:t>.</w:t>
      </w:r>
      <w:r w:rsidRPr="00D952E0">
        <w:rPr>
          <w:rFonts w:ascii="Arial" w:hAnsi="Arial" w:cs="Arial"/>
          <w:b/>
          <w:sz w:val="22"/>
          <w:szCs w:val="22"/>
        </w:rPr>
        <w:t>719</w:t>
      </w:r>
      <w:r w:rsidR="00133DA8" w:rsidRPr="00D952E0">
        <w:rPr>
          <w:rFonts w:ascii="Arial" w:hAnsi="Arial" w:cs="Arial"/>
          <w:b/>
          <w:sz w:val="22"/>
          <w:szCs w:val="22"/>
        </w:rPr>
        <w:t>’a</w:t>
      </w:r>
      <w:r w:rsidR="000E2381" w:rsidRPr="00D952E0">
        <w:rPr>
          <w:rFonts w:ascii="Arial" w:hAnsi="Arial" w:cs="Arial"/>
          <w:b/>
          <w:sz w:val="22"/>
          <w:szCs w:val="22"/>
        </w:rPr>
        <w:t xml:space="preserve"> </w:t>
      </w:r>
      <w:r w:rsidR="006030EF" w:rsidRPr="00D952E0">
        <w:rPr>
          <w:rFonts w:ascii="Arial" w:hAnsi="Arial" w:cs="Arial"/>
          <w:sz w:val="22"/>
          <w:szCs w:val="22"/>
        </w:rPr>
        <w:t>inmiştir.</w:t>
      </w:r>
    </w:p>
    <w:p w:rsidR="00C5615B" w:rsidRPr="00D952E0" w:rsidRDefault="00C5615B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C26146" w:rsidRPr="00D952E0" w:rsidRDefault="000E2381" w:rsidP="00012F8B">
      <w:pPr>
        <w:pStyle w:val="ListParagraph"/>
        <w:numPr>
          <w:ilvl w:val="0"/>
          <w:numId w:val="22"/>
        </w:numPr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952E0">
        <w:rPr>
          <w:rFonts w:ascii="Arial" w:hAnsi="Arial" w:cs="Arial"/>
          <w:sz w:val="22"/>
          <w:szCs w:val="22"/>
        </w:rPr>
        <w:t xml:space="preserve">Ayrıca, katılım bankacılığı alanında faaliyet gösteren </w:t>
      </w:r>
      <w:r w:rsidR="009A38B9">
        <w:rPr>
          <w:rFonts w:ascii="Arial" w:hAnsi="Arial" w:cs="Arial"/>
          <w:sz w:val="22"/>
          <w:szCs w:val="22"/>
        </w:rPr>
        <w:t>beş</w:t>
      </w:r>
      <w:r w:rsidR="00874CD8" w:rsidRPr="00D952E0">
        <w:rPr>
          <w:rFonts w:ascii="Arial" w:hAnsi="Arial" w:cs="Arial"/>
          <w:sz w:val="22"/>
          <w:szCs w:val="22"/>
        </w:rPr>
        <w:t xml:space="preserve"> </w:t>
      </w:r>
      <w:r w:rsidRPr="00D952E0">
        <w:rPr>
          <w:rFonts w:ascii="Arial" w:hAnsi="Arial" w:cs="Arial"/>
          <w:sz w:val="22"/>
          <w:szCs w:val="22"/>
        </w:rPr>
        <w:t xml:space="preserve">adet banka vardır. Katılım bankalarıyla ilgili bilgilere </w:t>
      </w:r>
      <w:hyperlink r:id="rId12" w:history="1">
        <w:r w:rsidRPr="00D952E0">
          <w:rPr>
            <w:rStyle w:val="Hyperlink"/>
            <w:rFonts w:ascii="Arial" w:hAnsi="Arial" w:cs="Arial"/>
            <w:color w:val="auto"/>
            <w:sz w:val="22"/>
            <w:szCs w:val="22"/>
          </w:rPr>
          <w:t>http://www.tkbb.org.tr</w:t>
        </w:r>
      </w:hyperlink>
      <w:r w:rsidRPr="00D952E0">
        <w:rPr>
          <w:rFonts w:ascii="Arial" w:hAnsi="Arial" w:cs="Arial"/>
          <w:sz w:val="22"/>
          <w:szCs w:val="22"/>
        </w:rPr>
        <w:t xml:space="preserve"> linkinden ulaşılabilir.</w:t>
      </w:r>
    </w:p>
    <w:sectPr w:rsidR="00C26146" w:rsidRPr="00D952E0" w:rsidSect="00637337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2381" w:right="1277" w:bottom="1276" w:left="1701" w:header="1151" w:footer="431" w:gutter="0"/>
      <w:pgNumType w:fmt="lowerRoman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BB" w:rsidRDefault="00303BBB">
      <w:r>
        <w:separator/>
      </w:r>
    </w:p>
  </w:endnote>
  <w:endnote w:type="continuationSeparator" w:id="0">
    <w:p w:rsidR="00303BBB" w:rsidRDefault="00303BBB">
      <w:r>
        <w:continuationSeparator/>
      </w:r>
    </w:p>
  </w:endnote>
  <w:endnote w:type="continuationNotice" w:id="1">
    <w:p w:rsidR="00303BBB" w:rsidRDefault="00303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5A2" w:rsidRDefault="00EC25A2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Pr="00150A4B" w:rsidRDefault="00EC25A2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637337">
      <w:rPr>
        <w:rStyle w:val="PageNumber"/>
        <w:rFonts w:ascii="Arial" w:hAnsi="Arial" w:cs="Arial"/>
        <w:noProof/>
        <w:sz w:val="18"/>
        <w:szCs w:val="18"/>
      </w:rPr>
      <w:t>i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EC25A2" w:rsidRPr="00150A4B" w:rsidRDefault="00EC25A2" w:rsidP="00150A4B">
    <w:pPr>
      <w:pStyle w:val="Footer"/>
      <w:ind w:right="360"/>
      <w:rPr>
        <w:rFonts w:ascii="Arial" w:hAnsi="Arial" w:cs="Arial"/>
        <w:sz w:val="18"/>
        <w:szCs w:val="18"/>
      </w:rPr>
    </w:pPr>
    <w:r w:rsidRPr="00150A4B">
      <w:rPr>
        <w:rFonts w:ascii="Arial" w:hAnsi="Arial" w:cs="Arial"/>
        <w:sz w:val="18"/>
        <w:szCs w:val="18"/>
      </w:rPr>
      <w:t>TBB/İstatistiki Raporlar/Üç Aylık B</w:t>
    </w:r>
    <w:r>
      <w:rPr>
        <w:rFonts w:ascii="Arial" w:hAnsi="Arial" w:cs="Arial"/>
        <w:sz w:val="18"/>
        <w:szCs w:val="18"/>
      </w:rPr>
      <w:t>an</w:t>
    </w:r>
    <w:r w:rsidR="0002321F">
      <w:rPr>
        <w:rFonts w:ascii="Arial" w:hAnsi="Arial" w:cs="Arial"/>
        <w:sz w:val="18"/>
        <w:szCs w:val="18"/>
      </w:rPr>
      <w:t>kac</w:t>
    </w:r>
    <w:r w:rsidR="00D703EA">
      <w:rPr>
        <w:rFonts w:ascii="Arial" w:hAnsi="Arial" w:cs="Arial"/>
        <w:sz w:val="18"/>
        <w:szCs w:val="18"/>
      </w:rPr>
      <w:t>ılık Sektörü Bilgileri</w:t>
    </w:r>
    <w:r w:rsidR="003C25CA">
      <w:rPr>
        <w:rFonts w:ascii="Arial" w:hAnsi="Arial" w:cs="Arial"/>
        <w:sz w:val="18"/>
        <w:szCs w:val="18"/>
      </w:rPr>
      <w:t xml:space="preserve"> </w:t>
    </w:r>
    <w:r w:rsidR="000A6FF3">
      <w:rPr>
        <w:rFonts w:ascii="Arial" w:hAnsi="Arial" w:cs="Arial"/>
        <w:sz w:val="18"/>
        <w:szCs w:val="18"/>
      </w:rPr>
      <w:t>Eylül</w:t>
    </w:r>
    <w:r w:rsidR="003C25CA">
      <w:rPr>
        <w:rFonts w:ascii="Arial" w:hAnsi="Arial" w:cs="Arial"/>
        <w:sz w:val="18"/>
        <w:szCs w:val="18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BB" w:rsidRDefault="00303BBB">
      <w:r>
        <w:separator/>
      </w:r>
    </w:p>
  </w:footnote>
  <w:footnote w:type="continuationSeparator" w:id="0">
    <w:p w:rsidR="00303BBB" w:rsidRDefault="00303BBB">
      <w:r>
        <w:continuationSeparator/>
      </w:r>
    </w:p>
  </w:footnote>
  <w:footnote w:type="continuationNotice" w:id="1">
    <w:p w:rsidR="00303BBB" w:rsidRDefault="00303BBB"/>
  </w:footnote>
  <w:footnote w:id="2">
    <w:p w:rsidR="00EC25A2" w:rsidRPr="0043078B" w:rsidRDefault="00EC25A2" w:rsidP="00F56C3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43078B">
        <w:rPr>
          <w:rFonts w:ascii="Arial" w:hAnsi="Arial" w:cs="Arial"/>
          <w:sz w:val="18"/>
          <w:szCs w:val="18"/>
        </w:rPr>
        <w:t xml:space="preserve"> Mevduat bankalarıyla kalkınma ve yatırım bankalarını (KYB) kapsamaktadır.</w:t>
      </w:r>
    </w:p>
  </w:footnote>
  <w:footnote w:id="3">
    <w:p w:rsidR="000E2381" w:rsidRPr="00C06DDF" w:rsidRDefault="000E2381" w:rsidP="00C06DDF">
      <w:pPr>
        <w:jc w:val="both"/>
        <w:rPr>
          <w:rFonts w:ascii="Arial" w:hAnsi="Arial" w:cs="Arial"/>
          <w:sz w:val="18"/>
          <w:szCs w:val="22"/>
        </w:rPr>
      </w:pPr>
      <w:r w:rsidRPr="00835134">
        <w:rPr>
          <w:rStyle w:val="FootnoteReference"/>
          <w:rFonts w:ascii="Arial" w:hAnsi="Arial" w:cs="Arial"/>
          <w:sz w:val="18"/>
          <w:szCs w:val="18"/>
        </w:rPr>
        <w:footnoteRef/>
      </w:r>
      <w:r w:rsidRPr="00835134">
        <w:rPr>
          <w:rFonts w:ascii="Arial" w:hAnsi="Arial" w:cs="Arial"/>
          <w:sz w:val="18"/>
          <w:szCs w:val="18"/>
        </w:rPr>
        <w:t xml:space="preserve"> </w:t>
      </w:r>
      <w:r w:rsidRPr="00835134">
        <w:rPr>
          <w:rFonts w:ascii="Arial" w:hAnsi="Arial" w:cs="Arial"/>
          <w:sz w:val="18"/>
          <w:szCs w:val="22"/>
        </w:rPr>
        <w:t xml:space="preserve">Sektör ile banka grupları arasında kredi/mevduat oranındaki farklılıklar, mevduat toplamayan kalkınma ve yatırım bankalarının kredilerinden kaynaklanmaktadır. </w:t>
      </w:r>
    </w:p>
  </w:footnote>
  <w:footnote w:id="4">
    <w:p w:rsidR="00C06DDF" w:rsidRPr="00C06DDF" w:rsidRDefault="00C06DDF">
      <w:pPr>
        <w:pStyle w:val="FootnoteText"/>
        <w:rPr>
          <w:rFonts w:ascii="Arial" w:hAnsi="Arial" w:cs="Arial"/>
        </w:rPr>
      </w:pPr>
      <w:r w:rsidRPr="00C06DDF">
        <w:rPr>
          <w:rStyle w:val="FootnoteReference"/>
          <w:rFonts w:ascii="Arial" w:hAnsi="Arial" w:cs="Arial"/>
          <w:sz w:val="18"/>
        </w:rPr>
        <w:footnoteRef/>
      </w:r>
      <w:r w:rsidRPr="00C06DDF">
        <w:rPr>
          <w:rFonts w:ascii="Arial" w:hAnsi="Arial" w:cs="Arial"/>
          <w:sz w:val="18"/>
        </w:rPr>
        <w:t xml:space="preserve"> Dönem başı ve dönem sonu ortalamasıdır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77508A57" wp14:editId="67D8154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7B43CCC" wp14:editId="088D4451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A123D"/>
    <w:multiLevelType w:val="hybridMultilevel"/>
    <w:tmpl w:val="35FEA3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556EC6"/>
    <w:multiLevelType w:val="hybridMultilevel"/>
    <w:tmpl w:val="F398A85A"/>
    <w:lvl w:ilvl="0" w:tplc="2B582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EA7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9862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2DD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260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CD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CF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D2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EAD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06634"/>
    <w:multiLevelType w:val="hybridMultilevel"/>
    <w:tmpl w:val="03A63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20"/>
  </w:num>
  <w:num w:numId="8">
    <w:abstractNumId w:val="3"/>
  </w:num>
  <w:num w:numId="9">
    <w:abstractNumId w:val="19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6"/>
  </w:num>
  <w:num w:numId="15">
    <w:abstractNumId w:val="17"/>
  </w:num>
  <w:num w:numId="16">
    <w:abstractNumId w:val="18"/>
  </w:num>
  <w:num w:numId="17">
    <w:abstractNumId w:val="0"/>
  </w:num>
  <w:num w:numId="18">
    <w:abstractNumId w:val="4"/>
  </w:num>
  <w:num w:numId="19">
    <w:abstractNumId w:val="15"/>
  </w:num>
  <w:num w:numId="20">
    <w:abstractNumId w:val="23"/>
  </w:num>
  <w:num w:numId="21">
    <w:abstractNumId w:val="10"/>
  </w:num>
  <w:num w:numId="22">
    <w:abstractNumId w:val="24"/>
  </w:num>
  <w:num w:numId="23">
    <w:abstractNumId w:val="8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628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2F8B"/>
    <w:rsid w:val="00015DC6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35B7"/>
    <w:rsid w:val="000445E2"/>
    <w:rsid w:val="000463F7"/>
    <w:rsid w:val="00046765"/>
    <w:rsid w:val="00050BEE"/>
    <w:rsid w:val="00050DA0"/>
    <w:rsid w:val="000510A6"/>
    <w:rsid w:val="0005252A"/>
    <w:rsid w:val="0006000E"/>
    <w:rsid w:val="000601DB"/>
    <w:rsid w:val="00061AB1"/>
    <w:rsid w:val="00061BE5"/>
    <w:rsid w:val="00063096"/>
    <w:rsid w:val="00063DD6"/>
    <w:rsid w:val="0006577C"/>
    <w:rsid w:val="00065D30"/>
    <w:rsid w:val="00067586"/>
    <w:rsid w:val="0006776F"/>
    <w:rsid w:val="00071922"/>
    <w:rsid w:val="0007418F"/>
    <w:rsid w:val="000753BC"/>
    <w:rsid w:val="00075ACB"/>
    <w:rsid w:val="00075DBF"/>
    <w:rsid w:val="00077A58"/>
    <w:rsid w:val="000811AE"/>
    <w:rsid w:val="00081CCD"/>
    <w:rsid w:val="00082ACD"/>
    <w:rsid w:val="00083580"/>
    <w:rsid w:val="00085D08"/>
    <w:rsid w:val="00086B44"/>
    <w:rsid w:val="0008765B"/>
    <w:rsid w:val="000879F2"/>
    <w:rsid w:val="000908AB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6FF3"/>
    <w:rsid w:val="000A70E6"/>
    <w:rsid w:val="000B01DA"/>
    <w:rsid w:val="000B143A"/>
    <w:rsid w:val="000B34A0"/>
    <w:rsid w:val="000B4337"/>
    <w:rsid w:val="000B4601"/>
    <w:rsid w:val="000B5928"/>
    <w:rsid w:val="000B6BA1"/>
    <w:rsid w:val="000C0B54"/>
    <w:rsid w:val="000C1903"/>
    <w:rsid w:val="000C1C7E"/>
    <w:rsid w:val="000C1F53"/>
    <w:rsid w:val="000C2C6E"/>
    <w:rsid w:val="000C2D9B"/>
    <w:rsid w:val="000C3218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22327"/>
    <w:rsid w:val="00122E2E"/>
    <w:rsid w:val="0012491B"/>
    <w:rsid w:val="00125017"/>
    <w:rsid w:val="00125443"/>
    <w:rsid w:val="00131823"/>
    <w:rsid w:val="00133DA8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BAC"/>
    <w:rsid w:val="0018089A"/>
    <w:rsid w:val="00180DAB"/>
    <w:rsid w:val="001828AC"/>
    <w:rsid w:val="00182C9E"/>
    <w:rsid w:val="001835B2"/>
    <w:rsid w:val="00187D4E"/>
    <w:rsid w:val="00191F07"/>
    <w:rsid w:val="00194709"/>
    <w:rsid w:val="00195E9D"/>
    <w:rsid w:val="0019696E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C04BB"/>
    <w:rsid w:val="001C2CFD"/>
    <w:rsid w:val="001C42E9"/>
    <w:rsid w:val="001C6139"/>
    <w:rsid w:val="001C6255"/>
    <w:rsid w:val="001C74EA"/>
    <w:rsid w:val="001C7B29"/>
    <w:rsid w:val="001D051F"/>
    <w:rsid w:val="001D05D0"/>
    <w:rsid w:val="001D13FD"/>
    <w:rsid w:val="001D2E7D"/>
    <w:rsid w:val="001D4FE9"/>
    <w:rsid w:val="001D7D3E"/>
    <w:rsid w:val="001E228E"/>
    <w:rsid w:val="001E73D9"/>
    <w:rsid w:val="001F16BE"/>
    <w:rsid w:val="001F2AB3"/>
    <w:rsid w:val="001F4A5C"/>
    <w:rsid w:val="001F4C7F"/>
    <w:rsid w:val="001F5DBF"/>
    <w:rsid w:val="001F5F13"/>
    <w:rsid w:val="0020333F"/>
    <w:rsid w:val="00203C7D"/>
    <w:rsid w:val="00206936"/>
    <w:rsid w:val="00207DB5"/>
    <w:rsid w:val="00211742"/>
    <w:rsid w:val="00211C89"/>
    <w:rsid w:val="00212541"/>
    <w:rsid w:val="0021772C"/>
    <w:rsid w:val="00217832"/>
    <w:rsid w:val="0022175F"/>
    <w:rsid w:val="00222299"/>
    <w:rsid w:val="002224FB"/>
    <w:rsid w:val="00224A0A"/>
    <w:rsid w:val="00225997"/>
    <w:rsid w:val="00230002"/>
    <w:rsid w:val="00230DCA"/>
    <w:rsid w:val="0023180D"/>
    <w:rsid w:val="00232A50"/>
    <w:rsid w:val="002334D5"/>
    <w:rsid w:val="0023445A"/>
    <w:rsid w:val="00237497"/>
    <w:rsid w:val="0024522A"/>
    <w:rsid w:val="0024544F"/>
    <w:rsid w:val="00245C28"/>
    <w:rsid w:val="002503E1"/>
    <w:rsid w:val="00251274"/>
    <w:rsid w:val="00254778"/>
    <w:rsid w:val="0025486A"/>
    <w:rsid w:val="00254A3B"/>
    <w:rsid w:val="0025628B"/>
    <w:rsid w:val="00260664"/>
    <w:rsid w:val="00260B58"/>
    <w:rsid w:val="00260E00"/>
    <w:rsid w:val="00261591"/>
    <w:rsid w:val="00261CF1"/>
    <w:rsid w:val="00262377"/>
    <w:rsid w:val="002659B2"/>
    <w:rsid w:val="00266803"/>
    <w:rsid w:val="002749B5"/>
    <w:rsid w:val="002754BE"/>
    <w:rsid w:val="002755B6"/>
    <w:rsid w:val="00275616"/>
    <w:rsid w:val="00276405"/>
    <w:rsid w:val="00285C69"/>
    <w:rsid w:val="00290664"/>
    <w:rsid w:val="002910A9"/>
    <w:rsid w:val="002918BD"/>
    <w:rsid w:val="002940B0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6850"/>
    <w:rsid w:val="002B1970"/>
    <w:rsid w:val="002B197B"/>
    <w:rsid w:val="002B1A91"/>
    <w:rsid w:val="002B36CC"/>
    <w:rsid w:val="002C20BB"/>
    <w:rsid w:val="002C21F3"/>
    <w:rsid w:val="002C3712"/>
    <w:rsid w:val="002C3ED8"/>
    <w:rsid w:val="002C7DDB"/>
    <w:rsid w:val="002D0822"/>
    <w:rsid w:val="002D0DE5"/>
    <w:rsid w:val="002D130A"/>
    <w:rsid w:val="002D177A"/>
    <w:rsid w:val="002D2756"/>
    <w:rsid w:val="002D3980"/>
    <w:rsid w:val="002D3AFC"/>
    <w:rsid w:val="002D5069"/>
    <w:rsid w:val="002D7A9D"/>
    <w:rsid w:val="002E2194"/>
    <w:rsid w:val="002E37C4"/>
    <w:rsid w:val="002E6204"/>
    <w:rsid w:val="002E6743"/>
    <w:rsid w:val="002E729A"/>
    <w:rsid w:val="002F34E9"/>
    <w:rsid w:val="002F4CD8"/>
    <w:rsid w:val="003006EF"/>
    <w:rsid w:val="0030136D"/>
    <w:rsid w:val="003014E8"/>
    <w:rsid w:val="00303244"/>
    <w:rsid w:val="00303BBB"/>
    <w:rsid w:val="00305753"/>
    <w:rsid w:val="00305757"/>
    <w:rsid w:val="00306747"/>
    <w:rsid w:val="00312173"/>
    <w:rsid w:val="003163D5"/>
    <w:rsid w:val="00326ED8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477E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4419"/>
    <w:rsid w:val="003B5786"/>
    <w:rsid w:val="003B60E7"/>
    <w:rsid w:val="003B622B"/>
    <w:rsid w:val="003B7722"/>
    <w:rsid w:val="003C25CA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A79"/>
    <w:rsid w:val="003F5C3C"/>
    <w:rsid w:val="003F60E2"/>
    <w:rsid w:val="003F6571"/>
    <w:rsid w:val="003F6D0B"/>
    <w:rsid w:val="00400B5C"/>
    <w:rsid w:val="004017C3"/>
    <w:rsid w:val="0040486F"/>
    <w:rsid w:val="004102AE"/>
    <w:rsid w:val="004105D3"/>
    <w:rsid w:val="00410FEE"/>
    <w:rsid w:val="00412035"/>
    <w:rsid w:val="004127D7"/>
    <w:rsid w:val="00414B9F"/>
    <w:rsid w:val="00416474"/>
    <w:rsid w:val="00416F67"/>
    <w:rsid w:val="00420C40"/>
    <w:rsid w:val="00421689"/>
    <w:rsid w:val="0042259E"/>
    <w:rsid w:val="00423136"/>
    <w:rsid w:val="00424298"/>
    <w:rsid w:val="004247CC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4B5F"/>
    <w:rsid w:val="00455529"/>
    <w:rsid w:val="00456A62"/>
    <w:rsid w:val="0046177E"/>
    <w:rsid w:val="00462089"/>
    <w:rsid w:val="00463568"/>
    <w:rsid w:val="004654B5"/>
    <w:rsid w:val="00466055"/>
    <w:rsid w:val="00470F99"/>
    <w:rsid w:val="00471727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4279"/>
    <w:rsid w:val="00485FDC"/>
    <w:rsid w:val="00486730"/>
    <w:rsid w:val="00486C4D"/>
    <w:rsid w:val="00494876"/>
    <w:rsid w:val="00497A10"/>
    <w:rsid w:val="00497A9E"/>
    <w:rsid w:val="004A0A64"/>
    <w:rsid w:val="004A1F60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3AC4"/>
    <w:rsid w:val="004D403E"/>
    <w:rsid w:val="004D4232"/>
    <w:rsid w:val="004D512B"/>
    <w:rsid w:val="004D5CF1"/>
    <w:rsid w:val="004D787D"/>
    <w:rsid w:val="004D7B77"/>
    <w:rsid w:val="004E14E4"/>
    <w:rsid w:val="004E2606"/>
    <w:rsid w:val="004E2F0D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44E5"/>
    <w:rsid w:val="004F4A02"/>
    <w:rsid w:val="004F5487"/>
    <w:rsid w:val="004F5921"/>
    <w:rsid w:val="004F712D"/>
    <w:rsid w:val="005018EA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46AE"/>
    <w:rsid w:val="00536AD5"/>
    <w:rsid w:val="00537C3F"/>
    <w:rsid w:val="00537E7E"/>
    <w:rsid w:val="00541E6B"/>
    <w:rsid w:val="0054289A"/>
    <w:rsid w:val="00546246"/>
    <w:rsid w:val="00551550"/>
    <w:rsid w:val="00551C6A"/>
    <w:rsid w:val="00551FB3"/>
    <w:rsid w:val="00552B31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870"/>
    <w:rsid w:val="00575D4D"/>
    <w:rsid w:val="005762DD"/>
    <w:rsid w:val="00577367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A7706"/>
    <w:rsid w:val="005B0140"/>
    <w:rsid w:val="005B05D6"/>
    <w:rsid w:val="005B10BD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5114"/>
    <w:rsid w:val="005F04CA"/>
    <w:rsid w:val="005F15D0"/>
    <w:rsid w:val="005F213D"/>
    <w:rsid w:val="005F2667"/>
    <w:rsid w:val="005F66FE"/>
    <w:rsid w:val="006030EF"/>
    <w:rsid w:val="0060474C"/>
    <w:rsid w:val="00604C5F"/>
    <w:rsid w:val="00607397"/>
    <w:rsid w:val="00607C2D"/>
    <w:rsid w:val="00611335"/>
    <w:rsid w:val="00611613"/>
    <w:rsid w:val="006117B9"/>
    <w:rsid w:val="0061192F"/>
    <w:rsid w:val="00613233"/>
    <w:rsid w:val="00614B08"/>
    <w:rsid w:val="00614B29"/>
    <w:rsid w:val="00615431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3517"/>
    <w:rsid w:val="0063456B"/>
    <w:rsid w:val="0063485E"/>
    <w:rsid w:val="006360B8"/>
    <w:rsid w:val="0063687C"/>
    <w:rsid w:val="00637337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5540E"/>
    <w:rsid w:val="00661190"/>
    <w:rsid w:val="006627DB"/>
    <w:rsid w:val="00665004"/>
    <w:rsid w:val="006666E6"/>
    <w:rsid w:val="00666EB4"/>
    <w:rsid w:val="00666F64"/>
    <w:rsid w:val="0066712B"/>
    <w:rsid w:val="00667D87"/>
    <w:rsid w:val="006700E1"/>
    <w:rsid w:val="00671675"/>
    <w:rsid w:val="00673368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316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E2E9F"/>
    <w:rsid w:val="006E6098"/>
    <w:rsid w:val="006E6362"/>
    <w:rsid w:val="006F2386"/>
    <w:rsid w:val="006F6C26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D11"/>
    <w:rsid w:val="0072311B"/>
    <w:rsid w:val="00725158"/>
    <w:rsid w:val="00727469"/>
    <w:rsid w:val="00730ED9"/>
    <w:rsid w:val="00731499"/>
    <w:rsid w:val="007345F2"/>
    <w:rsid w:val="00735AF8"/>
    <w:rsid w:val="00736644"/>
    <w:rsid w:val="00736ED1"/>
    <w:rsid w:val="00737D21"/>
    <w:rsid w:val="00737DCB"/>
    <w:rsid w:val="007406A6"/>
    <w:rsid w:val="007419B4"/>
    <w:rsid w:val="00742F2B"/>
    <w:rsid w:val="0074470B"/>
    <w:rsid w:val="00745565"/>
    <w:rsid w:val="00746D32"/>
    <w:rsid w:val="007526D0"/>
    <w:rsid w:val="00755393"/>
    <w:rsid w:val="00755D03"/>
    <w:rsid w:val="007562F5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E52"/>
    <w:rsid w:val="0078217B"/>
    <w:rsid w:val="007826A3"/>
    <w:rsid w:val="00783920"/>
    <w:rsid w:val="00784814"/>
    <w:rsid w:val="00784A1E"/>
    <w:rsid w:val="00790245"/>
    <w:rsid w:val="00791324"/>
    <w:rsid w:val="007913B0"/>
    <w:rsid w:val="00791D09"/>
    <w:rsid w:val="00793279"/>
    <w:rsid w:val="00793ECE"/>
    <w:rsid w:val="00794FAA"/>
    <w:rsid w:val="0079549C"/>
    <w:rsid w:val="007964CC"/>
    <w:rsid w:val="007A16D8"/>
    <w:rsid w:val="007A3257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4322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3E67"/>
    <w:rsid w:val="007F469B"/>
    <w:rsid w:val="007F47D4"/>
    <w:rsid w:val="007F4850"/>
    <w:rsid w:val="007F49D8"/>
    <w:rsid w:val="007F4A76"/>
    <w:rsid w:val="007F5D24"/>
    <w:rsid w:val="00800C4D"/>
    <w:rsid w:val="00801364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1D7B"/>
    <w:rsid w:val="00814028"/>
    <w:rsid w:val="008153CD"/>
    <w:rsid w:val="00817885"/>
    <w:rsid w:val="0081788A"/>
    <w:rsid w:val="008258D7"/>
    <w:rsid w:val="00825E65"/>
    <w:rsid w:val="00830114"/>
    <w:rsid w:val="0083217D"/>
    <w:rsid w:val="00833A0A"/>
    <w:rsid w:val="00833E8B"/>
    <w:rsid w:val="0083577B"/>
    <w:rsid w:val="008369CA"/>
    <w:rsid w:val="00836EB5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4CD8"/>
    <w:rsid w:val="00876518"/>
    <w:rsid w:val="00880C54"/>
    <w:rsid w:val="00880CB4"/>
    <w:rsid w:val="00881A93"/>
    <w:rsid w:val="00885E1E"/>
    <w:rsid w:val="008861B0"/>
    <w:rsid w:val="00887ADA"/>
    <w:rsid w:val="00890AAF"/>
    <w:rsid w:val="00892A5F"/>
    <w:rsid w:val="00892CF6"/>
    <w:rsid w:val="008964A8"/>
    <w:rsid w:val="0089716D"/>
    <w:rsid w:val="008974BF"/>
    <w:rsid w:val="008A1D59"/>
    <w:rsid w:val="008A71FB"/>
    <w:rsid w:val="008A78DE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1B4F"/>
    <w:rsid w:val="008C3653"/>
    <w:rsid w:val="008C4221"/>
    <w:rsid w:val="008C55E1"/>
    <w:rsid w:val="008C6307"/>
    <w:rsid w:val="008C758A"/>
    <w:rsid w:val="008C7E48"/>
    <w:rsid w:val="008D1679"/>
    <w:rsid w:val="008D1D5E"/>
    <w:rsid w:val="008D4D0C"/>
    <w:rsid w:val="008D4E65"/>
    <w:rsid w:val="008D52B7"/>
    <w:rsid w:val="008D6852"/>
    <w:rsid w:val="008E1454"/>
    <w:rsid w:val="008E32DB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3F80"/>
    <w:rsid w:val="00924635"/>
    <w:rsid w:val="0092485A"/>
    <w:rsid w:val="009267BF"/>
    <w:rsid w:val="00930047"/>
    <w:rsid w:val="00935006"/>
    <w:rsid w:val="00940242"/>
    <w:rsid w:val="00940D54"/>
    <w:rsid w:val="00943608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24AE"/>
    <w:rsid w:val="00975B71"/>
    <w:rsid w:val="00975E31"/>
    <w:rsid w:val="00976105"/>
    <w:rsid w:val="009767FB"/>
    <w:rsid w:val="00983868"/>
    <w:rsid w:val="00983A3D"/>
    <w:rsid w:val="00986319"/>
    <w:rsid w:val="009901C0"/>
    <w:rsid w:val="0099062F"/>
    <w:rsid w:val="00990778"/>
    <w:rsid w:val="0099172A"/>
    <w:rsid w:val="00992E84"/>
    <w:rsid w:val="0099355B"/>
    <w:rsid w:val="00994241"/>
    <w:rsid w:val="00994CC4"/>
    <w:rsid w:val="009958CE"/>
    <w:rsid w:val="009A0646"/>
    <w:rsid w:val="009A1083"/>
    <w:rsid w:val="009A17FE"/>
    <w:rsid w:val="009A1BE7"/>
    <w:rsid w:val="009A38B9"/>
    <w:rsid w:val="009A45C6"/>
    <w:rsid w:val="009A565D"/>
    <w:rsid w:val="009A7A59"/>
    <w:rsid w:val="009B0446"/>
    <w:rsid w:val="009B0D31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2255"/>
    <w:rsid w:val="009E2E86"/>
    <w:rsid w:val="009E354E"/>
    <w:rsid w:val="009E4B22"/>
    <w:rsid w:val="009E6161"/>
    <w:rsid w:val="009F1914"/>
    <w:rsid w:val="009F25A5"/>
    <w:rsid w:val="009F3E29"/>
    <w:rsid w:val="009F78D3"/>
    <w:rsid w:val="00A02C0C"/>
    <w:rsid w:val="00A0306E"/>
    <w:rsid w:val="00A0461F"/>
    <w:rsid w:val="00A05BB6"/>
    <w:rsid w:val="00A07355"/>
    <w:rsid w:val="00A10CD9"/>
    <w:rsid w:val="00A111E4"/>
    <w:rsid w:val="00A11428"/>
    <w:rsid w:val="00A11798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74B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4956"/>
    <w:rsid w:val="00AA4A24"/>
    <w:rsid w:val="00AA5B72"/>
    <w:rsid w:val="00AA637E"/>
    <w:rsid w:val="00AA6F78"/>
    <w:rsid w:val="00AB0E3B"/>
    <w:rsid w:val="00AB2236"/>
    <w:rsid w:val="00AB45AE"/>
    <w:rsid w:val="00AC095A"/>
    <w:rsid w:val="00AC1A06"/>
    <w:rsid w:val="00AC2261"/>
    <w:rsid w:val="00AC255A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7E6"/>
    <w:rsid w:val="00B13A78"/>
    <w:rsid w:val="00B15FB7"/>
    <w:rsid w:val="00B31587"/>
    <w:rsid w:val="00B317F5"/>
    <w:rsid w:val="00B33B8F"/>
    <w:rsid w:val="00B34A19"/>
    <w:rsid w:val="00B36C62"/>
    <w:rsid w:val="00B377A8"/>
    <w:rsid w:val="00B37B11"/>
    <w:rsid w:val="00B40D73"/>
    <w:rsid w:val="00B42401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2739"/>
    <w:rsid w:val="00BA34C9"/>
    <w:rsid w:val="00BA365D"/>
    <w:rsid w:val="00BA3FC9"/>
    <w:rsid w:val="00BA4A6A"/>
    <w:rsid w:val="00BA4B73"/>
    <w:rsid w:val="00BA5F04"/>
    <w:rsid w:val="00BA6D98"/>
    <w:rsid w:val="00BB21A0"/>
    <w:rsid w:val="00BB2A2E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D0C9A"/>
    <w:rsid w:val="00BD161D"/>
    <w:rsid w:val="00BD1A9A"/>
    <w:rsid w:val="00BD3A4A"/>
    <w:rsid w:val="00BD47B6"/>
    <w:rsid w:val="00BD4A48"/>
    <w:rsid w:val="00BD4CEB"/>
    <w:rsid w:val="00BD5557"/>
    <w:rsid w:val="00BD5DEB"/>
    <w:rsid w:val="00BE0DD8"/>
    <w:rsid w:val="00BE2B5E"/>
    <w:rsid w:val="00BE36A8"/>
    <w:rsid w:val="00BE37B1"/>
    <w:rsid w:val="00BE3E8F"/>
    <w:rsid w:val="00BE600B"/>
    <w:rsid w:val="00BF08C3"/>
    <w:rsid w:val="00BF0CF2"/>
    <w:rsid w:val="00BF1B83"/>
    <w:rsid w:val="00BF487D"/>
    <w:rsid w:val="00BF4B3C"/>
    <w:rsid w:val="00BF4D49"/>
    <w:rsid w:val="00BF65A3"/>
    <w:rsid w:val="00C06DDF"/>
    <w:rsid w:val="00C07016"/>
    <w:rsid w:val="00C07F29"/>
    <w:rsid w:val="00C12B21"/>
    <w:rsid w:val="00C146FC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671CC"/>
    <w:rsid w:val="00C67F6E"/>
    <w:rsid w:val="00C70614"/>
    <w:rsid w:val="00C706C0"/>
    <w:rsid w:val="00C717DA"/>
    <w:rsid w:val="00C726B6"/>
    <w:rsid w:val="00C7284E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A1960"/>
    <w:rsid w:val="00CA2C05"/>
    <w:rsid w:val="00CA3A29"/>
    <w:rsid w:val="00CA4467"/>
    <w:rsid w:val="00CA5407"/>
    <w:rsid w:val="00CA5BE0"/>
    <w:rsid w:val="00CA686D"/>
    <w:rsid w:val="00CA7C03"/>
    <w:rsid w:val="00CA7DCA"/>
    <w:rsid w:val="00CB08C3"/>
    <w:rsid w:val="00CB11EF"/>
    <w:rsid w:val="00CB3CEB"/>
    <w:rsid w:val="00CB5931"/>
    <w:rsid w:val="00CB59D5"/>
    <w:rsid w:val="00CC04EF"/>
    <w:rsid w:val="00CC0673"/>
    <w:rsid w:val="00CC06CF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779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331FB"/>
    <w:rsid w:val="00D35895"/>
    <w:rsid w:val="00D35F3A"/>
    <w:rsid w:val="00D36FCA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5EE"/>
    <w:rsid w:val="00D4761D"/>
    <w:rsid w:val="00D4783B"/>
    <w:rsid w:val="00D47D5F"/>
    <w:rsid w:val="00D519DD"/>
    <w:rsid w:val="00D5265B"/>
    <w:rsid w:val="00D52A7D"/>
    <w:rsid w:val="00D52E38"/>
    <w:rsid w:val="00D558A6"/>
    <w:rsid w:val="00D604F9"/>
    <w:rsid w:val="00D60964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F95"/>
    <w:rsid w:val="00D7503A"/>
    <w:rsid w:val="00D76398"/>
    <w:rsid w:val="00D7761B"/>
    <w:rsid w:val="00D83ED7"/>
    <w:rsid w:val="00D84A5A"/>
    <w:rsid w:val="00D85D1A"/>
    <w:rsid w:val="00D863F0"/>
    <w:rsid w:val="00D86FD4"/>
    <w:rsid w:val="00D91397"/>
    <w:rsid w:val="00D914EF"/>
    <w:rsid w:val="00D91F0A"/>
    <w:rsid w:val="00D9276D"/>
    <w:rsid w:val="00D92975"/>
    <w:rsid w:val="00D94329"/>
    <w:rsid w:val="00D952E0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64C0"/>
    <w:rsid w:val="00DA74D8"/>
    <w:rsid w:val="00DB106B"/>
    <w:rsid w:val="00DB22DA"/>
    <w:rsid w:val="00DB3611"/>
    <w:rsid w:val="00DB3CC7"/>
    <w:rsid w:val="00DB3EA8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CF4"/>
    <w:rsid w:val="00DF4199"/>
    <w:rsid w:val="00DF441B"/>
    <w:rsid w:val="00DF5784"/>
    <w:rsid w:val="00DF645B"/>
    <w:rsid w:val="00DF70D1"/>
    <w:rsid w:val="00E00204"/>
    <w:rsid w:val="00E008B9"/>
    <w:rsid w:val="00E017AF"/>
    <w:rsid w:val="00E019DC"/>
    <w:rsid w:val="00E05555"/>
    <w:rsid w:val="00E075F4"/>
    <w:rsid w:val="00E12819"/>
    <w:rsid w:val="00E13102"/>
    <w:rsid w:val="00E1311E"/>
    <w:rsid w:val="00E145F6"/>
    <w:rsid w:val="00E14B3C"/>
    <w:rsid w:val="00E15BA7"/>
    <w:rsid w:val="00E15E50"/>
    <w:rsid w:val="00E17124"/>
    <w:rsid w:val="00E2281D"/>
    <w:rsid w:val="00E23236"/>
    <w:rsid w:val="00E23D82"/>
    <w:rsid w:val="00E24C3D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7C5B"/>
    <w:rsid w:val="00E42234"/>
    <w:rsid w:val="00E42399"/>
    <w:rsid w:val="00E4415B"/>
    <w:rsid w:val="00E4559E"/>
    <w:rsid w:val="00E462C4"/>
    <w:rsid w:val="00E51216"/>
    <w:rsid w:val="00E51D32"/>
    <w:rsid w:val="00E54AA9"/>
    <w:rsid w:val="00E5647E"/>
    <w:rsid w:val="00E5762C"/>
    <w:rsid w:val="00E57954"/>
    <w:rsid w:val="00E602BB"/>
    <w:rsid w:val="00E610B2"/>
    <w:rsid w:val="00E6119C"/>
    <w:rsid w:val="00E64F7D"/>
    <w:rsid w:val="00E65B86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34F5"/>
    <w:rsid w:val="00E87A97"/>
    <w:rsid w:val="00E906A4"/>
    <w:rsid w:val="00E919F8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5DC0"/>
    <w:rsid w:val="00EC1FF0"/>
    <w:rsid w:val="00EC25A2"/>
    <w:rsid w:val="00EC3F9C"/>
    <w:rsid w:val="00EC6667"/>
    <w:rsid w:val="00ED0EA7"/>
    <w:rsid w:val="00ED19E4"/>
    <w:rsid w:val="00ED1D2F"/>
    <w:rsid w:val="00ED25BB"/>
    <w:rsid w:val="00ED46DE"/>
    <w:rsid w:val="00ED4714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335"/>
    <w:rsid w:val="00EF05D2"/>
    <w:rsid w:val="00EF079A"/>
    <w:rsid w:val="00EF0855"/>
    <w:rsid w:val="00EF23B4"/>
    <w:rsid w:val="00EF4098"/>
    <w:rsid w:val="00EF4509"/>
    <w:rsid w:val="00EF6083"/>
    <w:rsid w:val="00EF723C"/>
    <w:rsid w:val="00F00142"/>
    <w:rsid w:val="00F028F4"/>
    <w:rsid w:val="00F032A1"/>
    <w:rsid w:val="00F03BDC"/>
    <w:rsid w:val="00F03E1F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2CF2"/>
    <w:rsid w:val="00F25941"/>
    <w:rsid w:val="00F25CC7"/>
    <w:rsid w:val="00F263D6"/>
    <w:rsid w:val="00F26A72"/>
    <w:rsid w:val="00F3136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4943"/>
    <w:rsid w:val="00F549DC"/>
    <w:rsid w:val="00F566C5"/>
    <w:rsid w:val="00F56C32"/>
    <w:rsid w:val="00F57653"/>
    <w:rsid w:val="00F57F1C"/>
    <w:rsid w:val="00F627A0"/>
    <w:rsid w:val="00F660EE"/>
    <w:rsid w:val="00F6709D"/>
    <w:rsid w:val="00F72594"/>
    <w:rsid w:val="00F7478C"/>
    <w:rsid w:val="00F769E3"/>
    <w:rsid w:val="00F77BAE"/>
    <w:rsid w:val="00F802EE"/>
    <w:rsid w:val="00F829FB"/>
    <w:rsid w:val="00F83F2B"/>
    <w:rsid w:val="00F86491"/>
    <w:rsid w:val="00F9018C"/>
    <w:rsid w:val="00F91B1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C"/>
    <w:rsid w:val="00FA64BA"/>
    <w:rsid w:val="00FB016D"/>
    <w:rsid w:val="00FB0574"/>
    <w:rsid w:val="00FB118D"/>
    <w:rsid w:val="00FB133C"/>
    <w:rsid w:val="00FB2121"/>
    <w:rsid w:val="00FB4F20"/>
    <w:rsid w:val="00FC02EF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7E98"/>
    <w:rsid w:val="00FE090B"/>
    <w:rsid w:val="00FE1080"/>
    <w:rsid w:val="00FE1749"/>
    <w:rsid w:val="00FE3168"/>
    <w:rsid w:val="00FE3FB1"/>
    <w:rsid w:val="00FE5667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03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8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kbb.org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F4C3-78B1-4472-9B8F-BC1379DEC1A0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2466D9-95A6-462A-8875-BC300E21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Aynur Küçük</cp:lastModifiedBy>
  <cp:revision>3</cp:revision>
  <cp:lastPrinted>2016-11-28T11:29:00Z</cp:lastPrinted>
  <dcterms:created xsi:type="dcterms:W3CDTF">2016-12-01T06:43:00Z</dcterms:created>
  <dcterms:modified xsi:type="dcterms:W3CDTF">2016-12-01T07:24:00Z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