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B94C7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852C1B">
        <w:rPr>
          <w:rFonts w:ascii="Arial" w:hAnsi="Arial" w:cs="Arial"/>
          <w:bCs/>
          <w:szCs w:val="24"/>
        </w:rPr>
        <w:t xml:space="preserve"> 2018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861E66">
        <w:rPr>
          <w:rFonts w:ascii="Arial" w:hAnsi="Arial" w:cs="Arial"/>
          <w:b/>
          <w:sz w:val="22"/>
          <w:szCs w:val="22"/>
        </w:rPr>
        <w:t>2</w:t>
      </w:r>
      <w:r w:rsidR="00B94C79">
        <w:rPr>
          <w:rFonts w:ascii="Arial" w:hAnsi="Arial" w:cs="Arial"/>
          <w:b/>
          <w:sz w:val="22"/>
          <w:szCs w:val="22"/>
        </w:rPr>
        <w:t>0</w:t>
      </w:r>
      <w:r w:rsidR="00861E66">
        <w:rPr>
          <w:rFonts w:ascii="Arial" w:hAnsi="Arial" w:cs="Arial"/>
          <w:b/>
          <w:sz w:val="22"/>
          <w:szCs w:val="22"/>
        </w:rPr>
        <w:t xml:space="preserve"> milyon </w:t>
      </w:r>
      <w:r w:rsidR="00B94C79">
        <w:rPr>
          <w:rFonts w:ascii="Arial" w:hAnsi="Arial" w:cs="Arial"/>
          <w:b/>
          <w:sz w:val="22"/>
          <w:szCs w:val="22"/>
        </w:rPr>
        <w:t xml:space="preserve">367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B94C79">
        <w:rPr>
          <w:rFonts w:ascii="Arial" w:hAnsi="Arial" w:cs="Arial"/>
          <w:b/>
          <w:sz w:val="22"/>
          <w:szCs w:val="22"/>
        </w:rPr>
        <w:t>95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B94C79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D970C8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yaklaşık </w:t>
      </w:r>
      <w:r w:rsidR="003C609E" w:rsidRPr="003C609E">
        <w:rPr>
          <w:rFonts w:ascii="Arial" w:hAnsi="Arial" w:cs="Arial"/>
          <w:sz w:val="22"/>
          <w:szCs w:val="22"/>
        </w:rPr>
        <w:t>2</w:t>
      </w:r>
      <w:r w:rsidR="008532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5B603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5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yılın aynı dönemine göre </w:t>
      </w:r>
      <w:r>
        <w:rPr>
          <w:rFonts w:ascii="Arial" w:hAnsi="Arial" w:cs="Arial"/>
          <w:sz w:val="22"/>
          <w:szCs w:val="22"/>
        </w:rPr>
        <w:t>değişmez</w:t>
      </w:r>
      <w:r w:rsidR="00C52723">
        <w:rPr>
          <w:rFonts w:ascii="Arial" w:hAnsi="Arial" w:cs="Arial"/>
          <w:sz w:val="22"/>
          <w:szCs w:val="22"/>
        </w:rPr>
        <w:t>ken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BA5C98">
        <w:rPr>
          <w:rFonts w:ascii="Arial" w:hAnsi="Arial" w:cs="Arial"/>
          <w:sz w:val="22"/>
          <w:szCs w:val="22"/>
        </w:rPr>
        <w:t>azalmıştır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="008341A8" w:rsidRPr="00D46D1D">
        <w:rPr>
          <w:rFonts w:ascii="Arial" w:hAnsi="Arial" w:cs="Arial"/>
          <w:sz w:val="22"/>
          <w:szCs w:val="22"/>
        </w:rPr>
        <w:t>Böyle</w:t>
      </w:r>
      <w:r w:rsidR="005B6CF5" w:rsidRPr="00D46D1D">
        <w:rPr>
          <w:rFonts w:ascii="Arial" w:hAnsi="Arial" w:cs="Arial"/>
          <w:sz w:val="22"/>
          <w:szCs w:val="22"/>
        </w:rPr>
        <w:t xml:space="preserve">ce </w:t>
      </w:r>
      <w:r w:rsidR="001D1F34">
        <w:rPr>
          <w:rFonts w:ascii="Arial" w:hAnsi="Arial" w:cs="Arial"/>
          <w:sz w:val="22"/>
          <w:szCs w:val="22"/>
        </w:rPr>
        <w:t>2018</w:t>
      </w:r>
      <w:r w:rsidR="000D00FD" w:rsidRPr="00D46D1D">
        <w:rPr>
          <w:rFonts w:ascii="Arial" w:hAnsi="Arial" w:cs="Arial"/>
          <w:sz w:val="22"/>
          <w:szCs w:val="22"/>
        </w:rPr>
        <w:t xml:space="preserve"> yılının </w:t>
      </w:r>
      <w:r>
        <w:rPr>
          <w:rFonts w:ascii="Arial" w:hAnsi="Arial" w:cs="Arial"/>
          <w:sz w:val="22"/>
          <w:szCs w:val="22"/>
        </w:rPr>
        <w:t>ikinci</w:t>
      </w:r>
      <w:r w:rsidR="001D1F34">
        <w:rPr>
          <w:rFonts w:ascii="Arial" w:hAnsi="Arial" w:cs="Arial"/>
          <w:sz w:val="22"/>
          <w:szCs w:val="22"/>
        </w:rPr>
        <w:t xml:space="preserve"> </w:t>
      </w:r>
      <w:r w:rsidR="000D00FD" w:rsidRPr="00D46D1D">
        <w:rPr>
          <w:rFonts w:ascii="Arial" w:hAnsi="Arial" w:cs="Arial"/>
          <w:sz w:val="22"/>
          <w:szCs w:val="22"/>
        </w:rPr>
        <w:t xml:space="preserve">çeyreği itibariyle son bir yılda </w:t>
      </w:r>
      <w:r w:rsidR="005B6CF5" w:rsidRPr="00D46D1D">
        <w:rPr>
          <w:rFonts w:ascii="Arial" w:hAnsi="Arial" w:cs="Arial"/>
          <w:sz w:val="22"/>
          <w:szCs w:val="22"/>
        </w:rPr>
        <w:t xml:space="preserve">toplam </w:t>
      </w:r>
      <w:r w:rsidR="000D00FD" w:rsidRPr="00D46D1D">
        <w:rPr>
          <w:rFonts w:ascii="Arial" w:hAnsi="Arial" w:cs="Arial"/>
          <w:sz w:val="22"/>
          <w:szCs w:val="22"/>
        </w:rPr>
        <w:t>1</w:t>
      </w:r>
      <w:r w:rsidR="001D1F34">
        <w:rPr>
          <w:rFonts w:ascii="Arial" w:hAnsi="Arial" w:cs="Arial"/>
          <w:sz w:val="22"/>
          <w:szCs w:val="22"/>
        </w:rPr>
        <w:t>1</w:t>
      </w:r>
      <w:r w:rsidR="0085324D">
        <w:rPr>
          <w:rFonts w:ascii="Arial" w:hAnsi="Arial" w:cs="Arial"/>
          <w:sz w:val="22"/>
          <w:szCs w:val="22"/>
        </w:rPr>
        <w:t>,1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8341A8" w:rsidRPr="00D46D1D">
        <w:rPr>
          <w:rFonts w:ascii="Arial" w:hAnsi="Arial" w:cs="Arial"/>
          <w:sz w:val="22"/>
          <w:szCs w:val="22"/>
        </w:rPr>
        <w:t xml:space="preserve">kişiye </w:t>
      </w:r>
      <w:r w:rsidR="00E439A8">
        <w:rPr>
          <w:rFonts w:ascii="Arial" w:hAnsi="Arial" w:cs="Arial"/>
          <w:sz w:val="22"/>
          <w:szCs w:val="22"/>
        </w:rPr>
        <w:t xml:space="preserve">yaklaşık </w:t>
      </w:r>
      <w:r w:rsidR="001D1F34">
        <w:rPr>
          <w:rFonts w:ascii="Arial" w:hAnsi="Arial" w:cs="Arial"/>
          <w:sz w:val="22"/>
          <w:szCs w:val="22"/>
        </w:rPr>
        <w:t>217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FD5241" w:rsidRPr="00FD5241" w:rsidRDefault="00FD524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337100" w:rsidRDefault="00CB09A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768BF7E" wp14:editId="3FDDFCC6">
            <wp:extent cx="4371975" cy="1816100"/>
            <wp:effectExtent l="0" t="0" r="9525" b="1270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4501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7B4501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551AB4">
        <w:rPr>
          <w:rFonts w:ascii="Arial" w:hAnsi="Arial" w:cs="Arial"/>
          <w:sz w:val="22"/>
          <w:szCs w:val="22"/>
        </w:rPr>
        <w:t xml:space="preserve"> 201</w:t>
      </w:r>
      <w:r w:rsidR="00137D81">
        <w:rPr>
          <w:rFonts w:ascii="Arial" w:hAnsi="Arial" w:cs="Arial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95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8712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>
        <w:rPr>
          <w:rFonts w:ascii="Arial" w:hAnsi="Arial" w:cs="Arial"/>
          <w:sz w:val="22"/>
          <w:szCs w:val="22"/>
        </w:rPr>
        <w:t xml:space="preserve"> 367 </w:t>
      </w:r>
      <w:proofErr w:type="spellStart"/>
      <w:r>
        <w:rPr>
          <w:rFonts w:ascii="Arial" w:hAnsi="Arial" w:cs="Arial"/>
          <w:sz w:val="22"/>
          <w:szCs w:val="22"/>
        </w:rPr>
        <w:t>bin’di</w:t>
      </w:r>
      <w:r w:rsidR="008B1B07">
        <w:rPr>
          <w:rFonts w:ascii="Arial" w:hAnsi="Arial" w:cs="Arial"/>
          <w:sz w:val="22"/>
          <w:szCs w:val="22"/>
        </w:rPr>
        <w:t>r</w:t>
      </w:r>
      <w:proofErr w:type="spellEnd"/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 w:rsidR="00137D81"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>
        <w:rPr>
          <w:rFonts w:ascii="Arial" w:hAnsi="Arial" w:cs="Arial"/>
          <w:bCs/>
          <w:sz w:val="22"/>
          <w:szCs w:val="22"/>
        </w:rPr>
        <w:t>44</w:t>
      </w:r>
      <w:r w:rsidR="00B72506">
        <w:rPr>
          <w:rFonts w:ascii="Arial" w:hAnsi="Arial" w:cs="Arial"/>
          <w:bCs/>
          <w:sz w:val="22"/>
          <w:szCs w:val="22"/>
        </w:rPr>
        <w:t>6 bin</w:t>
      </w:r>
      <w:r>
        <w:rPr>
          <w:rFonts w:ascii="Arial" w:hAnsi="Arial" w:cs="Arial"/>
          <w:bCs/>
          <w:sz w:val="22"/>
          <w:szCs w:val="22"/>
        </w:rPr>
        <w:t xml:space="preserve"> artarken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633</w:t>
      </w:r>
      <w:r w:rsidR="00B72506">
        <w:rPr>
          <w:rFonts w:ascii="Arial" w:hAnsi="Arial" w:cs="Arial"/>
          <w:sz w:val="22"/>
          <w:szCs w:val="22"/>
        </w:rPr>
        <w:t xml:space="preserve"> bin kişi</w:t>
      </w:r>
      <w:r w:rsidR="00AE4F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azal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 w:rsidR="00C8712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3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 w:rsidR="002329DE">
        <w:rPr>
          <w:rFonts w:ascii="Arial" w:hAnsi="Arial" w:cs="Arial"/>
          <w:sz w:val="22"/>
          <w:szCs w:val="22"/>
        </w:rPr>
        <w:t>büyümüştür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Pr="00CF0608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A13CA7" w:rsidRPr="005E57E9" w:rsidRDefault="007B4501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F871F48" wp14:editId="76C2B7C1">
            <wp:extent cx="4695825" cy="2085976"/>
            <wp:effectExtent l="0" t="0" r="9525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7B450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Pr="001C7895">
        <w:rPr>
          <w:rFonts w:ascii="Arial" w:hAnsi="Arial" w:cs="Arial"/>
          <w:sz w:val="22"/>
          <w:szCs w:val="22"/>
        </w:rPr>
        <w:t xml:space="preserve"> konut kredileri yüzde </w:t>
      </w:r>
      <w:r>
        <w:rPr>
          <w:rFonts w:ascii="Arial" w:hAnsi="Arial" w:cs="Arial"/>
          <w:sz w:val="22"/>
          <w:szCs w:val="22"/>
        </w:rPr>
        <w:t>1</w:t>
      </w:r>
      <w:r w:rsidR="007B450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7B450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D46D1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D46D1D">
        <w:rPr>
          <w:rFonts w:ascii="Arial" w:hAnsi="Arial" w:cs="Arial"/>
          <w:b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8A11F6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360A72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ihtiyaç kredileri yüzde </w:t>
      </w:r>
      <w:r>
        <w:rPr>
          <w:rFonts w:ascii="Arial" w:hAnsi="Arial" w:cs="Arial"/>
          <w:sz w:val="22"/>
          <w:szCs w:val="22"/>
        </w:rPr>
        <w:t>66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32</w:t>
      </w:r>
      <w:r w:rsidR="00D51172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2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 w:rsidR="00B11F5B">
        <w:rPr>
          <w:rFonts w:ascii="Arial" w:hAnsi="Arial" w:cs="Arial"/>
          <w:sz w:val="22"/>
          <w:szCs w:val="22"/>
        </w:rPr>
        <w:t>2</w:t>
      </w:r>
      <w:r w:rsidR="00D531B7">
        <w:rPr>
          <w:rFonts w:ascii="Arial" w:hAnsi="Arial" w:cs="Arial"/>
          <w:sz w:val="22"/>
          <w:szCs w:val="22"/>
        </w:rPr>
        <w:t>,</w:t>
      </w:r>
      <w:r w:rsidR="00AD68C1">
        <w:rPr>
          <w:rFonts w:ascii="Arial" w:hAnsi="Arial" w:cs="Arial"/>
          <w:sz w:val="22"/>
          <w:szCs w:val="22"/>
        </w:rPr>
        <w:t>5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 w:rsidR="00814E2D">
        <w:rPr>
          <w:rFonts w:ascii="Arial" w:hAnsi="Arial" w:cs="Arial"/>
          <w:sz w:val="22"/>
          <w:szCs w:val="22"/>
        </w:rPr>
        <w:t>3</w:t>
      </w:r>
      <w:r w:rsidR="00AD68C1">
        <w:rPr>
          <w:rFonts w:ascii="Arial" w:hAnsi="Arial" w:cs="Arial"/>
          <w:sz w:val="22"/>
          <w:szCs w:val="22"/>
        </w:rPr>
        <w:t>6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 w:rsidR="00AD68C1">
        <w:rPr>
          <w:rFonts w:ascii="Arial" w:hAnsi="Arial" w:cs="Arial"/>
          <w:sz w:val="22"/>
          <w:szCs w:val="22"/>
        </w:rPr>
        <w:t>120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 w:rsidR="00814E2D">
        <w:rPr>
          <w:rFonts w:ascii="Arial" w:hAnsi="Arial" w:cs="Arial"/>
          <w:sz w:val="22"/>
          <w:szCs w:val="22"/>
        </w:rPr>
        <w:t xml:space="preserve">yaklaşık </w:t>
      </w:r>
      <w:r w:rsidR="00912E92">
        <w:rPr>
          <w:rFonts w:ascii="Arial" w:hAnsi="Arial" w:cs="Arial"/>
          <w:sz w:val="22"/>
          <w:szCs w:val="22"/>
        </w:rPr>
        <w:t>1</w:t>
      </w:r>
      <w:r w:rsidR="00AD68C1">
        <w:rPr>
          <w:rFonts w:ascii="Arial" w:hAnsi="Arial" w:cs="Arial"/>
          <w:sz w:val="22"/>
          <w:szCs w:val="22"/>
        </w:rPr>
        <w:t>7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 w:rsidR="00AD68C1">
        <w:rPr>
          <w:rFonts w:ascii="Arial" w:hAnsi="Arial" w:cs="Arial"/>
          <w:sz w:val="22"/>
          <w:szCs w:val="22"/>
        </w:rPr>
        <w:t>25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125B80" w:rsidRPr="00852D08">
        <w:rPr>
          <w:rFonts w:ascii="Arial" w:hAnsi="Arial" w:cs="Arial"/>
          <w:sz w:val="22"/>
          <w:szCs w:val="22"/>
        </w:rPr>
        <w:t xml:space="preserve">kişi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2913F9">
        <w:rPr>
          <w:rFonts w:ascii="Arial" w:hAnsi="Arial" w:cs="Arial"/>
          <w:sz w:val="22"/>
          <w:szCs w:val="22"/>
        </w:rPr>
        <w:t xml:space="preserve">taşıt kredileri yüzde </w:t>
      </w:r>
      <w:r w:rsidR="00654444">
        <w:rPr>
          <w:rFonts w:ascii="Arial" w:hAnsi="Arial" w:cs="Arial"/>
          <w:sz w:val="22"/>
          <w:szCs w:val="22"/>
        </w:rPr>
        <w:t>1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654444">
        <w:rPr>
          <w:rFonts w:ascii="Arial" w:hAnsi="Arial" w:cs="Arial"/>
          <w:sz w:val="22"/>
          <w:szCs w:val="22"/>
        </w:rPr>
        <w:t xml:space="preserve"> </w:t>
      </w:r>
      <w:r w:rsidR="00654444">
        <w:rPr>
          <w:rFonts w:ascii="Arial" w:hAnsi="Arial" w:cs="Arial"/>
          <w:sz w:val="22"/>
          <w:szCs w:val="22"/>
        </w:rPr>
        <w:t>artarken</w:t>
      </w:r>
      <w:r w:rsidR="00A2773C">
        <w:rPr>
          <w:rFonts w:ascii="Arial" w:hAnsi="Arial" w:cs="Arial"/>
          <w:sz w:val="22"/>
          <w:szCs w:val="22"/>
        </w:rPr>
        <w:t xml:space="preserve">, ihtiyaç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654444">
        <w:rPr>
          <w:rFonts w:ascii="Arial" w:hAnsi="Arial" w:cs="Arial"/>
          <w:sz w:val="22"/>
          <w:szCs w:val="22"/>
        </w:rPr>
        <w:t>1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2913F9">
        <w:rPr>
          <w:rFonts w:ascii="Arial" w:hAnsi="Arial" w:cs="Arial"/>
          <w:sz w:val="22"/>
          <w:szCs w:val="22"/>
        </w:rPr>
        <w:t xml:space="preserve">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654444">
        <w:rPr>
          <w:rFonts w:ascii="Arial" w:hAnsi="Arial" w:cs="Arial"/>
          <w:sz w:val="22"/>
          <w:szCs w:val="22"/>
        </w:rPr>
        <w:t>3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AD68C1" w:rsidRDefault="00767E00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40C672" wp14:editId="687C5205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314950" cy="2012950"/>
                <wp:effectExtent l="0" t="0" r="0" b="63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2012950"/>
                          <a:chOff x="0" y="0"/>
                          <a:chExt cx="5276848" cy="2228850"/>
                        </a:xfrm>
                      </wpg:grpSpPr>
                      <wpg:graphicFrame>
                        <wpg:cNvPr id="7" name="Chart 7"/>
                        <wpg:cNvFrPr/>
                        <wpg:xfrm>
                          <a:off x="0" y="14287"/>
                          <a:ext cx="2857499" cy="221456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8" name="Chart 8"/>
                        <wpg:cNvFrPr>
                          <a:graphicFrameLocks/>
                        </wpg:cNvFrPr>
                        <wpg:xfrm>
                          <a:off x="2867023" y="0"/>
                          <a:ext cx="2409825" cy="22193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37221" id="Group 3" o:spid="_x0000_s1026" style="position:absolute;margin-left:367.3pt;margin-top:4.9pt;width:418.5pt;height:158.5pt;z-index:251659264;mso-position-horizontal:right;mso-position-horizontal-relative:margin;mso-width-relative:margin;mso-height-relative:margin" coordsize="52768,22288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7" o:spid="_x0000_s1027" type="#_x0000_t75" style="position:absolute;left:-60;top:67;width:28687;height:222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">
                  <v:imagedata r:id="rId11" o:title=""/>
                  <o:lock v:ext="edit" aspectratio="f"/>
                </v:shape>
                <v:shape id="Chart 8" o:spid="_x0000_s1028" type="#_x0000_t75" style="position:absolute;left:28627;top:-67;width:24209;height:223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CD1707">
        <w:rPr>
          <w:rFonts w:ascii="Arial" w:hAnsi="Arial" w:cs="Arial"/>
          <w:b/>
          <w:sz w:val="22"/>
          <w:szCs w:val="22"/>
        </w:rPr>
        <w:tab/>
      </w:r>
    </w:p>
    <w:tbl>
      <w:tblPr>
        <w:tblW w:w="8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983"/>
        <w:gridCol w:w="983"/>
        <w:gridCol w:w="983"/>
        <w:gridCol w:w="983"/>
        <w:gridCol w:w="983"/>
        <w:gridCol w:w="1145"/>
      </w:tblGrid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25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AD68C1" w:rsidRPr="00AD68C1" w:rsidTr="00AD68C1">
              <w:trPr>
                <w:trHeight w:val="238"/>
                <w:tblCellSpacing w:w="0" w:type="dxa"/>
              </w:trPr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68C1" w:rsidRPr="00AD68C1" w:rsidRDefault="00AD68C1" w:rsidP="00AD68C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</w:tbl>
    <w:p w:rsidR="00A508C2" w:rsidRPr="00B170A3" w:rsidRDefault="00A508C2" w:rsidP="00AD68C1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496608" w:rsidP="00FD5241">
      <w:pPr>
        <w:pStyle w:val="BodyText"/>
        <w:rPr>
          <w:rFonts w:ascii="Arial" w:hAnsi="Arial" w:cs="Arial"/>
          <w:sz w:val="22"/>
          <w:szCs w:val="22"/>
        </w:rPr>
      </w:pPr>
      <w:r w:rsidRPr="00496608">
        <w:rPr>
          <w:rFonts w:ascii="Arial" w:hAnsi="Arial" w:cs="Arial"/>
          <w:color w:val="000000" w:themeColor="text1"/>
          <w:sz w:val="22"/>
          <w:szCs w:val="22"/>
        </w:rPr>
        <w:t>Nisan-Haziran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2018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21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5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 xml:space="preserve">, ihtiyaç kredilerinde 14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>
        <w:rPr>
          <w:rFonts w:ascii="Arial" w:hAnsi="Arial" w:cs="Arial"/>
          <w:color w:val="000000"/>
          <w:sz w:val="22"/>
          <w:szCs w:val="22"/>
        </w:rPr>
        <w:t>52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496608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0846C97" wp14:editId="58422E94">
            <wp:extent cx="4572000" cy="1938338"/>
            <wp:effectExtent l="0" t="0" r="0" b="50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4323B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Nisan-Haziran</w:t>
      </w:r>
      <w:r w:rsidR="000D552F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>
        <w:rPr>
          <w:rFonts w:ascii="Arial" w:hAnsi="Arial" w:cs="Arial"/>
          <w:sz w:val="22"/>
          <w:szCs w:val="22"/>
        </w:rPr>
        <w:t>82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1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>
        <w:rPr>
          <w:rFonts w:ascii="Arial" w:hAnsi="Arial" w:cs="Arial"/>
          <w:sz w:val="22"/>
          <w:szCs w:val="22"/>
        </w:rPr>
        <w:t>29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471B7B" w:rsidRPr="00432BE1" w:rsidRDefault="004323B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Nisan-Haziran</w:t>
      </w:r>
      <w:r w:rsidR="00D939BF">
        <w:rPr>
          <w:rFonts w:ascii="Arial" w:hAnsi="Arial" w:cs="Arial"/>
          <w:color w:val="000000"/>
          <w:sz w:val="22"/>
          <w:szCs w:val="22"/>
        </w:rPr>
        <w:t xml:space="preserve"> 201</w:t>
      </w:r>
      <w:r w:rsidR="00AF37AD">
        <w:rPr>
          <w:rFonts w:ascii="Arial" w:hAnsi="Arial" w:cs="Arial"/>
          <w:color w:val="000000"/>
          <w:sz w:val="22"/>
          <w:szCs w:val="22"/>
        </w:rPr>
        <w:t>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122AD1">
        <w:rPr>
          <w:rFonts w:ascii="Arial" w:hAnsi="Arial" w:cs="Arial"/>
          <w:sz w:val="22"/>
          <w:szCs w:val="22"/>
        </w:rPr>
        <w:t>dönemi içinde</w:t>
      </w:r>
      <w:r w:rsidR="00122AD1" w:rsidRPr="001C7895">
        <w:rPr>
          <w:rFonts w:ascii="Arial" w:hAnsi="Arial" w:cs="Arial"/>
          <w:sz w:val="22"/>
          <w:szCs w:val="22"/>
        </w:rPr>
        <w:t xml:space="preserve"> </w:t>
      </w:r>
      <w:r w:rsidR="00122AD1" w:rsidRPr="00F92A16">
        <w:rPr>
          <w:rFonts w:ascii="Arial" w:hAnsi="Arial" w:cs="Arial"/>
          <w:color w:val="000000"/>
          <w:sz w:val="22"/>
          <w:szCs w:val="22"/>
        </w:rPr>
        <w:t>kullan</w:t>
      </w:r>
      <w:r w:rsidR="00122AD1">
        <w:rPr>
          <w:rFonts w:ascii="Arial" w:hAnsi="Arial" w:cs="Arial"/>
          <w:color w:val="000000"/>
          <w:sz w:val="22"/>
          <w:szCs w:val="22"/>
        </w:rPr>
        <w:t xml:space="preserve">dırılan </w:t>
      </w:r>
      <w:r w:rsidR="00122AD1">
        <w:rPr>
          <w:rFonts w:ascii="Arial" w:hAnsi="Arial" w:cs="Arial"/>
          <w:sz w:val="22"/>
          <w:szCs w:val="22"/>
        </w:rPr>
        <w:t>t</w:t>
      </w:r>
      <w:r w:rsidR="0072634D">
        <w:rPr>
          <w:rFonts w:ascii="Arial" w:hAnsi="Arial" w:cs="Arial"/>
          <w:sz w:val="22"/>
          <w:szCs w:val="22"/>
        </w:rPr>
        <w:t>üketici</w:t>
      </w:r>
      <w:r w:rsidR="00F016FB">
        <w:rPr>
          <w:rFonts w:ascii="Arial" w:hAnsi="Arial" w:cs="Arial"/>
          <w:sz w:val="22"/>
          <w:szCs w:val="22"/>
        </w:rPr>
        <w:t xml:space="preserve"> kredileri ve konut kredilerinde</w:t>
      </w:r>
      <w:r w:rsidR="00F92FA7">
        <w:rPr>
          <w:rFonts w:ascii="Arial" w:hAnsi="Arial" w:cs="Arial"/>
          <w:sz w:val="22"/>
          <w:szCs w:val="22"/>
        </w:rPr>
        <w:t xml:space="preserve"> yüzde </w:t>
      </w:r>
      <w:r>
        <w:rPr>
          <w:rFonts w:ascii="Arial" w:hAnsi="Arial" w:cs="Arial"/>
          <w:sz w:val="22"/>
          <w:szCs w:val="22"/>
        </w:rPr>
        <w:t>29</w:t>
      </w:r>
      <w:r w:rsidR="00F92FA7">
        <w:rPr>
          <w:rFonts w:ascii="Arial" w:hAnsi="Arial" w:cs="Arial"/>
          <w:sz w:val="22"/>
          <w:szCs w:val="22"/>
        </w:rPr>
        <w:t xml:space="preserve"> pay ile</w:t>
      </w:r>
      <w:r w:rsidR="00A508C2" w:rsidRPr="001C7895">
        <w:rPr>
          <w:rFonts w:ascii="Arial" w:hAnsi="Arial" w:cs="Arial"/>
          <w:sz w:val="22"/>
          <w:szCs w:val="22"/>
        </w:rPr>
        <w:t xml:space="preserve"> en fazla tercih edilen </w:t>
      </w:r>
      <w:r w:rsidR="00122AD1">
        <w:rPr>
          <w:rFonts w:ascii="Arial" w:hAnsi="Arial" w:cs="Arial"/>
          <w:sz w:val="22"/>
          <w:szCs w:val="22"/>
        </w:rPr>
        <w:t xml:space="preserve">vade dilimi </w:t>
      </w:r>
      <w:r w:rsidR="00043B82">
        <w:rPr>
          <w:rFonts w:ascii="Arial" w:hAnsi="Arial" w:cs="Arial"/>
          <w:sz w:val="22"/>
          <w:szCs w:val="22"/>
        </w:rPr>
        <w:t>37-48</w:t>
      </w:r>
      <w:r w:rsidR="00E65559">
        <w:rPr>
          <w:rFonts w:ascii="Arial" w:hAnsi="Arial" w:cs="Arial"/>
          <w:sz w:val="22"/>
          <w:szCs w:val="22"/>
        </w:rPr>
        <w:t xml:space="preserve"> ay</w:t>
      </w:r>
      <w:r w:rsidR="00122AD1">
        <w:rPr>
          <w:rFonts w:ascii="Arial" w:hAnsi="Arial" w:cs="Arial"/>
          <w:sz w:val="22"/>
          <w:szCs w:val="22"/>
        </w:rPr>
        <w:t>dır.</w:t>
      </w:r>
      <w:r w:rsidR="00A508C2" w:rsidRPr="001C7895">
        <w:rPr>
          <w:rFonts w:ascii="Arial" w:hAnsi="Arial" w:cs="Arial"/>
          <w:sz w:val="22"/>
          <w:szCs w:val="22"/>
        </w:rPr>
        <w:t xml:space="preserve"> Bunu </w:t>
      </w:r>
      <w:r w:rsidR="00F92FA7">
        <w:rPr>
          <w:rFonts w:ascii="Arial" w:hAnsi="Arial" w:cs="Arial"/>
          <w:sz w:val="22"/>
          <w:szCs w:val="22"/>
        </w:rPr>
        <w:t>yüzde 2</w:t>
      </w:r>
      <w:r>
        <w:rPr>
          <w:rFonts w:ascii="Arial" w:hAnsi="Arial" w:cs="Arial"/>
          <w:sz w:val="22"/>
          <w:szCs w:val="22"/>
        </w:rPr>
        <w:t>6</w:t>
      </w:r>
      <w:r w:rsidR="00F92FA7">
        <w:rPr>
          <w:rFonts w:ascii="Arial" w:hAnsi="Arial" w:cs="Arial"/>
          <w:sz w:val="22"/>
          <w:szCs w:val="22"/>
        </w:rPr>
        <w:t xml:space="preserve"> pay ile </w:t>
      </w:r>
      <w:r w:rsidR="00DA0781">
        <w:rPr>
          <w:rFonts w:ascii="Arial" w:hAnsi="Arial" w:cs="Arial"/>
          <w:sz w:val="22"/>
          <w:szCs w:val="22"/>
        </w:rPr>
        <w:t>73 ay üzeri</w:t>
      </w:r>
      <w:r w:rsidR="009F63AB">
        <w:rPr>
          <w:rFonts w:ascii="Arial" w:hAnsi="Arial" w:cs="Arial"/>
          <w:sz w:val="22"/>
          <w:szCs w:val="22"/>
        </w:rPr>
        <w:t xml:space="preserve"> </w:t>
      </w:r>
      <w:r w:rsidR="00F92FA7">
        <w:rPr>
          <w:rFonts w:ascii="Arial" w:hAnsi="Arial" w:cs="Arial"/>
          <w:sz w:val="22"/>
          <w:szCs w:val="22"/>
        </w:rPr>
        <w:t>ve yüzde 1</w:t>
      </w:r>
      <w:r>
        <w:rPr>
          <w:rFonts w:ascii="Arial" w:hAnsi="Arial" w:cs="Arial"/>
          <w:sz w:val="22"/>
          <w:szCs w:val="22"/>
        </w:rPr>
        <w:t>5</w:t>
      </w:r>
      <w:r w:rsidR="00F92FA7">
        <w:rPr>
          <w:rFonts w:ascii="Arial" w:hAnsi="Arial" w:cs="Arial"/>
          <w:sz w:val="22"/>
          <w:szCs w:val="22"/>
        </w:rPr>
        <w:t xml:space="preserve"> pay ile </w:t>
      </w:r>
      <w:r w:rsidR="00043B82">
        <w:rPr>
          <w:rFonts w:ascii="Arial" w:hAnsi="Arial" w:cs="Arial"/>
          <w:sz w:val="22"/>
          <w:szCs w:val="22"/>
        </w:rPr>
        <w:t>25-36</w:t>
      </w:r>
      <w:r w:rsidR="009D5F7D">
        <w:rPr>
          <w:rFonts w:ascii="Arial" w:hAnsi="Arial" w:cs="Arial"/>
          <w:sz w:val="22"/>
          <w:szCs w:val="22"/>
        </w:rPr>
        <w:t xml:space="preserve"> ay </w:t>
      </w:r>
      <w:r w:rsidR="00A508C2" w:rsidRPr="001C7895">
        <w:rPr>
          <w:rFonts w:ascii="Arial" w:hAnsi="Arial" w:cs="Arial"/>
          <w:sz w:val="22"/>
          <w:szCs w:val="22"/>
        </w:rPr>
        <w:t xml:space="preserve">vade dilimleri izlemiştir. </w:t>
      </w:r>
    </w:p>
    <w:p w:rsidR="00A508C2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D86BD6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Nisan-Haziran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CE360F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11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631563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>7</w:t>
      </w:r>
      <w:r w:rsidR="002A2E1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</w:t>
      </w:r>
      <w:r w:rsidR="00631563">
        <w:rPr>
          <w:rFonts w:ascii="Arial" w:hAnsi="Arial" w:cs="Arial"/>
          <w:sz w:val="22"/>
          <w:szCs w:val="22"/>
        </w:rPr>
        <w:t>ini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D86BD6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327ACA11" wp14:editId="35B58188">
            <wp:extent cx="4538663" cy="2014538"/>
            <wp:effectExtent l="0" t="0" r="14605" b="50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D86BD6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Nisan-Haziran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</w:t>
      </w:r>
      <w:r w:rsidR="002A2E1F">
        <w:rPr>
          <w:rFonts w:ascii="Arial" w:hAnsi="Arial" w:cs="Arial"/>
          <w:color w:val="000000"/>
          <w:sz w:val="22"/>
          <w:szCs w:val="22"/>
        </w:rPr>
        <w:t>201</w:t>
      </w:r>
      <w:r w:rsidR="00660434">
        <w:rPr>
          <w:rFonts w:ascii="Arial" w:hAnsi="Arial" w:cs="Arial"/>
          <w:color w:val="000000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28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 w:rsidR="00660434">
        <w:rPr>
          <w:rFonts w:ascii="Arial" w:hAnsi="Arial" w:cs="Arial"/>
          <w:sz w:val="22"/>
          <w:szCs w:val="22"/>
        </w:rPr>
        <w:t>azal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606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2A2E1F">
        <w:rPr>
          <w:rFonts w:ascii="Arial" w:hAnsi="Arial" w:cs="Arial"/>
          <w:sz w:val="22"/>
          <w:szCs w:val="22"/>
        </w:rPr>
        <w:t>’</w:t>
      </w:r>
      <w:r w:rsidR="00942473">
        <w:rPr>
          <w:rFonts w:ascii="Arial" w:hAnsi="Arial" w:cs="Arial"/>
          <w:sz w:val="22"/>
          <w:szCs w:val="22"/>
        </w:rPr>
        <w:t>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07176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F44C8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unu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9</w:t>
      </w:r>
      <w:r w:rsidR="00D71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unu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54444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B94C79">
      <w:rPr>
        <w:rFonts w:ascii="Arial" w:hAnsi="Arial" w:cs="Arial"/>
        <w:sz w:val="18"/>
        <w:szCs w:val="18"/>
      </w:rPr>
      <w:t>Haziran</w:t>
    </w:r>
    <w:r w:rsidR="00FD5AF0">
      <w:rPr>
        <w:rFonts w:ascii="Arial" w:hAnsi="Arial" w:cs="Arial"/>
        <w:sz w:val="18"/>
        <w:szCs w:val="18"/>
      </w:rPr>
      <w:t xml:space="preserve"> 2018</w:t>
    </w:r>
    <w:r w:rsidR="00814E2D">
      <w:rPr>
        <w:rFonts w:ascii="Arial" w:hAnsi="Arial" w:cs="Arial"/>
        <w:sz w:val="18"/>
        <w:szCs w:val="18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B94C79">
      <w:rPr>
        <w:rFonts w:ascii="Arial" w:hAnsi="Arial" w:cs="Arial"/>
        <w:sz w:val="18"/>
        <w:szCs w:val="18"/>
      </w:rPr>
      <w:t>Haziran</w:t>
    </w:r>
    <w:r w:rsidR="00852C1B">
      <w:rPr>
        <w:rFonts w:ascii="Arial" w:hAnsi="Arial" w:cs="Arial"/>
        <w:sz w:val="18"/>
        <w:szCs w:val="18"/>
      </w:rPr>
      <w:t xml:space="preserve"> 2018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D24BA"/>
    <w:rsid w:val="002D4A7B"/>
    <w:rsid w:val="002D7DB3"/>
    <w:rsid w:val="002E0ACC"/>
    <w:rsid w:val="002F0D60"/>
    <w:rsid w:val="002F1719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3B2"/>
    <w:rsid w:val="004327DA"/>
    <w:rsid w:val="00432BE1"/>
    <w:rsid w:val="00433785"/>
    <w:rsid w:val="00440973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90CD2"/>
    <w:rsid w:val="00491093"/>
    <w:rsid w:val="0049205C"/>
    <w:rsid w:val="00493BC4"/>
    <w:rsid w:val="00495DDD"/>
    <w:rsid w:val="00496589"/>
    <w:rsid w:val="00496608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7196"/>
    <w:rsid w:val="00821D60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608"/>
    <w:rsid w:val="008E36F0"/>
    <w:rsid w:val="008E4274"/>
    <w:rsid w:val="008E51A4"/>
    <w:rsid w:val="008F4CA4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D86"/>
    <w:rsid w:val="00A03BC8"/>
    <w:rsid w:val="00A05557"/>
    <w:rsid w:val="00A1329F"/>
    <w:rsid w:val="00A1349E"/>
    <w:rsid w:val="00A1382F"/>
    <w:rsid w:val="00A13CA7"/>
    <w:rsid w:val="00A17F17"/>
    <w:rsid w:val="00A205DF"/>
    <w:rsid w:val="00A23078"/>
    <w:rsid w:val="00A233C9"/>
    <w:rsid w:val="00A24C55"/>
    <w:rsid w:val="00A2773C"/>
    <w:rsid w:val="00A31187"/>
    <w:rsid w:val="00A340C1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20346"/>
    <w:rsid w:val="00C22702"/>
    <w:rsid w:val="00C2576E"/>
    <w:rsid w:val="00C26D0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09AC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6266"/>
    <w:rsid w:val="00F87EDC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723"/>
    <w:rsid w:val="00FF1EEB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1F55F1B7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6-18\T&#252;ketici%20Kredileri-YEN&#304;%20GRAF&#304;KLE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61329833770772E-2"/>
          <c:y val="0.10977695613135634"/>
          <c:w val="0.85833289588801398"/>
          <c:h val="0.689287634713576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Sheet4!$B$2:$B$3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Sheet4!$B$4:$B$8</c:f>
              <c:numCache>
                <c:formatCode>#.##00</c:formatCode>
                <c:ptCount val="5"/>
                <c:pt idx="0">
                  <c:v>1.3073965847</c:v>
                </c:pt>
                <c:pt idx="1">
                  <c:v>1.2892517217999999</c:v>
                </c:pt>
                <c:pt idx="2">
                  <c:v>1.8480974687999998</c:v>
                </c:pt>
                <c:pt idx="3">
                  <c:v>1.3514046919</c:v>
                </c:pt>
                <c:pt idx="4">
                  <c:v>1.3211705073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9-48A2-BF40-855B7DAC09A2}"/>
            </c:ext>
          </c:extLst>
        </c:ser>
        <c:ser>
          <c:idx val="1"/>
          <c:order val="1"/>
          <c:tx>
            <c:strRef>
              <c:f>Sheet4!$C$2:$C$3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Sheet4!$C$4:$C$8</c:f>
              <c:numCache>
                <c:formatCode>#.##00</c:formatCode>
                <c:ptCount val="5"/>
                <c:pt idx="0">
                  <c:v>17.789714416199999</c:v>
                </c:pt>
                <c:pt idx="1">
                  <c:v>16.342924261899999</c:v>
                </c:pt>
                <c:pt idx="2">
                  <c:v>15.5007055598</c:v>
                </c:pt>
                <c:pt idx="3">
                  <c:v>12.712682753299999</c:v>
                </c:pt>
                <c:pt idx="4">
                  <c:v>17.303339549600004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79-48A2-BF40-855B7DAC09A2}"/>
            </c:ext>
          </c:extLst>
        </c:ser>
        <c:ser>
          <c:idx val="2"/>
          <c:order val="2"/>
          <c:tx>
            <c:strRef>
              <c:f>Sheet4!$D$2:$D$3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Sheet4!$D$4:$D$8</c:f>
              <c:numCache>
                <c:formatCode>#.##00</c:formatCode>
                <c:ptCount val="5"/>
                <c:pt idx="0">
                  <c:v>36.258718588000001</c:v>
                </c:pt>
                <c:pt idx="1">
                  <c:v>38.3071481952</c:v>
                </c:pt>
                <c:pt idx="2">
                  <c:v>37.066482317400002</c:v>
                </c:pt>
                <c:pt idx="3">
                  <c:v>37.5034033982</c:v>
                </c:pt>
                <c:pt idx="4">
                  <c:v>36.000856480300001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79-48A2-BF40-855B7DAC09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7200"/>
        <c:axId val="845723672"/>
      </c:barChart>
      <c:lineChart>
        <c:grouping val="standard"/>
        <c:varyColors val="0"/>
        <c:ser>
          <c:idx val="3"/>
          <c:order val="3"/>
          <c:tx>
            <c:strRef>
              <c:f>Sheet4!$E$2:$E$3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Sheet4!$E$4:$E$8</c:f>
              <c:numCache>
                <c:formatCode>#.##00</c:formatCode>
                <c:ptCount val="5"/>
                <c:pt idx="0">
                  <c:v>2.6465510000000001</c:v>
                </c:pt>
                <c:pt idx="1">
                  <c:v>2.8400590000000001</c:v>
                </c:pt>
                <c:pt idx="2">
                  <c:v>2.7810820000000001</c:v>
                </c:pt>
                <c:pt idx="3">
                  <c:v>2.8138230000000002</c:v>
                </c:pt>
                <c:pt idx="4">
                  <c:v>2.6540119999999998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279-48A2-BF40-855B7DAC09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718184"/>
        <c:axId val="845728768"/>
      </c:lineChart>
      <c:catAx>
        <c:axId val="845727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4.0833333333333338E-3"/>
              <c:y val="7.66421793463012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3672"/>
        <c:crosses val="autoZero"/>
        <c:auto val="1"/>
        <c:lblAlgn val="ctr"/>
        <c:lblOffset val="100"/>
        <c:noMultiLvlLbl val="0"/>
      </c:catAx>
      <c:valAx>
        <c:axId val="845723672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7200"/>
        <c:crosses val="autoZero"/>
        <c:crossBetween val="between"/>
      </c:valAx>
      <c:valAx>
        <c:axId val="845728768"/>
        <c:scaling>
          <c:orientation val="minMax"/>
          <c:max val="2.9"/>
          <c:min val="2.2999999999999998"/>
        </c:scaling>
        <c:delete val="0"/>
        <c:axPos val="r"/>
        <c:numFmt formatCode="#.##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18184"/>
        <c:crosses val="max"/>
        <c:crossBetween val="between"/>
      </c:valAx>
      <c:catAx>
        <c:axId val="845718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 sz="800"/>
                  <a:t>milyon </a:t>
                </a:r>
                <a:r>
                  <a:rPr lang="en-US" sz="800"/>
                  <a:t>kişi</a:t>
                </a:r>
              </a:p>
            </c:rich>
          </c:tx>
          <c:layout>
            <c:manualLayout>
              <c:xMode val="edge"/>
              <c:yMode val="edge"/>
              <c:x val="0.84862745098039216"/>
              <c:y val="5.245305875227135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457287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7291384328592908E-2"/>
          <c:y val="0.89514919326896569"/>
          <c:w val="0.83379776874295941"/>
          <c:h val="8.49997056201541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5.9362959011000003</c:v>
                </c:pt>
                <c:pt idx="1">
                  <c:v>5.9670064418999997</c:v>
                </c:pt>
                <c:pt idx="2">
                  <c:v>6.4811369883999994</c:v>
                </c:pt>
                <c:pt idx="3">
                  <c:v>6.5256503687</c:v>
                </c:pt>
                <c:pt idx="4">
                  <c:v>6.4413453761000001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F6-4FD0-9F74-744522E7CCB8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171.99321795009999</c:v>
                </c:pt>
                <c:pt idx="1">
                  <c:v>177.99123790070001</c:v>
                </c:pt>
                <c:pt idx="2">
                  <c:v>182.50506078609999</c:v>
                </c:pt>
                <c:pt idx="3">
                  <c:v>184.42518457350002</c:v>
                </c:pt>
                <c:pt idx="4">
                  <c:v>190.79881198169997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F6-4FD0-9F74-744522E7CCB8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169.19256492310001</c:v>
                </c:pt>
                <c:pt idx="1">
                  <c:v>178.91180301349999</c:v>
                </c:pt>
                <c:pt idx="2">
                  <c:v>185.852025169</c:v>
                </c:pt>
                <c:pt idx="3">
                  <c:v>192.9045492804</c:v>
                </c:pt>
                <c:pt idx="4">
                  <c:v>198.19422237549998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F6-4FD0-9F74-744522E7C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7984"/>
        <c:axId val="845728376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Haz-17</c:v>
                </c:pt>
                <c:pt idx="1">
                  <c:v>Eyl-17</c:v>
                </c:pt>
                <c:pt idx="2">
                  <c:v>Ara-17</c:v>
                </c:pt>
                <c:pt idx="3">
                  <c:v>Mar-18</c:v>
                </c:pt>
                <c:pt idx="4">
                  <c:v>Haz-18</c:v>
                </c:pt>
              </c:strCache>
            </c:strRef>
          </c:cat>
          <c:val>
            <c:numRef>
              <c:f>Sheet4!$K$4:$K$8</c:f>
              <c:numCache>
                <c:formatCode>#,##0.0</c:formatCode>
                <c:ptCount val="5"/>
                <c:pt idx="0">
                  <c:v>19.921320000000001</c:v>
                </c:pt>
                <c:pt idx="1">
                  <c:v>19.613655999999999</c:v>
                </c:pt>
                <c:pt idx="2">
                  <c:v>20.588742</c:v>
                </c:pt>
                <c:pt idx="3">
                  <c:v>21.000554999999999</c:v>
                </c:pt>
                <c:pt idx="4">
                  <c:v>20.367491999999999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CF6-4FD0-9F74-744522E7C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717400"/>
        <c:axId val="845722104"/>
      </c:lineChart>
      <c:catAx>
        <c:axId val="845727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4.0833333333333303E-3"/>
              <c:y val="9.2367137558651072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8376"/>
        <c:crosses val="autoZero"/>
        <c:auto val="1"/>
        <c:lblAlgn val="ctr"/>
        <c:lblOffset val="100"/>
        <c:noMultiLvlLbl val="0"/>
      </c:catAx>
      <c:valAx>
        <c:axId val="84572837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7984"/>
        <c:crosses val="autoZero"/>
        <c:crossBetween val="between"/>
      </c:valAx>
      <c:valAx>
        <c:axId val="845722104"/>
        <c:scaling>
          <c:orientation val="minMax"/>
          <c:min val="18.5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17400"/>
        <c:crosses val="max"/>
        <c:crossBetween val="between"/>
        <c:majorUnit val="1"/>
      </c:valAx>
      <c:catAx>
        <c:axId val="84571740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297222222222234"/>
              <c:y val="1.824571956951133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45722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1E-4A8F-A772-24CE20E589E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1E-4A8F-A772-24CE20E589EF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1E-4A8F-A772-24CE20E589EF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21E-4A8F-A772-24CE20E589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Sheet1!$H$6:$H$8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Sheet1!$I$6:$I$8</c:f>
              <c:numCache>
                <c:formatCode>0</c:formatCode>
                <c:ptCount val="3"/>
                <c:pt idx="0">
                  <c:v>1.321</c:v>
                </c:pt>
                <c:pt idx="1">
                  <c:v>17.303000000000001</c:v>
                </c:pt>
                <c:pt idx="2">
                  <c:v>36.000999999999998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1E-4A8F-A772-24CE20E589E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78735632183908044"/>
          <c:h val="0.9513888888888888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FA-4CD3-8F50-0683F3C0B8BA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FA-4CD3-8F50-0683F3C0B8BA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FA-4CD3-8F50-0683F3C0B8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Sheet1!$H$10:$H$12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Sheet1!$I$10:$I$12</c:f>
              <c:numCache>
                <c:formatCode>0</c:formatCode>
                <c:ptCount val="3"/>
                <c:pt idx="0">
                  <c:v>6.4409999999999998</c:v>
                </c:pt>
                <c:pt idx="1">
                  <c:v>190.79900000000001</c:v>
                </c:pt>
                <c:pt idx="2">
                  <c:v>198.19399999999999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FA-4CD3-8F50-0683F3C0B8B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Akım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Sheet5!$B$4:$B$7</c:f>
              <c:numCache>
                <c:formatCode>0</c:formatCode>
                <c:ptCount val="4"/>
                <c:pt idx="0">
                  <c:v>144.5</c:v>
                </c:pt>
                <c:pt idx="1">
                  <c:v>52.4</c:v>
                </c:pt>
                <c:pt idx="2">
                  <c:v>14.3</c:v>
                </c:pt>
                <c:pt idx="3">
                  <c:v>20.6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1-4535-8DD0-33C5962F1053}"/>
            </c:ext>
          </c:extLst>
        </c:ser>
        <c:ser>
          <c:idx val="1"/>
          <c:order val="1"/>
          <c:tx>
            <c:strRef>
              <c:f>Sheet5!$C$3</c:f>
              <c:strCache>
                <c:ptCount val="1"/>
                <c:pt idx="0">
                  <c:v>Bakiye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Sheet5!$A$4:$A$7</c:f>
              <c:strCache>
                <c:ptCount val="4"/>
                <c:pt idx="0">
                  <c:v>Konut</c:v>
                </c:pt>
                <c:pt idx="1">
                  <c:v>Taşıt </c:v>
                </c:pt>
                <c:pt idx="2">
                  <c:v>İhtiyaç *</c:v>
                </c:pt>
                <c:pt idx="3">
                  <c:v>Toplam bireysel</c:v>
                </c:pt>
              </c:strCache>
            </c:strRef>
          </c:cat>
          <c:val>
            <c:numRef>
              <c:f>Sheet5!$C$4:$C$7</c:f>
              <c:numCache>
                <c:formatCode>0</c:formatCode>
                <c:ptCount val="4"/>
                <c:pt idx="0">
                  <c:v>81.7</c:v>
                </c:pt>
                <c:pt idx="1">
                  <c:v>28.6</c:v>
                </c:pt>
                <c:pt idx="2">
                  <c:v>11.1</c:v>
                </c:pt>
                <c:pt idx="3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01-4535-8DD0-33C5962F10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5726024"/>
        <c:axId val="845723280"/>
      </c:barChart>
      <c:catAx>
        <c:axId val="84572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3280"/>
        <c:crosses val="autoZero"/>
        <c:auto val="1"/>
        <c:lblAlgn val="ctr"/>
        <c:lblOffset val="100"/>
        <c:noMultiLvlLbl val="0"/>
      </c:catAx>
      <c:valAx>
        <c:axId val="84572328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6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Nisan-Haziran 2017</c:v>
                </c:pt>
                <c:pt idx="1">
                  <c:v>Ekim-Aralık 2017</c:v>
                </c:pt>
                <c:pt idx="2">
                  <c:v>Nisan-Haziran 2018</c:v>
                </c:pt>
              </c:strCache>
            </c:strRef>
          </c:cat>
          <c:val>
            <c:numRef>
              <c:f>Sheet2!$B$10:$D$10</c:f>
              <c:numCache>
                <c:formatCode>0.00</c:formatCode>
                <c:ptCount val="3"/>
                <c:pt idx="0">
                  <c:v>0.10936896714854194</c:v>
                </c:pt>
                <c:pt idx="1">
                  <c:v>6.6499408487493444E-2</c:v>
                </c:pt>
                <c:pt idx="2">
                  <c:v>7.8416756329871329E-2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3D-4293-82ED-451665852DDC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Nisan-Haziran 2017</c:v>
                </c:pt>
                <c:pt idx="1">
                  <c:v>Ekim-Aralık 2017</c:v>
                </c:pt>
                <c:pt idx="2">
                  <c:v>Nisan-Haziran 2018</c:v>
                </c:pt>
              </c:strCache>
            </c:strRef>
          </c:cat>
          <c:val>
            <c:numRef>
              <c:f>Sheet2!$B$11:$D$11</c:f>
              <c:numCache>
                <c:formatCode>0.00</c:formatCode>
                <c:ptCount val="3"/>
                <c:pt idx="0">
                  <c:v>3.1073691532924164</c:v>
                </c:pt>
                <c:pt idx="1">
                  <c:v>2.7551135270645335</c:v>
                </c:pt>
                <c:pt idx="2">
                  <c:v>2.5943078961973463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3D-4293-82ED-451665852D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0144"/>
        <c:axId val="845726808"/>
      </c:barChart>
      <c:catAx>
        <c:axId val="84572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6808"/>
        <c:crosses val="autoZero"/>
        <c:auto val="1"/>
        <c:lblAlgn val="ctr"/>
        <c:lblOffset val="100"/>
        <c:noMultiLvlLbl val="0"/>
      </c:catAx>
      <c:valAx>
        <c:axId val="845726808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0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A76F-444A-4BC9-AC43-93E7AB26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725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asli.ozaktan@tbb.org.tr</dc:creator>
  <cp:keywords/>
  <cp:lastModifiedBy>Aslı Özaktan</cp:lastModifiedBy>
  <cp:revision>19</cp:revision>
  <cp:lastPrinted>2018-10-02T06:37:00Z</cp:lastPrinted>
  <dcterms:created xsi:type="dcterms:W3CDTF">2018-07-31T07:08:00Z</dcterms:created>
  <dcterms:modified xsi:type="dcterms:W3CDTF">2018-10-02T08:01:00Z</dcterms:modified>
</cp:coreProperties>
</file>