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4D2FE0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C7895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>
        <w:rPr>
          <w:rStyle w:val="TitleChar"/>
          <w:rFonts w:ascii="Arial" w:hAnsi="Arial"/>
          <w:bCs/>
          <w:sz w:val="28"/>
        </w:rPr>
        <w:t xml:space="preserve"> ve Konut Kredileri</w:t>
      </w:r>
      <w:r w:rsidRPr="004D2FE0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4D2FE0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1C7895" w:rsidRDefault="00CB615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852C1B">
        <w:rPr>
          <w:rFonts w:ascii="Arial" w:hAnsi="Arial" w:cs="Arial"/>
          <w:bCs/>
          <w:szCs w:val="24"/>
        </w:rPr>
        <w:t xml:space="preserve"> 2018</w:t>
      </w:r>
    </w:p>
    <w:p w:rsidR="001B45C1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:rsidR="005A0906" w:rsidRPr="00954555" w:rsidRDefault="005A0906">
      <w:pPr>
        <w:pStyle w:val="BodyText"/>
        <w:rPr>
          <w:rFonts w:ascii="Arial" w:hAnsi="Arial" w:cs="Arial"/>
          <w:b/>
          <w:sz w:val="22"/>
          <w:szCs w:val="22"/>
        </w:rPr>
      </w:pPr>
      <w:r w:rsidRPr="00954555">
        <w:rPr>
          <w:rFonts w:ascii="Arial" w:hAnsi="Arial" w:cs="Arial"/>
          <w:b/>
          <w:sz w:val="22"/>
          <w:szCs w:val="22"/>
        </w:rPr>
        <w:t>Tüketici kredisi</w:t>
      </w:r>
      <w:r w:rsidR="008100CA">
        <w:rPr>
          <w:rFonts w:ascii="Arial" w:hAnsi="Arial" w:cs="Arial"/>
          <w:b/>
          <w:sz w:val="22"/>
          <w:szCs w:val="22"/>
        </w:rPr>
        <w:t xml:space="preserve"> ve konut kredisi</w:t>
      </w:r>
      <w:r w:rsidRPr="00954555">
        <w:rPr>
          <w:rFonts w:ascii="Arial" w:hAnsi="Arial" w:cs="Arial"/>
          <w:b/>
          <w:sz w:val="22"/>
          <w:szCs w:val="22"/>
        </w:rPr>
        <w:t xml:space="preserve"> kullanan </w:t>
      </w:r>
      <w:r w:rsidR="001D26B8" w:rsidRPr="00954555">
        <w:rPr>
          <w:rFonts w:ascii="Arial" w:hAnsi="Arial" w:cs="Arial"/>
          <w:b/>
          <w:sz w:val="22"/>
          <w:szCs w:val="22"/>
        </w:rPr>
        <w:t xml:space="preserve">toplam </w:t>
      </w:r>
      <w:r w:rsidRPr="00954555">
        <w:rPr>
          <w:rFonts w:ascii="Arial" w:hAnsi="Arial" w:cs="Arial"/>
          <w:b/>
          <w:sz w:val="22"/>
          <w:szCs w:val="22"/>
        </w:rPr>
        <w:t xml:space="preserve">kişi sayısı </w:t>
      </w:r>
      <w:r w:rsidR="00861E66">
        <w:rPr>
          <w:rFonts w:ascii="Arial" w:hAnsi="Arial" w:cs="Arial"/>
          <w:b/>
          <w:sz w:val="22"/>
          <w:szCs w:val="22"/>
        </w:rPr>
        <w:t>2</w:t>
      </w:r>
      <w:r w:rsidR="00B94C79">
        <w:rPr>
          <w:rFonts w:ascii="Arial" w:hAnsi="Arial" w:cs="Arial"/>
          <w:b/>
          <w:sz w:val="22"/>
          <w:szCs w:val="22"/>
        </w:rPr>
        <w:t>0</w:t>
      </w:r>
      <w:r w:rsidR="00861E66">
        <w:rPr>
          <w:rFonts w:ascii="Arial" w:hAnsi="Arial" w:cs="Arial"/>
          <w:b/>
          <w:sz w:val="22"/>
          <w:szCs w:val="22"/>
        </w:rPr>
        <w:t xml:space="preserve"> milyon </w:t>
      </w:r>
      <w:r w:rsidR="00CB6151">
        <w:rPr>
          <w:rFonts w:ascii="Arial" w:hAnsi="Arial" w:cs="Arial"/>
          <w:b/>
          <w:sz w:val="22"/>
          <w:szCs w:val="22"/>
        </w:rPr>
        <w:t>61</w:t>
      </w:r>
      <w:r w:rsidR="00B94C79">
        <w:rPr>
          <w:rFonts w:ascii="Arial" w:hAnsi="Arial" w:cs="Arial"/>
          <w:b/>
          <w:sz w:val="22"/>
          <w:szCs w:val="22"/>
        </w:rPr>
        <w:t xml:space="preserve"> bin </w:t>
      </w:r>
      <w:r w:rsidR="00CC7EB3">
        <w:rPr>
          <w:rFonts w:ascii="Arial" w:hAnsi="Arial" w:cs="Arial"/>
          <w:b/>
          <w:sz w:val="22"/>
          <w:szCs w:val="22"/>
        </w:rPr>
        <w:t>kişi</w:t>
      </w:r>
      <w:r w:rsidRPr="00954555">
        <w:rPr>
          <w:rFonts w:ascii="Arial" w:hAnsi="Arial" w:cs="Arial"/>
          <w:b/>
          <w:sz w:val="22"/>
          <w:szCs w:val="22"/>
        </w:rPr>
        <w:t xml:space="preserve">, kredi miktarı ise </w:t>
      </w:r>
      <w:r w:rsidR="008B7105">
        <w:rPr>
          <w:rFonts w:ascii="Arial" w:hAnsi="Arial" w:cs="Arial"/>
          <w:b/>
          <w:sz w:val="22"/>
          <w:szCs w:val="22"/>
        </w:rPr>
        <w:t>3</w:t>
      </w:r>
      <w:r w:rsidR="00CB6151">
        <w:rPr>
          <w:rFonts w:ascii="Arial" w:hAnsi="Arial" w:cs="Arial"/>
          <w:b/>
          <w:sz w:val="22"/>
          <w:szCs w:val="22"/>
        </w:rPr>
        <w:t>73</w:t>
      </w:r>
      <w:r w:rsidR="00680F46">
        <w:rPr>
          <w:rFonts w:ascii="Arial" w:hAnsi="Arial" w:cs="Arial"/>
          <w:b/>
          <w:sz w:val="22"/>
          <w:szCs w:val="22"/>
        </w:rPr>
        <w:t xml:space="preserve"> </w:t>
      </w:r>
      <w:r w:rsidRPr="00954555">
        <w:rPr>
          <w:rFonts w:ascii="Arial" w:hAnsi="Arial" w:cs="Arial"/>
          <w:b/>
          <w:sz w:val="22"/>
          <w:szCs w:val="22"/>
        </w:rPr>
        <w:t>mily</w:t>
      </w:r>
      <w:r w:rsidR="008100CA">
        <w:rPr>
          <w:rFonts w:ascii="Arial" w:hAnsi="Arial" w:cs="Arial"/>
          <w:b/>
          <w:sz w:val="22"/>
          <w:szCs w:val="22"/>
        </w:rPr>
        <w:t>ar</w:t>
      </w:r>
      <w:r w:rsidR="009D5899">
        <w:rPr>
          <w:rFonts w:ascii="Arial" w:hAnsi="Arial" w:cs="Arial"/>
          <w:b/>
          <w:sz w:val="22"/>
          <w:szCs w:val="22"/>
        </w:rPr>
        <w:t xml:space="preserve"> TL olarak gerçekleşmiştir.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5A0906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5A0906">
        <w:rPr>
          <w:rFonts w:ascii="Arial" w:hAnsi="Arial" w:cs="Arial"/>
          <w:b/>
          <w:sz w:val="22"/>
          <w:szCs w:val="22"/>
        </w:rPr>
        <w:t>Kullandırılan Miktar ve Kişi Sayısı</w:t>
      </w:r>
    </w:p>
    <w:p w:rsidR="00A508C2" w:rsidRPr="008057D0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20DF4" w:rsidRDefault="00CB6151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D970C8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42DB7">
        <w:rPr>
          <w:rFonts w:ascii="Arial" w:hAnsi="Arial" w:cs="Arial"/>
          <w:sz w:val="22"/>
          <w:szCs w:val="22"/>
        </w:rPr>
        <w:t xml:space="preserve">döneminde </w:t>
      </w:r>
      <w:r>
        <w:rPr>
          <w:rFonts w:ascii="Arial" w:hAnsi="Arial" w:cs="Arial"/>
          <w:sz w:val="22"/>
          <w:szCs w:val="22"/>
        </w:rPr>
        <w:t>1,9</w:t>
      </w:r>
      <w:r w:rsidR="00EC36F8">
        <w:rPr>
          <w:rFonts w:ascii="Arial" w:hAnsi="Arial" w:cs="Arial"/>
          <w:sz w:val="22"/>
          <w:szCs w:val="22"/>
        </w:rPr>
        <w:t xml:space="preserve"> milyon </w:t>
      </w:r>
      <w:r w:rsidR="00A508C2" w:rsidRPr="003C609E">
        <w:rPr>
          <w:rFonts w:ascii="Arial" w:hAnsi="Arial" w:cs="Arial"/>
          <w:sz w:val="22"/>
          <w:szCs w:val="22"/>
        </w:rPr>
        <w:t>kişiye</w:t>
      </w:r>
      <w:r w:rsidR="00251E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</w:t>
      </w:r>
      <w:r w:rsidR="00E20BB6" w:rsidRPr="005A0906">
        <w:rPr>
          <w:rFonts w:ascii="Arial" w:hAnsi="Arial" w:cs="Arial"/>
          <w:sz w:val="22"/>
          <w:szCs w:val="22"/>
        </w:rPr>
        <w:t xml:space="preserve"> mily</w:t>
      </w:r>
      <w:r w:rsidR="008100CA">
        <w:rPr>
          <w:rFonts w:ascii="Arial" w:hAnsi="Arial" w:cs="Arial"/>
          <w:sz w:val="22"/>
          <w:szCs w:val="22"/>
        </w:rPr>
        <w:t>ar</w:t>
      </w:r>
      <w:r w:rsidR="00E20BB6" w:rsidRPr="005A0906">
        <w:rPr>
          <w:rFonts w:ascii="Arial" w:hAnsi="Arial" w:cs="Arial"/>
          <w:sz w:val="22"/>
          <w:szCs w:val="22"/>
        </w:rPr>
        <w:t xml:space="preserve"> </w:t>
      </w:r>
      <w:r w:rsidR="00A508C2" w:rsidRPr="005A0906">
        <w:rPr>
          <w:rFonts w:ascii="Arial" w:hAnsi="Arial" w:cs="Arial"/>
          <w:sz w:val="22"/>
          <w:szCs w:val="22"/>
        </w:rPr>
        <w:t>TL tutarında tüketici kredisi</w:t>
      </w:r>
      <w:r w:rsidR="008100CA">
        <w:rPr>
          <w:rFonts w:ascii="Arial" w:hAnsi="Arial" w:cs="Arial"/>
          <w:sz w:val="22"/>
          <w:szCs w:val="22"/>
        </w:rPr>
        <w:t xml:space="preserve"> ve konut kredisi</w:t>
      </w:r>
      <w:r w:rsidR="00A508C2" w:rsidRPr="005A0906">
        <w:rPr>
          <w:rFonts w:ascii="Arial" w:hAnsi="Arial" w:cs="Arial"/>
          <w:sz w:val="22"/>
          <w:szCs w:val="22"/>
        </w:rPr>
        <w:t xml:space="preserve"> kullandırılmıştır. Kredi kullanan kişi sayısı </w:t>
      </w:r>
      <w:r w:rsidR="009E7BD2" w:rsidRPr="005A0906">
        <w:rPr>
          <w:rFonts w:ascii="Arial" w:hAnsi="Arial" w:cs="Arial"/>
          <w:sz w:val="22"/>
          <w:szCs w:val="22"/>
        </w:rPr>
        <w:t xml:space="preserve">bir önceki yılın aynı dönemine göre </w:t>
      </w:r>
      <w:r w:rsidR="00F83AA7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30</w:t>
      </w:r>
      <w:r w:rsidR="009E7BD2">
        <w:rPr>
          <w:rFonts w:ascii="Arial" w:hAnsi="Arial" w:cs="Arial"/>
          <w:sz w:val="22"/>
          <w:szCs w:val="22"/>
        </w:rPr>
        <w:t xml:space="preserve">, </w:t>
      </w:r>
      <w:r w:rsidR="00320DF4">
        <w:rPr>
          <w:rFonts w:ascii="Arial" w:hAnsi="Arial" w:cs="Arial"/>
          <w:sz w:val="22"/>
          <w:szCs w:val="22"/>
        </w:rPr>
        <w:t xml:space="preserve">kredi miktarı </w:t>
      </w:r>
      <w:r w:rsidR="00B82A7E">
        <w:rPr>
          <w:rFonts w:ascii="Arial" w:hAnsi="Arial" w:cs="Arial"/>
          <w:sz w:val="22"/>
          <w:szCs w:val="22"/>
        </w:rPr>
        <w:t xml:space="preserve">ise </w:t>
      </w:r>
      <w:r w:rsidR="00A508C2" w:rsidRPr="005A0906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59</w:t>
      </w:r>
      <w:r w:rsidR="00F432BD" w:rsidRPr="005A0906">
        <w:rPr>
          <w:rFonts w:ascii="Arial" w:hAnsi="Arial" w:cs="Arial"/>
          <w:sz w:val="22"/>
          <w:szCs w:val="22"/>
        </w:rPr>
        <w:t xml:space="preserve"> oranında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BA5C98">
        <w:rPr>
          <w:rFonts w:ascii="Arial" w:hAnsi="Arial" w:cs="Arial"/>
          <w:sz w:val="22"/>
          <w:szCs w:val="22"/>
        </w:rPr>
        <w:t>azalmıştır</w:t>
      </w:r>
      <w:r w:rsidR="00E273CA">
        <w:rPr>
          <w:rFonts w:ascii="Arial" w:hAnsi="Arial" w:cs="Arial"/>
          <w:sz w:val="22"/>
          <w:szCs w:val="22"/>
        </w:rPr>
        <w:t>.</w:t>
      </w:r>
      <w:r w:rsidR="008341A8">
        <w:rPr>
          <w:rFonts w:ascii="Arial" w:hAnsi="Arial" w:cs="Arial"/>
          <w:sz w:val="22"/>
          <w:szCs w:val="22"/>
        </w:rPr>
        <w:t xml:space="preserve"> </w:t>
      </w:r>
      <w:r w:rsidR="008341A8" w:rsidRPr="00D46D1D">
        <w:rPr>
          <w:rFonts w:ascii="Arial" w:hAnsi="Arial" w:cs="Arial"/>
          <w:sz w:val="22"/>
          <w:szCs w:val="22"/>
        </w:rPr>
        <w:t>Böyle</w:t>
      </w:r>
      <w:r w:rsidR="005B6CF5" w:rsidRPr="00D46D1D">
        <w:rPr>
          <w:rFonts w:ascii="Arial" w:hAnsi="Arial" w:cs="Arial"/>
          <w:sz w:val="22"/>
          <w:szCs w:val="22"/>
        </w:rPr>
        <w:t xml:space="preserve">ce </w:t>
      </w:r>
      <w:r w:rsidR="001D1F34">
        <w:rPr>
          <w:rFonts w:ascii="Arial" w:hAnsi="Arial" w:cs="Arial"/>
          <w:sz w:val="22"/>
          <w:szCs w:val="22"/>
        </w:rPr>
        <w:t>2018</w:t>
      </w:r>
      <w:r w:rsidR="000D00FD" w:rsidRPr="00D46D1D">
        <w:rPr>
          <w:rFonts w:ascii="Arial" w:hAnsi="Arial" w:cs="Arial"/>
          <w:sz w:val="22"/>
          <w:szCs w:val="22"/>
        </w:rPr>
        <w:t xml:space="preserve"> </w:t>
      </w:r>
      <w:r w:rsidR="00B62817">
        <w:rPr>
          <w:rFonts w:ascii="Arial" w:hAnsi="Arial" w:cs="Arial"/>
          <w:sz w:val="22"/>
          <w:szCs w:val="22"/>
        </w:rPr>
        <w:t>yılında</w:t>
      </w:r>
      <w:r w:rsidR="000D00FD" w:rsidRPr="00D46D1D">
        <w:rPr>
          <w:rFonts w:ascii="Arial" w:hAnsi="Arial" w:cs="Arial"/>
          <w:sz w:val="22"/>
          <w:szCs w:val="22"/>
        </w:rPr>
        <w:t xml:space="preserve"> </w:t>
      </w:r>
      <w:r w:rsidR="005B6CF5" w:rsidRPr="00D46D1D">
        <w:rPr>
          <w:rFonts w:ascii="Arial" w:hAnsi="Arial" w:cs="Arial"/>
          <w:sz w:val="22"/>
          <w:szCs w:val="22"/>
        </w:rPr>
        <w:t xml:space="preserve">toplam </w:t>
      </w:r>
      <w:r w:rsidR="002F40FC">
        <w:rPr>
          <w:rFonts w:ascii="Arial" w:hAnsi="Arial" w:cs="Arial"/>
          <w:sz w:val="22"/>
          <w:szCs w:val="22"/>
        </w:rPr>
        <w:t>9,6</w:t>
      </w:r>
      <w:r w:rsidR="005B6CF5" w:rsidRPr="00D46D1D">
        <w:rPr>
          <w:rFonts w:ascii="Arial" w:hAnsi="Arial" w:cs="Arial"/>
          <w:sz w:val="22"/>
          <w:szCs w:val="22"/>
        </w:rPr>
        <w:t xml:space="preserve"> milyon </w:t>
      </w:r>
      <w:r w:rsidR="00B61D33">
        <w:rPr>
          <w:rFonts w:ascii="Arial" w:hAnsi="Arial" w:cs="Arial"/>
          <w:sz w:val="22"/>
          <w:szCs w:val="22"/>
        </w:rPr>
        <w:t xml:space="preserve">kişiye </w:t>
      </w:r>
      <w:r w:rsidR="002F40FC">
        <w:rPr>
          <w:rFonts w:ascii="Arial" w:hAnsi="Arial" w:cs="Arial"/>
          <w:sz w:val="22"/>
          <w:szCs w:val="22"/>
        </w:rPr>
        <w:t>162</w:t>
      </w:r>
      <w:r w:rsidR="008341A8" w:rsidRPr="00D46D1D">
        <w:rPr>
          <w:rFonts w:ascii="Arial" w:hAnsi="Arial" w:cs="Arial"/>
          <w:sz w:val="22"/>
          <w:szCs w:val="22"/>
        </w:rPr>
        <w:t xml:space="preserve"> milyar TL tutarında tüketici </w:t>
      </w:r>
      <w:r w:rsidR="00B82A7E">
        <w:rPr>
          <w:rFonts w:ascii="Arial" w:hAnsi="Arial" w:cs="Arial"/>
          <w:sz w:val="22"/>
          <w:szCs w:val="22"/>
        </w:rPr>
        <w:t xml:space="preserve">ve konut </w:t>
      </w:r>
      <w:r w:rsidR="008341A8" w:rsidRPr="00D46D1D">
        <w:rPr>
          <w:rFonts w:ascii="Arial" w:hAnsi="Arial" w:cs="Arial"/>
          <w:sz w:val="22"/>
          <w:szCs w:val="22"/>
        </w:rPr>
        <w:t xml:space="preserve">kredisi kullandırılmıştır. </w:t>
      </w:r>
    </w:p>
    <w:p w:rsidR="00337100" w:rsidRPr="00B62817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(Dönemsel)</w:t>
      </w:r>
    </w:p>
    <w:p w:rsidR="00616042" w:rsidRDefault="00616042" w:rsidP="00822AE1">
      <w:pPr>
        <w:pStyle w:val="BodyTex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D5241" w:rsidRPr="00FD5241" w:rsidRDefault="00A27BE8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r>
        <w:rPr>
          <w:rFonts w:ascii="Arial" w:hAnsi="Arial" w:cs="Arial"/>
          <w:b/>
          <w:bCs/>
          <w:noProof/>
          <w:color w:val="000000"/>
          <w:sz w:val="10"/>
          <w:szCs w:val="10"/>
          <w:lang w:eastAsia="tr-TR"/>
        </w:rPr>
        <w:drawing>
          <wp:inline distT="0" distB="0" distL="0" distR="0" wp14:anchorId="65B4F792">
            <wp:extent cx="4383405" cy="1859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501" w:rsidRPr="00B62817" w:rsidRDefault="007B4501" w:rsidP="00A508C2">
      <w:pPr>
        <w:pStyle w:val="BodyText"/>
        <w:rPr>
          <w:rFonts w:ascii="Arial" w:hAnsi="Arial" w:cs="Arial"/>
          <w:sz w:val="12"/>
          <w:szCs w:val="12"/>
        </w:rPr>
      </w:pPr>
    </w:p>
    <w:p w:rsidR="00A508C2" w:rsidRDefault="00C301DA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551AB4">
        <w:rPr>
          <w:rFonts w:ascii="Arial" w:hAnsi="Arial" w:cs="Arial"/>
          <w:sz w:val="22"/>
          <w:szCs w:val="22"/>
        </w:rPr>
        <w:t xml:space="preserve"> 201</w:t>
      </w:r>
      <w:r w:rsidR="00137D81">
        <w:rPr>
          <w:rFonts w:ascii="Arial" w:hAnsi="Arial" w:cs="Arial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9A6421">
        <w:rPr>
          <w:rFonts w:ascii="Arial" w:hAnsi="Arial" w:cs="Arial"/>
          <w:sz w:val="22"/>
          <w:szCs w:val="22"/>
        </w:rPr>
        <w:t xml:space="preserve">dönemi sonu itibariyle </w:t>
      </w:r>
      <w:r w:rsidR="00A508C2" w:rsidRPr="00B170A3">
        <w:rPr>
          <w:rFonts w:ascii="Arial" w:hAnsi="Arial" w:cs="Arial"/>
          <w:sz w:val="22"/>
          <w:szCs w:val="22"/>
        </w:rPr>
        <w:t>tüketici kredileri</w:t>
      </w:r>
      <w:r w:rsidR="008100CA">
        <w:rPr>
          <w:rFonts w:ascii="Arial" w:hAnsi="Arial" w:cs="Arial"/>
          <w:sz w:val="22"/>
          <w:szCs w:val="22"/>
        </w:rPr>
        <w:t xml:space="preserve"> ve konut kredileri</w:t>
      </w:r>
      <w:r w:rsidR="00A508C2" w:rsidRPr="00B170A3">
        <w:rPr>
          <w:rFonts w:ascii="Arial" w:hAnsi="Arial" w:cs="Arial"/>
          <w:sz w:val="22"/>
          <w:szCs w:val="22"/>
        </w:rPr>
        <w:t xml:space="preserve"> bakiyesi </w:t>
      </w:r>
      <w:r w:rsidR="00AE4F7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73</w:t>
      </w:r>
      <w:r w:rsidR="00B474B4">
        <w:rPr>
          <w:rFonts w:ascii="Arial" w:hAnsi="Arial" w:cs="Arial"/>
          <w:sz w:val="22"/>
          <w:szCs w:val="22"/>
        </w:rPr>
        <w:t xml:space="preserve"> </w:t>
      </w:r>
      <w:r w:rsidR="008100CA">
        <w:rPr>
          <w:rFonts w:ascii="Arial" w:hAnsi="Arial" w:cs="Arial"/>
          <w:sz w:val="22"/>
          <w:szCs w:val="22"/>
        </w:rPr>
        <w:t>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87122">
        <w:rPr>
          <w:rFonts w:ascii="Arial" w:hAnsi="Arial" w:cs="Arial"/>
          <w:sz w:val="22"/>
          <w:szCs w:val="22"/>
        </w:rPr>
        <w:t>2</w:t>
      </w:r>
      <w:r w:rsidR="007B4501">
        <w:rPr>
          <w:rFonts w:ascii="Arial" w:hAnsi="Arial" w:cs="Arial"/>
          <w:sz w:val="22"/>
          <w:szCs w:val="22"/>
        </w:rPr>
        <w:t>0</w:t>
      </w:r>
      <w:r w:rsidR="00551AB4">
        <w:rPr>
          <w:rFonts w:ascii="Arial" w:hAnsi="Arial" w:cs="Arial"/>
          <w:sz w:val="22"/>
          <w:szCs w:val="22"/>
        </w:rPr>
        <w:t xml:space="preserve"> </w:t>
      </w:r>
      <w:r w:rsidR="00137D81">
        <w:rPr>
          <w:rFonts w:ascii="Arial" w:hAnsi="Arial" w:cs="Arial"/>
          <w:sz w:val="22"/>
          <w:szCs w:val="22"/>
        </w:rPr>
        <w:t>milyon</w:t>
      </w:r>
      <w:r w:rsidR="007B45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61</w:t>
      </w:r>
      <w:r w:rsidR="007B45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501">
        <w:rPr>
          <w:rFonts w:ascii="Arial" w:hAnsi="Arial" w:cs="Arial"/>
          <w:sz w:val="22"/>
          <w:szCs w:val="22"/>
        </w:rPr>
        <w:t>bin’di</w:t>
      </w:r>
      <w:r w:rsidR="008B1B07">
        <w:rPr>
          <w:rFonts w:ascii="Arial" w:hAnsi="Arial" w:cs="Arial"/>
          <w:sz w:val="22"/>
          <w:szCs w:val="22"/>
        </w:rPr>
        <w:t>r</w:t>
      </w:r>
      <w:proofErr w:type="spellEnd"/>
      <w:r w:rsidR="005721C7">
        <w:rPr>
          <w:rFonts w:ascii="Arial" w:hAnsi="Arial" w:cs="Arial"/>
          <w:sz w:val="22"/>
          <w:szCs w:val="22"/>
        </w:rPr>
        <w:t>.</w:t>
      </w:r>
      <w:r w:rsidR="00A508C2" w:rsidRPr="00B170A3">
        <w:rPr>
          <w:rFonts w:ascii="Arial" w:hAnsi="Arial" w:cs="Arial"/>
          <w:sz w:val="22"/>
          <w:szCs w:val="22"/>
        </w:rPr>
        <w:t xml:space="preserve"> Toplam kişi sayısı </w:t>
      </w:r>
      <w:r w:rsidR="00137D81">
        <w:rPr>
          <w:rFonts w:ascii="Arial" w:hAnsi="Arial" w:cs="Arial"/>
          <w:bCs/>
          <w:sz w:val="22"/>
          <w:szCs w:val="22"/>
        </w:rPr>
        <w:t>bir önceki yılın aynı</w:t>
      </w:r>
      <w:r w:rsidR="00382EDF">
        <w:rPr>
          <w:rFonts w:ascii="Arial" w:hAnsi="Arial" w:cs="Arial"/>
          <w:bCs/>
          <w:sz w:val="22"/>
          <w:szCs w:val="22"/>
        </w:rPr>
        <w:t xml:space="preserve"> dönemine göre </w:t>
      </w:r>
      <w:r>
        <w:rPr>
          <w:rFonts w:ascii="Arial" w:hAnsi="Arial" w:cs="Arial"/>
          <w:bCs/>
          <w:sz w:val="22"/>
          <w:szCs w:val="22"/>
        </w:rPr>
        <w:t>527</w:t>
      </w:r>
      <w:r w:rsidR="00B72506">
        <w:rPr>
          <w:rFonts w:ascii="Arial" w:hAnsi="Arial" w:cs="Arial"/>
          <w:bCs/>
          <w:sz w:val="22"/>
          <w:szCs w:val="22"/>
        </w:rPr>
        <w:t xml:space="preserve"> bin</w:t>
      </w:r>
      <w:r w:rsidR="00382EDF">
        <w:rPr>
          <w:rFonts w:ascii="Arial" w:hAnsi="Arial" w:cs="Arial"/>
          <w:bCs/>
          <w:sz w:val="22"/>
          <w:szCs w:val="22"/>
        </w:rPr>
        <w:t xml:space="preserve">, </w:t>
      </w:r>
      <w:r w:rsidR="00D531B7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>
        <w:rPr>
          <w:rFonts w:ascii="Arial" w:hAnsi="Arial" w:cs="Arial"/>
          <w:sz w:val="22"/>
          <w:szCs w:val="22"/>
        </w:rPr>
        <w:t>göre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ise yaklaşık 43</w:t>
      </w:r>
      <w:r w:rsidR="00B72506">
        <w:rPr>
          <w:rFonts w:ascii="Arial" w:hAnsi="Arial" w:cs="Arial"/>
          <w:sz w:val="22"/>
          <w:szCs w:val="22"/>
        </w:rPr>
        <w:t xml:space="preserve"> bin kişi</w:t>
      </w:r>
      <w:r w:rsidR="00AE4F7B">
        <w:rPr>
          <w:rFonts w:ascii="Arial" w:hAnsi="Arial" w:cs="Arial"/>
          <w:sz w:val="22"/>
          <w:szCs w:val="22"/>
        </w:rPr>
        <w:t xml:space="preserve"> </w:t>
      </w:r>
      <w:r w:rsidR="007B4501">
        <w:rPr>
          <w:rFonts w:ascii="Arial" w:hAnsi="Arial" w:cs="Arial"/>
          <w:sz w:val="22"/>
          <w:szCs w:val="22"/>
        </w:rPr>
        <w:t>azal</w:t>
      </w:r>
      <w:r w:rsidR="00AE4F7B">
        <w:rPr>
          <w:rFonts w:ascii="Arial" w:hAnsi="Arial" w:cs="Arial"/>
          <w:sz w:val="22"/>
          <w:szCs w:val="22"/>
        </w:rPr>
        <w:t>mıştır</w:t>
      </w:r>
      <w:r w:rsidR="00A508C2" w:rsidRPr="00B170A3">
        <w:rPr>
          <w:rFonts w:ascii="Arial" w:hAnsi="Arial" w:cs="Arial"/>
          <w:sz w:val="22"/>
          <w:szCs w:val="22"/>
        </w:rPr>
        <w:t>.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Tüketici kredisi </w:t>
      </w:r>
      <w:r w:rsidR="008100CA">
        <w:rPr>
          <w:rFonts w:ascii="Arial" w:hAnsi="Arial" w:cs="Arial"/>
          <w:sz w:val="22"/>
          <w:szCs w:val="22"/>
        </w:rPr>
        <w:t xml:space="preserve">ve konut kredileri </w:t>
      </w:r>
      <w:r w:rsidR="00B474B4">
        <w:rPr>
          <w:rFonts w:ascii="Arial" w:hAnsi="Arial" w:cs="Arial"/>
          <w:sz w:val="22"/>
          <w:szCs w:val="22"/>
        </w:rPr>
        <w:t>bakiyesi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</w:t>
      </w:r>
      <w:r>
        <w:rPr>
          <w:rFonts w:ascii="Arial" w:hAnsi="Arial" w:cs="Arial"/>
          <w:sz w:val="22"/>
          <w:szCs w:val="22"/>
        </w:rPr>
        <w:t>değişmez</w:t>
      </w:r>
      <w:r w:rsidR="001D7BCC">
        <w:rPr>
          <w:rFonts w:ascii="Arial" w:hAnsi="Arial" w:cs="Arial"/>
          <w:sz w:val="22"/>
          <w:szCs w:val="22"/>
        </w:rPr>
        <w:t>ken</w:t>
      </w:r>
      <w:r w:rsidR="00551AB4">
        <w:rPr>
          <w:rFonts w:ascii="Arial" w:hAnsi="Arial" w:cs="Arial"/>
          <w:sz w:val="22"/>
          <w:szCs w:val="22"/>
        </w:rPr>
        <w:t xml:space="preserve">, </w:t>
      </w:r>
      <w:r w:rsidR="005B603F">
        <w:rPr>
          <w:rFonts w:ascii="Arial" w:hAnsi="Arial" w:cs="Arial"/>
          <w:sz w:val="22"/>
          <w:szCs w:val="22"/>
        </w:rPr>
        <w:t xml:space="preserve">bir önceki üç aylık döneme göre </w:t>
      </w:r>
      <w:r w:rsidR="00A508C2" w:rsidRPr="00B170A3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4</w:t>
      </w:r>
      <w:r w:rsidR="00387CF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oranında </w:t>
      </w:r>
      <w:r w:rsidR="001D7BCC">
        <w:rPr>
          <w:rFonts w:ascii="Arial" w:hAnsi="Arial" w:cs="Arial"/>
          <w:sz w:val="22"/>
          <w:szCs w:val="22"/>
        </w:rPr>
        <w:t>küçül</w:t>
      </w:r>
      <w:r w:rsidR="002329DE">
        <w:rPr>
          <w:rFonts w:ascii="Arial" w:hAnsi="Arial" w:cs="Arial"/>
          <w:sz w:val="22"/>
          <w:szCs w:val="22"/>
        </w:rPr>
        <w:t>müştür</w:t>
      </w:r>
      <w:r w:rsidR="00A508C2" w:rsidRPr="00B170A3">
        <w:rPr>
          <w:rFonts w:ascii="Arial" w:hAnsi="Arial" w:cs="Arial"/>
          <w:sz w:val="22"/>
          <w:szCs w:val="22"/>
        </w:rPr>
        <w:t>.</w:t>
      </w:r>
    </w:p>
    <w:p w:rsidR="005E57E9" w:rsidRPr="008057D0" w:rsidRDefault="005E57E9" w:rsidP="00A508C2">
      <w:pPr>
        <w:pStyle w:val="BodyText"/>
        <w:rPr>
          <w:rFonts w:ascii="Arial" w:hAnsi="Arial" w:cs="Arial"/>
          <w:sz w:val="10"/>
          <w:szCs w:val="10"/>
        </w:rPr>
      </w:pPr>
    </w:p>
    <w:p w:rsidR="00337100" w:rsidRDefault="00337100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Kullandırılan Kredi Miktarı ve Kişi Sayısı (</w:t>
      </w:r>
      <w:r>
        <w:rPr>
          <w:rFonts w:ascii="Arial" w:hAnsi="Arial" w:cs="Arial"/>
          <w:b/>
          <w:bCs/>
          <w:color w:val="000000"/>
          <w:sz w:val="22"/>
          <w:szCs w:val="22"/>
        </w:rPr>
        <w:t>Bakiye</w:t>
      </w:r>
      <w:r w:rsidRPr="00CF0608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822AE1" w:rsidRPr="00B62817" w:rsidRDefault="00822AE1" w:rsidP="00337100">
      <w:pPr>
        <w:pStyle w:val="BodyTex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13CA7" w:rsidRPr="005E57E9" w:rsidRDefault="00822AE1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2E1ACCE7">
            <wp:extent cx="4706620" cy="20974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CA7" w:rsidRPr="00B170A3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sz w:val="16"/>
          <w:szCs w:val="16"/>
        </w:rPr>
        <w:t>*</w:t>
      </w:r>
      <w:r w:rsidRPr="00B170A3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>
        <w:rPr>
          <w:rFonts w:ascii="Arial" w:hAnsi="Arial" w:cs="Arial"/>
          <w:i/>
          <w:sz w:val="16"/>
          <w:szCs w:val="16"/>
        </w:rPr>
        <w:t xml:space="preserve">ve konut kredisi </w:t>
      </w:r>
      <w:r w:rsidRPr="00B170A3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>
        <w:rPr>
          <w:rFonts w:ascii="Arial" w:hAnsi="Arial" w:cs="Arial"/>
          <w:i/>
          <w:sz w:val="16"/>
          <w:szCs w:val="16"/>
        </w:rPr>
        <w:t>m içinde kullandırılan kredi</w:t>
      </w:r>
      <w:r w:rsidRPr="00B170A3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>
        <w:rPr>
          <w:rFonts w:ascii="Arial" w:hAnsi="Arial" w:cs="Arial"/>
          <w:i/>
          <w:sz w:val="16"/>
          <w:szCs w:val="16"/>
        </w:rPr>
        <w:t>e geri ödemesi yapılan kredi</w:t>
      </w:r>
    </w:p>
    <w:p w:rsidR="008057D0" w:rsidRPr="00E07444" w:rsidRDefault="008057D0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1C7895">
        <w:rPr>
          <w:rFonts w:ascii="Arial" w:hAnsi="Arial" w:cs="Arial"/>
          <w:sz w:val="22"/>
          <w:szCs w:val="22"/>
        </w:rPr>
        <w:t>akiye</w:t>
      </w:r>
      <w:r>
        <w:rPr>
          <w:rFonts w:ascii="Arial" w:hAnsi="Arial" w:cs="Arial"/>
          <w:sz w:val="22"/>
          <w:szCs w:val="22"/>
        </w:rPr>
        <w:t>ler itibariyle bakıldığında,</w:t>
      </w:r>
      <w:r w:rsidRPr="001C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1C7895">
        <w:rPr>
          <w:rFonts w:ascii="Arial" w:hAnsi="Arial" w:cs="Arial"/>
          <w:sz w:val="22"/>
          <w:szCs w:val="22"/>
        </w:rPr>
        <w:t xml:space="preserve">ir önceki yılın </w:t>
      </w:r>
      <w:r>
        <w:rPr>
          <w:rFonts w:ascii="Arial" w:hAnsi="Arial" w:cs="Arial"/>
          <w:sz w:val="22"/>
          <w:szCs w:val="22"/>
        </w:rPr>
        <w:t>aynı üç aylık</w:t>
      </w:r>
      <w:r w:rsidRPr="001C7895">
        <w:rPr>
          <w:rFonts w:ascii="Arial" w:hAnsi="Arial" w:cs="Arial"/>
          <w:sz w:val="22"/>
          <w:szCs w:val="22"/>
        </w:rPr>
        <w:t xml:space="preserve"> dönemine göre</w:t>
      </w:r>
      <w:r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taşıt kredileri </w:t>
      </w:r>
      <w:r>
        <w:rPr>
          <w:rFonts w:ascii="Arial" w:hAnsi="Arial" w:cs="Arial"/>
          <w:sz w:val="22"/>
          <w:szCs w:val="22"/>
        </w:rPr>
        <w:t xml:space="preserve">yüzde </w:t>
      </w:r>
      <w:r w:rsidR="00487C4C">
        <w:rPr>
          <w:rFonts w:ascii="Arial" w:hAnsi="Arial" w:cs="Arial"/>
          <w:sz w:val="22"/>
          <w:szCs w:val="22"/>
        </w:rPr>
        <w:t>11,</w:t>
      </w:r>
      <w:r w:rsidR="008155F5">
        <w:rPr>
          <w:rFonts w:ascii="Arial" w:hAnsi="Arial" w:cs="Arial"/>
          <w:sz w:val="22"/>
          <w:szCs w:val="22"/>
        </w:rPr>
        <w:t xml:space="preserve"> </w:t>
      </w:r>
      <w:r w:rsidRPr="001C7895">
        <w:rPr>
          <w:rFonts w:ascii="Arial" w:hAnsi="Arial" w:cs="Arial"/>
          <w:sz w:val="22"/>
          <w:szCs w:val="22"/>
        </w:rPr>
        <w:t xml:space="preserve">konut kredileri yüzde </w:t>
      </w:r>
      <w:r w:rsidR="00487C4C">
        <w:rPr>
          <w:rFonts w:ascii="Arial" w:hAnsi="Arial" w:cs="Arial"/>
          <w:sz w:val="22"/>
          <w:szCs w:val="22"/>
        </w:rPr>
        <w:t xml:space="preserve">1 azalırken, </w:t>
      </w:r>
      <w:r w:rsidRPr="001C7895">
        <w:rPr>
          <w:rFonts w:ascii="Arial" w:hAnsi="Arial" w:cs="Arial"/>
          <w:sz w:val="22"/>
          <w:szCs w:val="22"/>
        </w:rPr>
        <w:t xml:space="preserve">ihtiyaç kredileri </w:t>
      </w:r>
      <w:r>
        <w:rPr>
          <w:rFonts w:ascii="Arial" w:hAnsi="Arial" w:cs="Arial"/>
          <w:sz w:val="22"/>
          <w:szCs w:val="22"/>
        </w:rPr>
        <w:t xml:space="preserve">ise </w:t>
      </w:r>
      <w:r w:rsidRPr="001C7895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1 oranında artmıştır</w:t>
      </w:r>
      <w:r w:rsidRPr="001C7895">
        <w:rPr>
          <w:rFonts w:ascii="Arial" w:hAnsi="Arial" w:cs="Arial"/>
          <w:sz w:val="22"/>
          <w:szCs w:val="22"/>
        </w:rPr>
        <w:t>.</w:t>
      </w:r>
    </w:p>
    <w:p w:rsidR="008057D0" w:rsidRDefault="008057D0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Pr="00616042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616042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:rsidR="005E57E9" w:rsidRPr="005E57E9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:rsidR="00A508C2" w:rsidRDefault="003D4A7A" w:rsidP="007A6B7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360A72">
        <w:rPr>
          <w:rFonts w:ascii="Arial" w:hAnsi="Arial" w:cs="Arial"/>
          <w:sz w:val="22"/>
          <w:szCs w:val="22"/>
        </w:rPr>
        <w:t xml:space="preserve"> 2018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döneminde ihtiyaç kredileri yüzde </w:t>
      </w:r>
      <w:r>
        <w:rPr>
          <w:rFonts w:ascii="Arial" w:hAnsi="Arial" w:cs="Arial"/>
          <w:sz w:val="22"/>
          <w:szCs w:val="22"/>
        </w:rPr>
        <w:t>87</w:t>
      </w:r>
      <w:r w:rsidR="005B6CF5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ile</w:t>
      </w:r>
      <w:r w:rsidR="00B82A7E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en büyük paya sahiptir. Bunu sırasıyla, yüzde </w:t>
      </w:r>
      <w:r>
        <w:rPr>
          <w:rFonts w:ascii="Arial" w:hAnsi="Arial" w:cs="Arial"/>
          <w:sz w:val="22"/>
          <w:szCs w:val="22"/>
        </w:rPr>
        <w:t>8</w:t>
      </w:r>
      <w:r w:rsidR="00D51172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ve yüzde </w:t>
      </w:r>
      <w:r>
        <w:rPr>
          <w:rFonts w:ascii="Arial" w:hAnsi="Arial" w:cs="Arial"/>
          <w:sz w:val="22"/>
          <w:szCs w:val="22"/>
        </w:rPr>
        <w:t>5</w:t>
      </w:r>
      <w:r w:rsidR="005B6CF5">
        <w:rPr>
          <w:rFonts w:ascii="Arial" w:hAnsi="Arial" w:cs="Arial"/>
          <w:sz w:val="22"/>
          <w:szCs w:val="22"/>
        </w:rPr>
        <w:t xml:space="preserve"> pay</w:t>
      </w:r>
      <w:r w:rsidR="00A508C2" w:rsidRPr="00852D08">
        <w:rPr>
          <w:rFonts w:ascii="Arial" w:hAnsi="Arial" w:cs="Arial"/>
          <w:sz w:val="22"/>
          <w:szCs w:val="22"/>
        </w:rPr>
        <w:t xml:space="preserve"> ile konut ve </w:t>
      </w:r>
      <w:r w:rsidR="00E47339">
        <w:rPr>
          <w:rFonts w:ascii="Arial" w:hAnsi="Arial" w:cs="Arial"/>
          <w:sz w:val="22"/>
          <w:szCs w:val="22"/>
        </w:rPr>
        <w:t>taşıt kredileri</w:t>
      </w:r>
      <w:r w:rsidR="00A508C2" w:rsidRPr="00852D08">
        <w:rPr>
          <w:rFonts w:ascii="Arial" w:hAnsi="Arial" w:cs="Arial"/>
          <w:sz w:val="22"/>
          <w:szCs w:val="22"/>
        </w:rPr>
        <w:t xml:space="preserve"> izlemektedir. Aynı dönemde </w:t>
      </w:r>
      <w:r>
        <w:rPr>
          <w:rFonts w:ascii="Arial" w:hAnsi="Arial" w:cs="Arial"/>
          <w:sz w:val="22"/>
          <w:szCs w:val="22"/>
        </w:rPr>
        <w:t>1,9</w:t>
      </w:r>
      <w:r w:rsidR="00D531B7">
        <w:rPr>
          <w:rFonts w:ascii="Arial" w:hAnsi="Arial" w:cs="Arial"/>
          <w:sz w:val="22"/>
          <w:szCs w:val="22"/>
        </w:rPr>
        <w:t xml:space="preserve"> </w:t>
      </w:r>
      <w:r w:rsidR="00B11F5B">
        <w:rPr>
          <w:rFonts w:ascii="Arial" w:hAnsi="Arial" w:cs="Arial"/>
          <w:sz w:val="22"/>
          <w:szCs w:val="22"/>
        </w:rPr>
        <w:t xml:space="preserve">milyon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ED1212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 xml:space="preserve">yaklaşık </w:t>
      </w:r>
      <w:r w:rsidR="00B62817">
        <w:rPr>
          <w:rFonts w:ascii="Arial" w:hAnsi="Arial" w:cs="Arial"/>
          <w:sz w:val="22"/>
          <w:szCs w:val="22"/>
        </w:rPr>
        <w:t>19</w:t>
      </w:r>
      <w:r w:rsidR="00AA7551" w:rsidRPr="00852D08">
        <w:rPr>
          <w:rFonts w:ascii="Arial" w:hAnsi="Arial" w:cs="Arial"/>
          <w:sz w:val="22"/>
          <w:szCs w:val="22"/>
        </w:rPr>
        <w:t xml:space="preserve"> milyar </w:t>
      </w:r>
      <w:r w:rsidR="00A508C2" w:rsidRPr="00852D08">
        <w:rPr>
          <w:rFonts w:ascii="Arial" w:hAnsi="Arial" w:cs="Arial"/>
          <w:sz w:val="22"/>
          <w:szCs w:val="22"/>
        </w:rPr>
        <w:t>TL</w:t>
      </w:r>
      <w:r w:rsidR="007350F1" w:rsidRPr="00852D08">
        <w:rPr>
          <w:rFonts w:ascii="Arial" w:hAnsi="Arial" w:cs="Arial"/>
          <w:sz w:val="22"/>
          <w:szCs w:val="22"/>
        </w:rPr>
        <w:t xml:space="preserve"> tutarında ihtiyaç kredisi</w:t>
      </w:r>
      <w:r w:rsidR="00A508C2" w:rsidRPr="00852D0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</w:t>
      </w:r>
      <w:r w:rsidR="00B62817">
        <w:rPr>
          <w:rFonts w:ascii="Arial" w:hAnsi="Arial" w:cs="Arial"/>
          <w:sz w:val="22"/>
          <w:szCs w:val="22"/>
        </w:rPr>
        <w:t>7</w:t>
      </w:r>
      <w:r w:rsidR="00B11F5B">
        <w:rPr>
          <w:rFonts w:ascii="Arial" w:hAnsi="Arial" w:cs="Arial"/>
          <w:sz w:val="22"/>
          <w:szCs w:val="22"/>
        </w:rPr>
        <w:t xml:space="preserve"> bin </w:t>
      </w:r>
      <w:r w:rsidR="00892E45" w:rsidRPr="00852D08">
        <w:rPr>
          <w:rFonts w:ascii="Arial" w:hAnsi="Arial" w:cs="Arial"/>
          <w:sz w:val="22"/>
          <w:szCs w:val="22"/>
        </w:rPr>
        <w:t>kişi</w:t>
      </w:r>
      <w:r w:rsidR="00A508C2" w:rsidRPr="00852D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yaklaşık 2</w:t>
      </w:r>
      <w:r w:rsidR="00E20BB6" w:rsidRPr="00852D08">
        <w:rPr>
          <w:rFonts w:ascii="Arial" w:hAnsi="Arial" w:cs="Arial"/>
          <w:sz w:val="22"/>
          <w:szCs w:val="22"/>
        </w:rPr>
        <w:t xml:space="preserve"> mi</w:t>
      </w:r>
      <w:r w:rsidR="00AA7551" w:rsidRPr="00852D08">
        <w:rPr>
          <w:rFonts w:ascii="Arial" w:hAnsi="Arial" w:cs="Arial"/>
          <w:sz w:val="22"/>
          <w:szCs w:val="22"/>
        </w:rPr>
        <w:t>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6C028C" w:rsidRPr="00852D08">
        <w:rPr>
          <w:rFonts w:ascii="Arial" w:hAnsi="Arial" w:cs="Arial"/>
          <w:sz w:val="22"/>
          <w:szCs w:val="22"/>
        </w:rPr>
        <w:t xml:space="preserve">TL </w:t>
      </w:r>
      <w:r w:rsidR="007350F1" w:rsidRPr="00852D08">
        <w:rPr>
          <w:rFonts w:ascii="Arial" w:hAnsi="Arial" w:cs="Arial"/>
          <w:sz w:val="22"/>
          <w:szCs w:val="22"/>
        </w:rPr>
        <w:t xml:space="preserve">tutarında konut kredisi </w:t>
      </w:r>
      <w:r w:rsidR="006C028C" w:rsidRPr="00852D08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2</w:t>
      </w:r>
      <w:r w:rsidR="00B62817">
        <w:rPr>
          <w:rFonts w:ascii="Arial" w:hAnsi="Arial" w:cs="Arial"/>
          <w:sz w:val="22"/>
          <w:szCs w:val="22"/>
        </w:rPr>
        <w:t>4</w:t>
      </w:r>
      <w:r w:rsidR="00FD5241">
        <w:rPr>
          <w:rFonts w:ascii="Arial" w:hAnsi="Arial" w:cs="Arial"/>
          <w:sz w:val="22"/>
          <w:szCs w:val="22"/>
        </w:rPr>
        <w:t xml:space="preserve"> bin</w:t>
      </w:r>
      <w:r w:rsidR="00BE4727" w:rsidRPr="00852D08">
        <w:rPr>
          <w:rFonts w:ascii="Arial" w:hAnsi="Arial" w:cs="Arial"/>
          <w:sz w:val="22"/>
          <w:szCs w:val="22"/>
        </w:rPr>
        <w:t xml:space="preserve"> </w:t>
      </w:r>
      <w:r w:rsidR="00B62817">
        <w:rPr>
          <w:rFonts w:ascii="Arial" w:hAnsi="Arial" w:cs="Arial"/>
          <w:sz w:val="22"/>
          <w:szCs w:val="22"/>
        </w:rPr>
        <w:t>kişi</w:t>
      </w:r>
      <w:r w:rsidR="008A51CC">
        <w:rPr>
          <w:rFonts w:ascii="Arial" w:hAnsi="Arial" w:cs="Arial"/>
          <w:sz w:val="22"/>
          <w:szCs w:val="22"/>
        </w:rPr>
        <w:t xml:space="preserve"> </w:t>
      </w:r>
      <w:r w:rsidR="00A2773C">
        <w:rPr>
          <w:rFonts w:ascii="Arial" w:hAnsi="Arial" w:cs="Arial"/>
          <w:sz w:val="22"/>
          <w:szCs w:val="22"/>
        </w:rPr>
        <w:t>1</w:t>
      </w:r>
      <w:r w:rsidR="00AA7551" w:rsidRPr="00852D08">
        <w:rPr>
          <w:rFonts w:ascii="Arial" w:hAnsi="Arial" w:cs="Arial"/>
          <w:sz w:val="22"/>
          <w:szCs w:val="22"/>
        </w:rPr>
        <w:t xml:space="preserve"> milyar</w:t>
      </w:r>
      <w:r w:rsidR="00E20BB6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 xml:space="preserve">TL tutarında </w:t>
      </w:r>
      <w:r w:rsidR="00E47339">
        <w:rPr>
          <w:rFonts w:ascii="Arial" w:hAnsi="Arial" w:cs="Arial"/>
          <w:sz w:val="22"/>
          <w:szCs w:val="22"/>
        </w:rPr>
        <w:t>taşıt kredisi</w:t>
      </w:r>
      <w:r w:rsidR="007350F1" w:rsidRPr="00852D08">
        <w:rPr>
          <w:rFonts w:ascii="Arial" w:hAnsi="Arial" w:cs="Arial"/>
          <w:sz w:val="22"/>
          <w:szCs w:val="22"/>
        </w:rPr>
        <w:t xml:space="preserve"> </w:t>
      </w:r>
      <w:r w:rsidR="00A508C2" w:rsidRPr="00852D08">
        <w:rPr>
          <w:rFonts w:ascii="Arial" w:hAnsi="Arial" w:cs="Arial"/>
          <w:sz w:val="22"/>
          <w:szCs w:val="22"/>
        </w:rPr>
        <w:t>kullan</w:t>
      </w:r>
      <w:r w:rsidR="00125B80" w:rsidRPr="00852D08">
        <w:rPr>
          <w:rFonts w:ascii="Arial" w:hAnsi="Arial" w:cs="Arial"/>
          <w:sz w:val="22"/>
          <w:szCs w:val="22"/>
        </w:rPr>
        <w:t>mıştır</w:t>
      </w:r>
      <w:r w:rsidR="00A508C2" w:rsidRPr="00852D08">
        <w:rPr>
          <w:rFonts w:ascii="Arial" w:hAnsi="Arial" w:cs="Arial"/>
          <w:sz w:val="22"/>
          <w:szCs w:val="22"/>
        </w:rPr>
        <w:t xml:space="preserve">. </w:t>
      </w:r>
    </w:p>
    <w:p w:rsidR="007A6B71" w:rsidRPr="00FD5241" w:rsidRDefault="007A6B71" w:rsidP="007A6B71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852D08" w:rsidRDefault="00A508C2" w:rsidP="00A508C2">
      <w:pPr>
        <w:pStyle w:val="BodyText"/>
        <w:rPr>
          <w:rFonts w:ascii="Arial" w:hAnsi="Arial" w:cs="Arial"/>
          <w:sz w:val="22"/>
          <w:szCs w:val="22"/>
        </w:rPr>
      </w:pPr>
      <w:r w:rsidRPr="00852D08">
        <w:rPr>
          <w:rFonts w:ascii="Arial" w:hAnsi="Arial" w:cs="Arial"/>
          <w:sz w:val="22"/>
          <w:szCs w:val="22"/>
        </w:rPr>
        <w:t xml:space="preserve">Bir önceki yılın </w:t>
      </w:r>
      <w:r w:rsidR="00D531B7">
        <w:rPr>
          <w:rFonts w:ascii="Arial" w:hAnsi="Arial" w:cs="Arial"/>
          <w:sz w:val="22"/>
          <w:szCs w:val="22"/>
        </w:rPr>
        <w:t>aynı</w:t>
      </w:r>
      <w:r w:rsidR="00D95D55" w:rsidRPr="00852D08">
        <w:rPr>
          <w:rFonts w:ascii="Arial" w:hAnsi="Arial" w:cs="Arial"/>
          <w:sz w:val="22"/>
          <w:szCs w:val="22"/>
        </w:rPr>
        <w:t xml:space="preserve"> </w:t>
      </w:r>
      <w:r w:rsidRPr="00852D08">
        <w:rPr>
          <w:rFonts w:ascii="Arial" w:hAnsi="Arial" w:cs="Arial"/>
          <w:sz w:val="22"/>
          <w:szCs w:val="22"/>
        </w:rPr>
        <w:t>dönemine göre</w:t>
      </w:r>
      <w:r w:rsidR="00E32F57" w:rsidRPr="00852D08">
        <w:rPr>
          <w:rFonts w:ascii="Arial" w:hAnsi="Arial" w:cs="Arial"/>
          <w:sz w:val="22"/>
          <w:szCs w:val="22"/>
        </w:rPr>
        <w:t xml:space="preserve"> </w:t>
      </w:r>
      <w:r w:rsidR="002913F9">
        <w:rPr>
          <w:rFonts w:ascii="Arial" w:hAnsi="Arial" w:cs="Arial"/>
          <w:sz w:val="22"/>
          <w:szCs w:val="22"/>
        </w:rPr>
        <w:t xml:space="preserve">taşıt kredileri yüzde </w:t>
      </w:r>
      <w:r w:rsidR="003D4A7A">
        <w:rPr>
          <w:rFonts w:ascii="Arial" w:hAnsi="Arial" w:cs="Arial"/>
          <w:sz w:val="22"/>
          <w:szCs w:val="22"/>
        </w:rPr>
        <w:t>47</w:t>
      </w:r>
      <w:r w:rsidR="002913F9">
        <w:rPr>
          <w:rFonts w:ascii="Arial" w:hAnsi="Arial" w:cs="Arial"/>
          <w:sz w:val="22"/>
          <w:szCs w:val="22"/>
        </w:rPr>
        <w:t xml:space="preserve"> oranında</w:t>
      </w:r>
      <w:r w:rsidR="00654444">
        <w:rPr>
          <w:rFonts w:ascii="Arial" w:hAnsi="Arial" w:cs="Arial"/>
          <w:sz w:val="22"/>
          <w:szCs w:val="22"/>
        </w:rPr>
        <w:t xml:space="preserve"> artarken</w:t>
      </w:r>
      <w:r w:rsidR="00A2773C">
        <w:rPr>
          <w:rFonts w:ascii="Arial" w:hAnsi="Arial" w:cs="Arial"/>
          <w:sz w:val="22"/>
          <w:szCs w:val="22"/>
        </w:rPr>
        <w:t xml:space="preserve">, ihtiyaç kredileri </w:t>
      </w:r>
      <w:r w:rsidR="00A2773C" w:rsidRPr="00852D08">
        <w:rPr>
          <w:rFonts w:ascii="Arial" w:hAnsi="Arial" w:cs="Arial"/>
          <w:sz w:val="22"/>
          <w:szCs w:val="22"/>
        </w:rPr>
        <w:t xml:space="preserve">yüzde </w:t>
      </w:r>
      <w:r w:rsidR="003D4A7A">
        <w:rPr>
          <w:rFonts w:ascii="Arial" w:hAnsi="Arial" w:cs="Arial"/>
          <w:sz w:val="22"/>
          <w:szCs w:val="22"/>
        </w:rPr>
        <w:t>25</w:t>
      </w:r>
      <w:r w:rsidR="00A2773C">
        <w:rPr>
          <w:rFonts w:ascii="Arial" w:hAnsi="Arial" w:cs="Arial"/>
          <w:sz w:val="22"/>
          <w:szCs w:val="22"/>
        </w:rPr>
        <w:t xml:space="preserve"> oranında</w:t>
      </w:r>
      <w:r w:rsidR="002913F9">
        <w:rPr>
          <w:rFonts w:ascii="Arial" w:hAnsi="Arial" w:cs="Arial"/>
          <w:sz w:val="22"/>
          <w:szCs w:val="22"/>
        </w:rPr>
        <w:t xml:space="preserve">, </w:t>
      </w:r>
      <w:r w:rsidR="001D5876" w:rsidRPr="00852D08">
        <w:rPr>
          <w:rFonts w:ascii="Arial" w:hAnsi="Arial" w:cs="Arial"/>
          <w:sz w:val="22"/>
          <w:szCs w:val="22"/>
        </w:rPr>
        <w:t xml:space="preserve">konut kredileri yüzde </w:t>
      </w:r>
      <w:r w:rsidR="003D4A7A">
        <w:rPr>
          <w:rFonts w:ascii="Arial" w:hAnsi="Arial" w:cs="Arial"/>
          <w:sz w:val="22"/>
          <w:szCs w:val="22"/>
        </w:rPr>
        <w:t>75</w:t>
      </w:r>
      <w:r w:rsidR="00211B1D" w:rsidRPr="00852D08">
        <w:rPr>
          <w:rFonts w:ascii="Arial" w:hAnsi="Arial" w:cs="Arial"/>
          <w:sz w:val="22"/>
          <w:szCs w:val="22"/>
        </w:rPr>
        <w:t xml:space="preserve"> oranında</w:t>
      </w:r>
      <w:r w:rsidR="00D87CEA">
        <w:rPr>
          <w:rFonts w:ascii="Arial" w:hAnsi="Arial" w:cs="Arial"/>
          <w:sz w:val="22"/>
          <w:szCs w:val="22"/>
        </w:rPr>
        <w:t xml:space="preserve"> </w:t>
      </w:r>
      <w:r w:rsidR="009E4877">
        <w:rPr>
          <w:rFonts w:ascii="Arial" w:hAnsi="Arial" w:cs="Arial"/>
          <w:sz w:val="22"/>
          <w:szCs w:val="22"/>
        </w:rPr>
        <w:t>azal</w:t>
      </w:r>
      <w:r w:rsidR="00B11F5B">
        <w:rPr>
          <w:rFonts w:ascii="Arial" w:hAnsi="Arial" w:cs="Arial"/>
          <w:sz w:val="22"/>
          <w:szCs w:val="22"/>
        </w:rPr>
        <w:t>mıştır</w:t>
      </w:r>
      <w:r w:rsidRPr="00852D08">
        <w:rPr>
          <w:rFonts w:ascii="Arial" w:hAnsi="Arial" w:cs="Arial"/>
          <w:sz w:val="22"/>
          <w:szCs w:val="22"/>
        </w:rPr>
        <w:t xml:space="preserve">. </w:t>
      </w:r>
    </w:p>
    <w:p w:rsidR="00A508C2" w:rsidRPr="005E57E9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:rsidR="00A508C2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B170A3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>
        <w:rPr>
          <w:rFonts w:ascii="Arial" w:hAnsi="Arial" w:cs="Arial"/>
          <w:b/>
          <w:sz w:val="22"/>
          <w:szCs w:val="22"/>
        </w:rPr>
        <w:t xml:space="preserve"> (milyar TL, yüzde)</w:t>
      </w:r>
    </w:p>
    <w:p w:rsidR="00CD1707" w:rsidRPr="00FD5241" w:rsidRDefault="00CD1707" w:rsidP="001C7895">
      <w:pPr>
        <w:pStyle w:val="BodyText"/>
        <w:jc w:val="center"/>
        <w:rPr>
          <w:rFonts w:ascii="Arial" w:hAnsi="Arial" w:cs="Arial"/>
          <w:b/>
          <w:sz w:val="10"/>
          <w:szCs w:val="10"/>
        </w:rPr>
      </w:pPr>
    </w:p>
    <w:p w:rsidR="00337100" w:rsidRPr="00B170A3" w:rsidRDefault="00CD1707" w:rsidP="00337100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337100">
        <w:rPr>
          <w:rFonts w:ascii="Arial" w:hAnsi="Arial" w:cs="Arial"/>
          <w:b/>
          <w:sz w:val="22"/>
          <w:szCs w:val="22"/>
        </w:rPr>
        <w:t>Akım</w:t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 w:rsidR="0033710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="008057D0">
        <w:rPr>
          <w:rFonts w:ascii="Arial" w:hAnsi="Arial" w:cs="Arial"/>
          <w:b/>
          <w:sz w:val="22"/>
          <w:szCs w:val="22"/>
        </w:rPr>
        <w:t xml:space="preserve"> </w:t>
      </w:r>
      <w:r w:rsidR="00337100">
        <w:rPr>
          <w:rFonts w:ascii="Arial" w:hAnsi="Arial" w:cs="Arial"/>
          <w:b/>
          <w:sz w:val="22"/>
          <w:szCs w:val="22"/>
        </w:rPr>
        <w:t>Bakiye</w:t>
      </w:r>
    </w:p>
    <w:p w:rsidR="00AD68C1" w:rsidRDefault="00BC3BA2" w:rsidP="00CD1707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DCE629" wp14:editId="6FDDB02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410200" cy="2112645"/>
                <wp:effectExtent l="0" t="0" r="0" b="19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2112645"/>
                          <a:chOff x="0" y="0"/>
                          <a:chExt cx="5276848" cy="2285999"/>
                        </a:xfrm>
                      </wpg:grpSpPr>
                      <wpg:graphicFrame>
                        <wpg:cNvPr id="4" name="Chart 4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7" name="Chart 7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0F9B3" id="Group 3" o:spid="_x0000_s1026" style="position:absolute;margin-left:0;margin-top:.6pt;width:426pt;height:166.35pt;z-index:251659264;mso-position-horizontal:left;mso-position-horizontal-relative:margin;mso-width-relative:margin;mso-height-relative:margin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4" o:spid="_x0000_s1027" type="#_x0000_t75" style="position:absolute;left:-59;top:65;width:28479;height:22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">
                  <v:imagedata r:id="rId11" o:title=""/>
                  <o:lock v:ext="edit" aspectratio="f"/>
                </v:shape>
                <v:shape id="Chart 7" o:spid="_x0000_s1028" type="#_x0000_t75" style="position:absolute;left:28599;top:-65;width:24199;height:228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">
                  <v:imagedata r:id="rId12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CD1707">
        <w:rPr>
          <w:rFonts w:ascii="Arial" w:hAnsi="Arial" w:cs="Arial"/>
          <w:b/>
          <w:sz w:val="22"/>
          <w:szCs w:val="22"/>
        </w:rPr>
        <w:tab/>
      </w:r>
    </w:p>
    <w:tbl>
      <w:tblPr>
        <w:tblW w:w="8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983"/>
        <w:gridCol w:w="983"/>
        <w:gridCol w:w="983"/>
        <w:gridCol w:w="983"/>
        <w:gridCol w:w="983"/>
        <w:gridCol w:w="1145"/>
      </w:tblGrid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W w:w="252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AD68C1" w:rsidRPr="00AD68C1" w:rsidTr="00AD68C1">
              <w:trPr>
                <w:trHeight w:val="238"/>
                <w:tblCellSpacing w:w="0" w:type="dxa"/>
              </w:trPr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68C1" w:rsidRPr="00AD68C1" w:rsidRDefault="00AD68C1" w:rsidP="00AD68C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</w:tbl>
          <w:p w:rsidR="00AD68C1" w:rsidRPr="00AD68C1" w:rsidRDefault="00AD68C1" w:rsidP="00AD68C1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  <w:tr w:rsidR="00AD68C1" w:rsidRPr="00AD68C1" w:rsidTr="00AD68C1">
        <w:trPr>
          <w:trHeight w:val="23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C1" w:rsidRPr="00AD68C1" w:rsidRDefault="00AD68C1" w:rsidP="00AD68C1">
            <w:pPr>
              <w:rPr>
                <w:sz w:val="20"/>
                <w:lang w:eastAsia="tr-TR"/>
              </w:rPr>
            </w:pPr>
          </w:p>
        </w:tc>
      </w:tr>
    </w:tbl>
    <w:p w:rsidR="00A508C2" w:rsidRPr="00B170A3" w:rsidRDefault="00A508C2" w:rsidP="00AD68C1">
      <w:pPr>
        <w:pStyle w:val="BodyTex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:rsidR="00E273CA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 xml:space="preserve"> </w:t>
      </w:r>
    </w:p>
    <w:p w:rsidR="00FD5241" w:rsidRDefault="00BC3BA2" w:rsidP="00FD524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Ekim-Aralık</w:t>
      </w:r>
      <w:r w:rsidR="00FD5241" w:rsidRPr="00496608">
        <w:rPr>
          <w:rFonts w:ascii="Arial" w:hAnsi="Arial" w:cs="Arial"/>
          <w:color w:val="000000" w:themeColor="text1"/>
          <w:sz w:val="22"/>
          <w:szCs w:val="22"/>
        </w:rPr>
        <w:t xml:space="preserve"> 2018 </w:t>
      </w:r>
      <w:r w:rsidR="00FD5241">
        <w:rPr>
          <w:rFonts w:ascii="Arial" w:hAnsi="Arial" w:cs="Arial"/>
          <w:sz w:val="22"/>
          <w:szCs w:val="22"/>
        </w:rPr>
        <w:t>dönemi içinde</w:t>
      </w:r>
      <w:r w:rsidR="00FD5241" w:rsidRPr="001C7895">
        <w:rPr>
          <w:rFonts w:ascii="Arial" w:hAnsi="Arial" w:cs="Arial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kullananlar bazında ortalama 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bireysel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bin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 xml:space="preserve">TL’dir. Bu büyüklük </w:t>
      </w:r>
      <w:r w:rsidR="00FD5241">
        <w:rPr>
          <w:rFonts w:ascii="Arial" w:hAnsi="Arial" w:cs="Arial"/>
          <w:sz w:val="22"/>
          <w:szCs w:val="22"/>
        </w:rPr>
        <w:t>konut</w:t>
      </w:r>
      <w:r w:rsidR="00FD5241" w:rsidRPr="001C7895">
        <w:rPr>
          <w:rFonts w:ascii="Arial" w:hAnsi="Arial" w:cs="Arial"/>
          <w:sz w:val="22"/>
          <w:szCs w:val="22"/>
        </w:rPr>
        <w:t xml:space="preserve"> kredilerinde </w:t>
      </w:r>
      <w:r w:rsidR="00FD524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10</w:t>
      </w:r>
      <w:r w:rsidR="00FD5241">
        <w:rPr>
          <w:rFonts w:ascii="Arial" w:hAnsi="Arial" w:cs="Arial"/>
          <w:sz w:val="22"/>
          <w:szCs w:val="22"/>
        </w:rPr>
        <w:t xml:space="preserve"> bin </w:t>
      </w:r>
      <w:r w:rsidR="00FD5241" w:rsidRPr="001C7895">
        <w:rPr>
          <w:rFonts w:ascii="Arial" w:hAnsi="Arial" w:cs="Arial"/>
          <w:sz w:val="22"/>
          <w:szCs w:val="22"/>
        </w:rPr>
        <w:t>TL</w:t>
      </w:r>
      <w:r w:rsidR="00FD5241">
        <w:rPr>
          <w:rFonts w:ascii="Arial" w:hAnsi="Arial" w:cs="Arial"/>
          <w:sz w:val="22"/>
          <w:szCs w:val="22"/>
        </w:rPr>
        <w:t>, ihtiyaç kredilerinde 1</w:t>
      </w:r>
      <w:r>
        <w:rPr>
          <w:rFonts w:ascii="Arial" w:hAnsi="Arial" w:cs="Arial"/>
          <w:sz w:val="22"/>
          <w:szCs w:val="22"/>
        </w:rPr>
        <w:t>0</w:t>
      </w:r>
      <w:r w:rsidR="00FD5241">
        <w:rPr>
          <w:rFonts w:ascii="Arial" w:hAnsi="Arial" w:cs="Arial"/>
          <w:sz w:val="22"/>
          <w:szCs w:val="22"/>
        </w:rPr>
        <w:t xml:space="preserve"> bin TL ve </w:t>
      </w:r>
      <w:r w:rsidR="00FD5241" w:rsidRPr="001C7895">
        <w:rPr>
          <w:rFonts w:ascii="Arial" w:hAnsi="Arial" w:cs="Arial"/>
          <w:sz w:val="22"/>
          <w:szCs w:val="22"/>
        </w:rPr>
        <w:t>taşıt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kredilerinde </w:t>
      </w:r>
      <w:r>
        <w:rPr>
          <w:rFonts w:ascii="Arial" w:hAnsi="Arial" w:cs="Arial"/>
          <w:color w:val="000000"/>
          <w:sz w:val="22"/>
          <w:szCs w:val="22"/>
        </w:rPr>
        <w:t>48</w:t>
      </w:r>
      <w:r w:rsidR="00FD5241">
        <w:rPr>
          <w:rFonts w:ascii="Arial" w:hAnsi="Arial" w:cs="Arial"/>
          <w:color w:val="000000"/>
          <w:sz w:val="22"/>
          <w:szCs w:val="22"/>
        </w:rPr>
        <w:t xml:space="preserve"> </w:t>
      </w:r>
      <w:r w:rsidR="00FD5241" w:rsidRPr="00F92A16">
        <w:rPr>
          <w:rFonts w:ascii="Arial" w:hAnsi="Arial" w:cs="Arial"/>
          <w:color w:val="000000"/>
          <w:sz w:val="22"/>
          <w:szCs w:val="22"/>
        </w:rPr>
        <w:t>bin TL</w:t>
      </w:r>
      <w:r w:rsidR="00FD5241" w:rsidRPr="001C7895">
        <w:rPr>
          <w:rFonts w:ascii="Arial" w:hAnsi="Arial" w:cs="Arial"/>
          <w:sz w:val="22"/>
          <w:szCs w:val="22"/>
        </w:rPr>
        <w:t xml:space="preserve"> olmuştur.</w:t>
      </w:r>
    </w:p>
    <w:p w:rsidR="00FD5241" w:rsidRDefault="00FD5241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</w:p>
    <w:p w:rsidR="00A508C2" w:rsidRPr="002A0A70" w:rsidRDefault="00A508C2" w:rsidP="00A508C2">
      <w:pPr>
        <w:pStyle w:val="Body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794A">
        <w:rPr>
          <w:rFonts w:ascii="Arial" w:hAnsi="Arial" w:cs="Arial"/>
          <w:b/>
          <w:color w:val="000000"/>
          <w:sz w:val="22"/>
          <w:szCs w:val="22"/>
        </w:rPr>
        <w:t xml:space="preserve">Mal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ve Hizmet Gruplarına Göre 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Kişi Başı </w:t>
      </w:r>
      <w:r w:rsidRPr="002A0A70">
        <w:rPr>
          <w:rFonts w:ascii="Arial" w:hAnsi="Arial" w:cs="Arial"/>
          <w:b/>
          <w:color w:val="000000"/>
          <w:sz w:val="22"/>
          <w:szCs w:val="22"/>
        </w:rPr>
        <w:t xml:space="preserve">Ortalama 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 xml:space="preserve">Tüketici </w:t>
      </w:r>
      <w:r w:rsidRPr="002A0A70">
        <w:rPr>
          <w:rFonts w:ascii="Arial" w:hAnsi="Arial" w:cs="Arial"/>
          <w:b/>
          <w:color w:val="000000"/>
          <w:sz w:val="22"/>
          <w:szCs w:val="22"/>
        </w:rPr>
        <w:t>Kredi</w:t>
      </w:r>
      <w:r w:rsidR="00D6623E" w:rsidRPr="002A0A70">
        <w:rPr>
          <w:rFonts w:ascii="Arial" w:hAnsi="Arial" w:cs="Arial"/>
          <w:b/>
          <w:color w:val="000000"/>
          <w:sz w:val="22"/>
          <w:szCs w:val="22"/>
        </w:rPr>
        <w:t>leri ve Konut Kredileri</w:t>
      </w:r>
      <w:r w:rsidR="00FD5241">
        <w:rPr>
          <w:rFonts w:ascii="Arial" w:hAnsi="Arial" w:cs="Arial"/>
          <w:b/>
          <w:color w:val="000000"/>
          <w:sz w:val="22"/>
          <w:szCs w:val="22"/>
        </w:rPr>
        <w:t xml:space="preserve"> (bin TL)</w:t>
      </w:r>
    </w:p>
    <w:p w:rsidR="00A508C2" w:rsidRPr="00B170A3" w:rsidRDefault="004428B4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7C8FB5DF">
            <wp:extent cx="4584700" cy="195072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8C2" w:rsidRPr="00B170A3" w:rsidRDefault="00A508C2" w:rsidP="00A508C2">
      <w:pPr>
        <w:pStyle w:val="BodyText"/>
        <w:ind w:left="225"/>
        <w:jc w:val="left"/>
        <w:rPr>
          <w:rFonts w:ascii="Arial" w:hAnsi="Arial" w:cs="Arial"/>
          <w:i/>
          <w:sz w:val="16"/>
          <w:szCs w:val="16"/>
        </w:rPr>
      </w:pPr>
      <w:r w:rsidRPr="00B170A3">
        <w:rPr>
          <w:rFonts w:ascii="Arial" w:hAnsi="Arial" w:cs="Arial"/>
          <w:i/>
          <w:sz w:val="16"/>
          <w:szCs w:val="16"/>
        </w:rPr>
        <w:t>*</w:t>
      </w:r>
      <w:r w:rsidRPr="00B170A3">
        <w:rPr>
          <w:rFonts w:ascii="Arial" w:hAnsi="Arial" w:cs="Arial"/>
          <w:sz w:val="16"/>
          <w:szCs w:val="16"/>
        </w:rPr>
        <w:t xml:space="preserve"> </w:t>
      </w:r>
      <w:r w:rsidRPr="00B170A3">
        <w:rPr>
          <w:rFonts w:ascii="Arial" w:hAnsi="Arial" w:cs="Arial"/>
          <w:i/>
          <w:sz w:val="16"/>
          <w:szCs w:val="16"/>
        </w:rPr>
        <w:t>Dayanıklı tüketim malları, mesleki amaç, eğitim, tatil, gıda, giyim vb. amaçlar için kullanılan krediler.</w:t>
      </w:r>
    </w:p>
    <w:p w:rsidR="00A508C2" w:rsidRPr="005E57E9" w:rsidRDefault="00A508C2" w:rsidP="00A508C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85324D" w:rsidRPr="0085324D" w:rsidRDefault="0085324D" w:rsidP="00A508C2">
      <w:pPr>
        <w:pStyle w:val="BodyText"/>
        <w:rPr>
          <w:rFonts w:ascii="Arial" w:hAnsi="Arial" w:cs="Arial"/>
          <w:sz w:val="10"/>
          <w:szCs w:val="10"/>
        </w:rPr>
      </w:pPr>
    </w:p>
    <w:p w:rsidR="00BD56F0" w:rsidRPr="001C7895" w:rsidRDefault="00BC3BA2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Ekim-Aralık</w:t>
      </w:r>
      <w:r w:rsidR="000D552F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987916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dönemi sonundaki bakiye verilerine g</w:t>
      </w:r>
      <w:r w:rsidR="00EC1E90">
        <w:rPr>
          <w:rFonts w:ascii="Arial" w:hAnsi="Arial" w:cs="Arial"/>
          <w:sz w:val="22"/>
          <w:szCs w:val="22"/>
        </w:rPr>
        <w:t xml:space="preserve">öre ortalama </w:t>
      </w:r>
      <w:r w:rsidR="000104A2">
        <w:rPr>
          <w:rFonts w:ascii="Arial" w:hAnsi="Arial" w:cs="Arial"/>
          <w:color w:val="000000"/>
          <w:sz w:val="22"/>
          <w:szCs w:val="22"/>
        </w:rPr>
        <w:t>bireysel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kredi</w:t>
      </w:r>
      <w:r w:rsidR="00EC1E90">
        <w:rPr>
          <w:rFonts w:ascii="Arial" w:hAnsi="Arial" w:cs="Arial"/>
          <w:color w:val="000000"/>
          <w:sz w:val="22"/>
          <w:szCs w:val="22"/>
        </w:rPr>
        <w:t xml:space="preserve"> </w:t>
      </w:r>
      <w:r w:rsidR="00EC1E90" w:rsidRPr="00F92A16">
        <w:rPr>
          <w:rFonts w:ascii="Arial" w:hAnsi="Arial" w:cs="Arial"/>
          <w:color w:val="000000"/>
          <w:sz w:val="22"/>
          <w:szCs w:val="22"/>
        </w:rPr>
        <w:t>miktarı</w:t>
      </w:r>
      <w:r w:rsidR="001F7A4D">
        <w:rPr>
          <w:rFonts w:ascii="Arial" w:hAnsi="Arial" w:cs="Arial"/>
          <w:sz w:val="22"/>
          <w:szCs w:val="22"/>
        </w:rPr>
        <w:t xml:space="preserve"> </w:t>
      </w:r>
      <w:r w:rsidR="004323B2">
        <w:rPr>
          <w:rFonts w:ascii="Arial" w:hAnsi="Arial" w:cs="Arial"/>
          <w:sz w:val="22"/>
          <w:szCs w:val="22"/>
        </w:rPr>
        <w:t>19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 xml:space="preserve">TL’dir. Bu miktar konut kredilerinde </w:t>
      </w:r>
      <w:r>
        <w:rPr>
          <w:rFonts w:ascii="Arial" w:hAnsi="Arial" w:cs="Arial"/>
          <w:sz w:val="22"/>
          <w:szCs w:val="22"/>
        </w:rPr>
        <w:t>79</w:t>
      </w:r>
      <w:r w:rsidR="00E20BB6">
        <w:rPr>
          <w:rFonts w:ascii="Arial" w:hAnsi="Arial" w:cs="Arial"/>
          <w:sz w:val="22"/>
          <w:szCs w:val="22"/>
        </w:rPr>
        <w:t xml:space="preserve"> bin </w:t>
      </w:r>
      <w:r w:rsidR="00A508C2" w:rsidRPr="001C7895">
        <w:rPr>
          <w:rFonts w:ascii="Arial" w:hAnsi="Arial" w:cs="Arial"/>
          <w:sz w:val="22"/>
          <w:szCs w:val="22"/>
        </w:rPr>
        <w:t>TL</w:t>
      </w:r>
      <w:r w:rsidR="000104A2">
        <w:rPr>
          <w:rFonts w:ascii="Arial" w:hAnsi="Arial" w:cs="Arial"/>
          <w:sz w:val="22"/>
          <w:szCs w:val="22"/>
        </w:rPr>
        <w:t>, ihtiyaç kredilerinde 1</w:t>
      </w:r>
      <w:r w:rsidR="004323B2">
        <w:rPr>
          <w:rFonts w:ascii="Arial" w:hAnsi="Arial" w:cs="Arial"/>
          <w:sz w:val="22"/>
          <w:szCs w:val="22"/>
        </w:rPr>
        <w:t>1</w:t>
      </w:r>
      <w:r w:rsidR="000104A2">
        <w:rPr>
          <w:rFonts w:ascii="Arial" w:hAnsi="Arial" w:cs="Arial"/>
          <w:sz w:val="22"/>
          <w:szCs w:val="22"/>
        </w:rPr>
        <w:t xml:space="preserve"> bin TL</w:t>
      </w:r>
      <w:r w:rsidR="00A508C2" w:rsidRPr="001C7895">
        <w:rPr>
          <w:rFonts w:ascii="Arial" w:hAnsi="Arial" w:cs="Arial"/>
          <w:sz w:val="22"/>
          <w:szCs w:val="22"/>
        </w:rPr>
        <w:t xml:space="preserve"> ve taşıt kredilerinde </w:t>
      </w:r>
      <w:r>
        <w:rPr>
          <w:rFonts w:ascii="Arial" w:hAnsi="Arial" w:cs="Arial"/>
          <w:sz w:val="22"/>
          <w:szCs w:val="22"/>
        </w:rPr>
        <w:t>26</w:t>
      </w:r>
      <w:r w:rsidR="00F32307">
        <w:rPr>
          <w:rFonts w:ascii="Arial" w:hAnsi="Arial" w:cs="Arial"/>
          <w:sz w:val="22"/>
          <w:szCs w:val="22"/>
        </w:rPr>
        <w:t xml:space="preserve"> </w:t>
      </w:r>
      <w:r w:rsidR="00E20BB6">
        <w:rPr>
          <w:rFonts w:ascii="Arial" w:hAnsi="Arial" w:cs="Arial"/>
          <w:sz w:val="22"/>
          <w:szCs w:val="22"/>
        </w:rPr>
        <w:t xml:space="preserve">bin </w:t>
      </w:r>
      <w:r w:rsidR="00A508C2" w:rsidRPr="001C7895">
        <w:rPr>
          <w:rFonts w:ascii="Arial" w:hAnsi="Arial" w:cs="Arial"/>
          <w:sz w:val="22"/>
          <w:szCs w:val="22"/>
        </w:rPr>
        <w:t>TL’dir.</w:t>
      </w:r>
    </w:p>
    <w:p w:rsidR="00F233DB" w:rsidRDefault="00F233DB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1C7895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1C7895">
        <w:rPr>
          <w:rFonts w:ascii="Arial" w:hAnsi="Arial" w:cs="Arial"/>
          <w:b/>
          <w:sz w:val="22"/>
          <w:szCs w:val="22"/>
        </w:rPr>
        <w:t>Vade Dağılımı</w:t>
      </w:r>
    </w:p>
    <w:p w:rsidR="005B3877" w:rsidRPr="0085324D" w:rsidRDefault="005B3877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BC3BA2" w:rsidRDefault="00BC3BA2" w:rsidP="00BC3BA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BC3BA2">
        <w:rPr>
          <w:rFonts w:ascii="Arial" w:hAnsi="Arial" w:cs="Arial"/>
          <w:color w:val="000000"/>
          <w:sz w:val="22"/>
          <w:szCs w:val="22"/>
        </w:rPr>
        <w:t>Ekim-Aralık 2018 dönemi içinde kullandırılan tüketici kredileri ve konut kredilerinde yüzde 38 pay ile en fazla tercih edilen vade dilimi 25-36 aydır. Bunu yüzde 23 pay 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C3BA2">
        <w:rPr>
          <w:rFonts w:ascii="Arial" w:hAnsi="Arial" w:cs="Arial"/>
          <w:color w:val="000000"/>
          <w:sz w:val="22"/>
          <w:szCs w:val="22"/>
        </w:rPr>
        <w:t>3-12 ay ve yüzde 15 pay ile 19-24 ay vade dilimleri izlemiştir.</w:t>
      </w:r>
    </w:p>
    <w:p w:rsidR="000E74B5" w:rsidRDefault="000E74B5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A508C2" w:rsidRPr="00CE4F64" w:rsidRDefault="00A508C2" w:rsidP="00A508C2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CE4F64">
        <w:rPr>
          <w:rFonts w:ascii="Arial" w:hAnsi="Arial" w:cs="Arial"/>
          <w:b/>
          <w:color w:val="000000"/>
          <w:sz w:val="22"/>
          <w:szCs w:val="22"/>
        </w:rPr>
        <w:t xml:space="preserve">Takipteki </w:t>
      </w:r>
      <w:r w:rsidR="006F050E">
        <w:rPr>
          <w:rFonts w:ascii="Arial" w:hAnsi="Arial" w:cs="Arial"/>
          <w:b/>
          <w:color w:val="000000"/>
          <w:sz w:val="22"/>
          <w:szCs w:val="22"/>
        </w:rPr>
        <w:t>Tüketici Kredileri ve Konut Kredileri</w:t>
      </w:r>
    </w:p>
    <w:p w:rsidR="00A508C2" w:rsidRPr="0085324D" w:rsidRDefault="00A508C2" w:rsidP="00A508C2">
      <w:pPr>
        <w:pStyle w:val="BodyText"/>
        <w:rPr>
          <w:rFonts w:ascii="Arial" w:hAnsi="Arial" w:cs="Arial"/>
          <w:sz w:val="10"/>
          <w:szCs w:val="10"/>
        </w:rPr>
      </w:pPr>
    </w:p>
    <w:p w:rsidR="00A508C2" w:rsidRPr="001C7895" w:rsidRDefault="00BC3BA2" w:rsidP="00432BE1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Ekim-Aralık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2018</w:t>
      </w:r>
      <w:r w:rsidR="00043B82">
        <w:rPr>
          <w:rFonts w:ascii="Arial" w:hAnsi="Arial" w:cs="Arial"/>
          <w:color w:val="000000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 xml:space="preserve">dönemi itibariyle </w:t>
      </w:r>
      <w:r w:rsidR="00CE360F">
        <w:rPr>
          <w:rFonts w:ascii="Arial" w:hAnsi="Arial" w:cs="Arial"/>
          <w:sz w:val="22"/>
          <w:szCs w:val="22"/>
        </w:rPr>
        <w:t xml:space="preserve">yaklaşık </w:t>
      </w:r>
      <w:r w:rsidR="00D86B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634D">
        <w:rPr>
          <w:rFonts w:ascii="Arial" w:hAnsi="Arial" w:cs="Arial"/>
          <w:sz w:val="22"/>
          <w:szCs w:val="22"/>
        </w:rPr>
        <w:t xml:space="preserve"> milyar</w:t>
      </w:r>
      <w:r w:rsidR="00E20BB6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TL olan takipteki</w:t>
      </w:r>
      <w:r w:rsidR="0072634D">
        <w:rPr>
          <w:rFonts w:ascii="Arial" w:hAnsi="Arial" w:cs="Arial"/>
          <w:sz w:val="22"/>
          <w:szCs w:val="22"/>
        </w:rPr>
        <w:t xml:space="preserve"> krediler</w:t>
      </w:r>
      <w:r w:rsidR="005A7EE7">
        <w:rPr>
          <w:rFonts w:ascii="Arial" w:hAnsi="Arial" w:cs="Arial"/>
          <w:sz w:val="22"/>
          <w:szCs w:val="22"/>
        </w:rPr>
        <w:t xml:space="preserve"> </w:t>
      </w:r>
      <w:r w:rsidR="002C54AC">
        <w:rPr>
          <w:rFonts w:ascii="Arial" w:hAnsi="Arial" w:cs="Arial"/>
          <w:sz w:val="22"/>
          <w:szCs w:val="22"/>
        </w:rPr>
        <w:t>(</w:t>
      </w:r>
      <w:proofErr w:type="spellStart"/>
      <w:r w:rsidR="002C54AC">
        <w:rPr>
          <w:rFonts w:ascii="Arial" w:hAnsi="Arial" w:cs="Arial"/>
          <w:sz w:val="22"/>
          <w:szCs w:val="22"/>
        </w:rPr>
        <w:t>idari+kanuni</w:t>
      </w:r>
      <w:proofErr w:type="spellEnd"/>
      <w:r w:rsidR="002C54AC">
        <w:rPr>
          <w:rFonts w:ascii="Arial" w:hAnsi="Arial" w:cs="Arial"/>
          <w:sz w:val="22"/>
          <w:szCs w:val="22"/>
        </w:rPr>
        <w:t>)</w:t>
      </w:r>
      <w:r w:rsidR="0072634D">
        <w:rPr>
          <w:rFonts w:ascii="Arial" w:hAnsi="Arial" w:cs="Arial"/>
          <w:sz w:val="22"/>
          <w:szCs w:val="22"/>
        </w:rPr>
        <w:t xml:space="preserve">, tüketici </w:t>
      </w:r>
      <w:r w:rsidR="0072634D" w:rsidRPr="001C7895">
        <w:rPr>
          <w:rFonts w:ascii="Arial" w:hAnsi="Arial" w:cs="Arial"/>
          <w:sz w:val="22"/>
          <w:szCs w:val="22"/>
        </w:rPr>
        <w:t>krediler</w:t>
      </w:r>
      <w:r w:rsidR="0072634D">
        <w:rPr>
          <w:rFonts w:ascii="Arial" w:hAnsi="Arial" w:cs="Arial"/>
          <w:sz w:val="22"/>
          <w:szCs w:val="22"/>
        </w:rPr>
        <w:t xml:space="preserve">i ve konut kredileri </w:t>
      </w:r>
      <w:r w:rsidR="00F016FB">
        <w:rPr>
          <w:rFonts w:ascii="Arial" w:hAnsi="Arial" w:cs="Arial"/>
          <w:sz w:val="22"/>
          <w:szCs w:val="22"/>
        </w:rPr>
        <w:t xml:space="preserve">toplamının </w:t>
      </w:r>
      <w:r w:rsidR="00A508C2" w:rsidRPr="001C7895">
        <w:rPr>
          <w:rFonts w:ascii="Arial" w:hAnsi="Arial" w:cs="Arial"/>
          <w:sz w:val="22"/>
          <w:szCs w:val="22"/>
        </w:rPr>
        <w:t xml:space="preserve">yüzde </w:t>
      </w:r>
      <w:r w:rsidR="00887180">
        <w:rPr>
          <w:rFonts w:ascii="Arial" w:hAnsi="Arial" w:cs="Arial"/>
          <w:sz w:val="22"/>
          <w:szCs w:val="22"/>
        </w:rPr>
        <w:t>3,2’sini</w:t>
      </w:r>
      <w:r w:rsidR="00506103">
        <w:rPr>
          <w:rFonts w:ascii="Arial" w:hAnsi="Arial" w:cs="Arial"/>
          <w:sz w:val="22"/>
          <w:szCs w:val="22"/>
        </w:rPr>
        <w:t xml:space="preserve"> </w:t>
      </w:r>
      <w:r w:rsidR="00A508C2" w:rsidRPr="001C7895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1C7895">
        <w:rPr>
          <w:rFonts w:ascii="Arial" w:hAnsi="Arial" w:cs="Arial"/>
          <w:sz w:val="22"/>
          <w:szCs w:val="22"/>
        </w:rPr>
        <w:t>.</w:t>
      </w:r>
    </w:p>
    <w:p w:rsidR="00A508C2" w:rsidRPr="001C7895" w:rsidRDefault="00A508C2" w:rsidP="00A508C2">
      <w:pPr>
        <w:pStyle w:val="BodyText"/>
        <w:rPr>
          <w:rFonts w:ascii="Arial" w:hAnsi="Arial" w:cs="Arial"/>
          <w:sz w:val="22"/>
          <w:szCs w:val="22"/>
        </w:rPr>
      </w:pPr>
    </w:p>
    <w:p w:rsidR="00A508C2" w:rsidRPr="006F050E" w:rsidRDefault="00A508C2" w:rsidP="00A508C2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050E">
        <w:rPr>
          <w:rFonts w:ascii="Arial" w:hAnsi="Arial" w:cs="Arial"/>
          <w:b/>
          <w:sz w:val="22"/>
          <w:szCs w:val="22"/>
        </w:rPr>
        <w:t>Takipteki Krediler</w:t>
      </w:r>
      <w:r w:rsidR="0072634D" w:rsidRPr="006F050E">
        <w:rPr>
          <w:rFonts w:ascii="Arial" w:hAnsi="Arial" w:cs="Arial"/>
          <w:b/>
          <w:sz w:val="22"/>
          <w:szCs w:val="22"/>
        </w:rPr>
        <w:t xml:space="preserve">in 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Bakiye Miktara Oranı (</w:t>
      </w:r>
      <w:r w:rsidR="00FD5241">
        <w:rPr>
          <w:rFonts w:ascii="Arial" w:hAnsi="Arial" w:cs="Arial"/>
          <w:b/>
          <w:sz w:val="22"/>
          <w:szCs w:val="22"/>
          <w:lang w:eastAsia="tr-TR"/>
        </w:rPr>
        <w:t>yüzde</w:t>
      </w:r>
      <w:r w:rsidR="0072634D" w:rsidRPr="006F050E">
        <w:rPr>
          <w:rFonts w:ascii="Arial" w:hAnsi="Arial" w:cs="Arial"/>
          <w:b/>
          <w:sz w:val="22"/>
          <w:szCs w:val="22"/>
          <w:lang w:eastAsia="tr-TR"/>
        </w:rPr>
        <w:t>)</w:t>
      </w:r>
    </w:p>
    <w:p w:rsidR="00A508C2" w:rsidRDefault="00887180" w:rsidP="00CD1707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  <w:lang w:eastAsia="tr-TR"/>
        </w:rPr>
        <w:drawing>
          <wp:inline distT="0" distB="0" distL="0" distR="0" wp14:anchorId="6EA893DB" wp14:editId="0F41512F">
            <wp:extent cx="4538663" cy="2157413"/>
            <wp:effectExtent l="0" t="0" r="14605" b="1460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7D0" w:rsidRDefault="008057D0" w:rsidP="00A508C2">
      <w:pPr>
        <w:pStyle w:val="BodyText"/>
        <w:rPr>
          <w:rFonts w:ascii="Arial" w:hAnsi="Arial" w:cs="Arial"/>
          <w:sz w:val="20"/>
        </w:rPr>
      </w:pPr>
    </w:p>
    <w:p w:rsidR="00287877" w:rsidRPr="00B170A3" w:rsidRDefault="00887180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Ekim-Aralık</w:t>
      </w:r>
      <w:r w:rsidR="00660434">
        <w:rPr>
          <w:rFonts w:ascii="Arial" w:hAnsi="Arial" w:cs="Arial"/>
          <w:color w:val="000000"/>
          <w:sz w:val="22"/>
          <w:szCs w:val="22"/>
        </w:rPr>
        <w:t xml:space="preserve"> </w:t>
      </w:r>
      <w:r w:rsidR="002A2E1F">
        <w:rPr>
          <w:rFonts w:ascii="Arial" w:hAnsi="Arial" w:cs="Arial"/>
          <w:color w:val="000000"/>
          <w:sz w:val="22"/>
          <w:szCs w:val="22"/>
        </w:rPr>
        <w:t>201</w:t>
      </w:r>
      <w:r w:rsidR="00660434">
        <w:rPr>
          <w:rFonts w:ascii="Arial" w:hAnsi="Arial" w:cs="Arial"/>
          <w:color w:val="000000"/>
          <w:sz w:val="22"/>
          <w:szCs w:val="22"/>
        </w:rPr>
        <w:t>8</w:t>
      </w:r>
      <w:r w:rsidR="00ED270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döneminde kullandırılan tüketici kredileri ve konut kr</w:t>
      </w:r>
      <w:r w:rsidR="00125B80">
        <w:rPr>
          <w:rFonts w:ascii="Arial" w:hAnsi="Arial" w:cs="Arial"/>
          <w:sz w:val="22"/>
          <w:szCs w:val="22"/>
        </w:rPr>
        <w:t>edilerinden kanuni takibe alınan</w:t>
      </w:r>
      <w:r w:rsidR="00A508C2" w:rsidRPr="00B170A3">
        <w:rPr>
          <w:rFonts w:ascii="Arial" w:hAnsi="Arial" w:cs="Arial"/>
          <w:sz w:val="22"/>
          <w:szCs w:val="22"/>
        </w:rPr>
        <w:t xml:space="preserve"> </w:t>
      </w:r>
      <w:r w:rsidR="0072634D">
        <w:rPr>
          <w:rFonts w:ascii="Arial" w:hAnsi="Arial" w:cs="Arial"/>
          <w:sz w:val="22"/>
          <w:szCs w:val="22"/>
        </w:rPr>
        <w:t>kredi miktarı,</w:t>
      </w:r>
      <w:r w:rsidR="00A508C2" w:rsidRPr="00B170A3">
        <w:rPr>
          <w:rFonts w:ascii="Arial" w:hAnsi="Arial" w:cs="Arial"/>
          <w:sz w:val="22"/>
          <w:szCs w:val="22"/>
        </w:rPr>
        <w:t xml:space="preserve"> bir önceki yılın aynı dönemine göre yüzde </w:t>
      </w:r>
      <w:r>
        <w:rPr>
          <w:rFonts w:ascii="Arial" w:hAnsi="Arial" w:cs="Arial"/>
          <w:sz w:val="22"/>
          <w:szCs w:val="22"/>
        </w:rPr>
        <w:t>6</w:t>
      </w:r>
      <w:r w:rsidR="00D15478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oran</w:t>
      </w:r>
      <w:r w:rsidR="00295D34">
        <w:rPr>
          <w:rFonts w:ascii="Arial" w:hAnsi="Arial" w:cs="Arial"/>
          <w:sz w:val="22"/>
          <w:szCs w:val="22"/>
        </w:rPr>
        <w:t>ın</w:t>
      </w:r>
      <w:r w:rsidR="00A508C2" w:rsidRPr="00B170A3">
        <w:rPr>
          <w:rFonts w:ascii="Arial" w:hAnsi="Arial" w:cs="Arial"/>
          <w:sz w:val="22"/>
          <w:szCs w:val="22"/>
        </w:rPr>
        <w:t xml:space="preserve">da </w:t>
      </w:r>
      <w:r w:rsidR="00660434">
        <w:rPr>
          <w:rFonts w:ascii="Arial" w:hAnsi="Arial" w:cs="Arial"/>
          <w:sz w:val="22"/>
          <w:szCs w:val="22"/>
        </w:rPr>
        <w:t>azal</w:t>
      </w:r>
      <w:r w:rsidR="00071764">
        <w:rPr>
          <w:rFonts w:ascii="Arial" w:hAnsi="Arial" w:cs="Arial"/>
          <w:sz w:val="22"/>
          <w:szCs w:val="22"/>
        </w:rPr>
        <w:t>a</w:t>
      </w:r>
      <w:r w:rsidR="00A508C2" w:rsidRPr="00B170A3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884</w:t>
      </w:r>
      <w:r w:rsidR="00E20BB6">
        <w:rPr>
          <w:rFonts w:ascii="Arial" w:hAnsi="Arial" w:cs="Arial"/>
          <w:sz w:val="22"/>
          <w:szCs w:val="22"/>
        </w:rPr>
        <w:t xml:space="preserve"> milyon </w:t>
      </w:r>
      <w:r w:rsidR="00A508C2" w:rsidRPr="00B170A3">
        <w:rPr>
          <w:rFonts w:ascii="Arial" w:hAnsi="Arial" w:cs="Arial"/>
          <w:sz w:val="22"/>
          <w:szCs w:val="22"/>
        </w:rPr>
        <w:t xml:space="preserve">TL olmuştur. </w:t>
      </w:r>
      <w:r w:rsidR="0072634D">
        <w:rPr>
          <w:rFonts w:ascii="Arial" w:hAnsi="Arial" w:cs="Arial"/>
          <w:sz w:val="22"/>
          <w:szCs w:val="22"/>
        </w:rPr>
        <w:t xml:space="preserve">Söz konusu </w:t>
      </w:r>
      <w:r w:rsidR="000D52E8">
        <w:rPr>
          <w:rFonts w:ascii="Arial" w:hAnsi="Arial" w:cs="Arial"/>
          <w:sz w:val="22"/>
          <w:szCs w:val="22"/>
        </w:rPr>
        <w:t>kredilerin</w:t>
      </w:r>
      <w:r w:rsidR="002608E6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</w:t>
      </w:r>
      <w:r w:rsidR="002A2E1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sini</w:t>
      </w:r>
      <w:r w:rsidR="00F66E0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 xml:space="preserve">taşıt, yüzde </w:t>
      </w:r>
      <w:r w:rsidR="00A33399">
        <w:rPr>
          <w:rFonts w:ascii="Arial" w:hAnsi="Arial" w:cs="Arial"/>
          <w:sz w:val="22"/>
          <w:szCs w:val="22"/>
        </w:rPr>
        <w:t>9</w:t>
      </w:r>
      <w:r w:rsidR="00F44C84">
        <w:rPr>
          <w:rFonts w:ascii="Arial" w:hAnsi="Arial" w:cs="Arial"/>
          <w:sz w:val="22"/>
          <w:szCs w:val="22"/>
        </w:rPr>
        <w:t>’</w:t>
      </w:r>
      <w:r w:rsidR="00D86BD6">
        <w:rPr>
          <w:rFonts w:ascii="Arial" w:hAnsi="Arial" w:cs="Arial"/>
          <w:sz w:val="22"/>
          <w:szCs w:val="22"/>
        </w:rPr>
        <w:t>unu</w:t>
      </w:r>
      <w:r w:rsidR="004B7D1B">
        <w:rPr>
          <w:rFonts w:ascii="Arial" w:hAnsi="Arial" w:cs="Arial"/>
          <w:sz w:val="22"/>
          <w:szCs w:val="22"/>
        </w:rPr>
        <w:t xml:space="preserve"> konut,</w:t>
      </w:r>
      <w:r w:rsidR="00572B32">
        <w:rPr>
          <w:rFonts w:ascii="Arial" w:hAnsi="Arial" w:cs="Arial"/>
          <w:sz w:val="22"/>
          <w:szCs w:val="22"/>
        </w:rPr>
        <w:t xml:space="preserve"> yüzde </w:t>
      </w:r>
      <w:r w:rsidR="002A213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9</w:t>
      </w:r>
      <w:r w:rsidR="00D71116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unu</w:t>
      </w:r>
      <w:r w:rsidR="00A508C2" w:rsidRPr="00B170A3">
        <w:rPr>
          <w:rFonts w:ascii="Arial" w:hAnsi="Arial" w:cs="Arial"/>
          <w:sz w:val="22"/>
          <w:szCs w:val="22"/>
        </w:rPr>
        <w:t xml:space="preserve"> ihtiyaç</w:t>
      </w:r>
      <w:r w:rsidR="009135EF">
        <w:rPr>
          <w:rFonts w:ascii="Arial" w:hAnsi="Arial" w:cs="Arial"/>
          <w:sz w:val="22"/>
          <w:szCs w:val="22"/>
        </w:rPr>
        <w:t xml:space="preserve"> k</w:t>
      </w:r>
      <w:r w:rsidR="00A508C2" w:rsidRPr="00B170A3">
        <w:rPr>
          <w:rFonts w:ascii="Arial" w:hAnsi="Arial" w:cs="Arial"/>
          <w:sz w:val="22"/>
          <w:szCs w:val="22"/>
        </w:rPr>
        <w:t>rediler</w:t>
      </w:r>
      <w:r w:rsidR="009135EF">
        <w:rPr>
          <w:rFonts w:ascii="Arial" w:hAnsi="Arial" w:cs="Arial"/>
          <w:sz w:val="22"/>
          <w:szCs w:val="22"/>
        </w:rPr>
        <w:t>i</w:t>
      </w:r>
      <w:r w:rsidR="004B7D1B">
        <w:rPr>
          <w:rFonts w:ascii="Arial" w:hAnsi="Arial" w:cs="Arial"/>
          <w:sz w:val="22"/>
          <w:szCs w:val="22"/>
        </w:rPr>
        <w:t xml:space="preserve"> </w:t>
      </w:r>
      <w:r w:rsidR="00A508C2" w:rsidRPr="00B170A3">
        <w:rPr>
          <w:rFonts w:ascii="Arial" w:hAnsi="Arial" w:cs="Arial"/>
          <w:sz w:val="22"/>
          <w:szCs w:val="22"/>
        </w:rPr>
        <w:t>oluşturm</w:t>
      </w:r>
      <w:r w:rsidR="00F016FB">
        <w:rPr>
          <w:rFonts w:ascii="Arial" w:hAnsi="Arial" w:cs="Arial"/>
          <w:sz w:val="22"/>
          <w:szCs w:val="22"/>
        </w:rPr>
        <w:t>uştur</w:t>
      </w:r>
      <w:r w:rsidR="00A508C2" w:rsidRPr="00B170A3">
        <w:rPr>
          <w:rFonts w:ascii="Arial" w:hAnsi="Arial" w:cs="Arial"/>
          <w:sz w:val="22"/>
          <w:szCs w:val="22"/>
        </w:rPr>
        <w:t xml:space="preserve">. </w:t>
      </w:r>
    </w:p>
    <w:p w:rsidR="00D52F8A" w:rsidRDefault="00D52F8A" w:rsidP="00A508C2">
      <w:pPr>
        <w:pStyle w:val="BodyText"/>
      </w:pPr>
    </w:p>
    <w:p w:rsidR="005A0906" w:rsidRPr="00954555" w:rsidRDefault="005A0906" w:rsidP="00A508C2">
      <w:pPr>
        <w:pStyle w:val="BodyText"/>
        <w:rPr>
          <w:rFonts w:ascii="Arial" w:hAnsi="Arial" w:cs="Arial"/>
          <w:sz w:val="18"/>
          <w:szCs w:val="18"/>
        </w:rPr>
      </w:pPr>
      <w:r w:rsidRPr="00954555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:rsidR="005A0906" w:rsidRPr="00AB713B" w:rsidRDefault="005A0906" w:rsidP="00171A17">
      <w:pPr>
        <w:jc w:val="both"/>
        <w:rPr>
          <w:sz w:val="17"/>
          <w:szCs w:val="17"/>
        </w:rPr>
      </w:pPr>
      <w:proofErr w:type="gramStart"/>
      <w:r w:rsidRPr="00AB713B">
        <w:rPr>
          <w:rFonts w:ascii="Arial" w:hAnsi="Arial" w:cs="Arial"/>
          <w:b/>
          <w:color w:val="000000"/>
          <w:sz w:val="17"/>
          <w:szCs w:val="17"/>
        </w:rPr>
        <w:t>Önemli Not:</w:t>
      </w:r>
      <w:r w:rsidRPr="00AB713B">
        <w:rPr>
          <w:rFonts w:ascii="Arial" w:hAnsi="Arial" w:cs="Arial"/>
          <w:sz w:val="17"/>
          <w:szCs w:val="17"/>
        </w:rPr>
        <w:t xml:space="preserve"> </w:t>
      </w:r>
      <w:r w:rsidR="00CF163D" w:rsidRPr="00AB713B">
        <w:rPr>
          <w:rFonts w:ascii="Arial" w:hAnsi="Arial" w:cs="Arial"/>
          <w:sz w:val="17"/>
          <w:szCs w:val="17"/>
        </w:rPr>
        <w:t xml:space="preserve">Bu raporda yer alan istatistikler, </w:t>
      </w:r>
      <w:r w:rsidR="00AB713B" w:rsidRPr="00AB713B">
        <w:rPr>
          <w:rFonts w:ascii="Arial" w:hAnsi="Arial"/>
          <w:color w:val="000000"/>
          <w:sz w:val="17"/>
          <w:szCs w:val="17"/>
        </w:rPr>
        <w:t>Haziran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201</w:t>
      </w:r>
      <w:r w:rsidR="00AB713B" w:rsidRPr="00AB713B">
        <w:rPr>
          <w:rFonts w:ascii="Arial" w:hAnsi="Arial"/>
          <w:color w:val="000000"/>
          <w:sz w:val="17"/>
          <w:szCs w:val="17"/>
        </w:rPr>
        <w:t>3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</w:t>
      </w:r>
      <w:r w:rsidR="00C70607">
        <w:rPr>
          <w:rFonts w:ascii="Arial" w:hAnsi="Arial"/>
          <w:color w:val="000000"/>
          <w:sz w:val="17"/>
          <w:szCs w:val="17"/>
        </w:rPr>
        <w:t xml:space="preserve"> 36, </w:t>
      </w:r>
      <w:r w:rsidR="008708CF">
        <w:rPr>
          <w:rFonts w:ascii="Arial" w:hAnsi="Arial"/>
          <w:color w:val="000000"/>
          <w:sz w:val="17"/>
          <w:szCs w:val="17"/>
        </w:rPr>
        <w:t>Aralık</w:t>
      </w:r>
      <w:r w:rsidR="00AB713B" w:rsidRPr="00AB713B">
        <w:rPr>
          <w:rFonts w:ascii="Arial" w:hAnsi="Arial"/>
          <w:color w:val="000000"/>
          <w:sz w:val="17"/>
          <w:szCs w:val="17"/>
        </w:rPr>
        <w:t xml:space="preserve"> 2013 dönemi</w:t>
      </w:r>
      <w:r w:rsidR="003A255D" w:rsidRPr="00AB713B">
        <w:rPr>
          <w:rFonts w:ascii="Arial" w:hAnsi="Arial"/>
          <w:color w:val="000000"/>
          <w:sz w:val="17"/>
          <w:szCs w:val="17"/>
        </w:rPr>
        <w:t xml:space="preserve"> itibariyle</w:t>
      </w:r>
      <w:r w:rsidR="00CF163D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AB713B" w:rsidRPr="00AB713B">
        <w:rPr>
          <w:rFonts w:ascii="Arial" w:hAnsi="Arial"/>
          <w:color w:val="000000"/>
          <w:sz w:val="17"/>
          <w:szCs w:val="17"/>
        </w:rPr>
        <w:t>4</w:t>
      </w:r>
      <w:r w:rsidR="00DA0781">
        <w:rPr>
          <w:rFonts w:ascii="Arial" w:hAnsi="Arial"/>
          <w:color w:val="000000"/>
          <w:sz w:val="17"/>
          <w:szCs w:val="17"/>
        </w:rPr>
        <w:t>,</w:t>
      </w:r>
      <w:r w:rsidR="00C70607">
        <w:rPr>
          <w:rFonts w:ascii="Arial" w:hAnsi="Arial"/>
          <w:color w:val="000000"/>
          <w:sz w:val="17"/>
          <w:szCs w:val="17"/>
        </w:rPr>
        <w:t xml:space="preserve"> Aralık </w:t>
      </w:r>
      <w:r w:rsidR="00C70607" w:rsidRPr="00AB713B">
        <w:rPr>
          <w:rFonts w:ascii="Arial" w:hAnsi="Arial"/>
          <w:color w:val="000000"/>
          <w:sz w:val="17"/>
          <w:szCs w:val="17"/>
        </w:rPr>
        <w:t>2013</w:t>
      </w:r>
      <w:r w:rsidR="00DA0781">
        <w:rPr>
          <w:rFonts w:ascii="Arial" w:hAnsi="Arial"/>
          <w:color w:val="000000"/>
          <w:sz w:val="17"/>
          <w:szCs w:val="17"/>
        </w:rPr>
        <w:t>’den Mart 2014 dönemine kadar</w:t>
      </w:r>
      <w:r w:rsidR="00C70607" w:rsidRPr="00AB713B">
        <w:rPr>
          <w:rFonts w:ascii="Arial" w:hAnsi="Arial"/>
          <w:color w:val="000000"/>
          <w:sz w:val="17"/>
          <w:szCs w:val="17"/>
        </w:rPr>
        <w:t xml:space="preserve"> 3</w:t>
      </w:r>
      <w:r w:rsidR="00C70607">
        <w:rPr>
          <w:rFonts w:ascii="Arial" w:hAnsi="Arial"/>
          <w:color w:val="000000"/>
          <w:sz w:val="17"/>
          <w:szCs w:val="17"/>
        </w:rPr>
        <w:t>3</w:t>
      </w:r>
      <w:r w:rsidR="00E05632">
        <w:rPr>
          <w:rFonts w:ascii="Arial" w:hAnsi="Arial"/>
          <w:color w:val="000000"/>
          <w:sz w:val="17"/>
          <w:szCs w:val="17"/>
        </w:rPr>
        <w:t>, Haziran 2014’ten Aralık 2014’e kadar 34, Mart 2015</w:t>
      </w:r>
      <w:r w:rsidR="0088486A">
        <w:rPr>
          <w:rFonts w:ascii="Arial" w:hAnsi="Arial"/>
          <w:color w:val="000000"/>
          <w:sz w:val="17"/>
          <w:szCs w:val="17"/>
        </w:rPr>
        <w:t>’ten Mart 2017’ye kadar 33, Haziran 2017</w:t>
      </w:r>
      <w:r w:rsidR="00E05632">
        <w:rPr>
          <w:rFonts w:ascii="Arial" w:hAnsi="Arial"/>
          <w:color w:val="000000"/>
          <w:sz w:val="17"/>
          <w:szCs w:val="17"/>
        </w:rPr>
        <w:t xml:space="preserve"> dönemi</w:t>
      </w:r>
      <w:r w:rsidR="00DA0781">
        <w:rPr>
          <w:rFonts w:ascii="Arial" w:hAnsi="Arial"/>
          <w:color w:val="000000"/>
          <w:sz w:val="17"/>
          <w:szCs w:val="17"/>
        </w:rPr>
        <w:t xml:space="preserve"> itibariyle 3</w:t>
      </w:r>
      <w:r w:rsidR="0088486A">
        <w:rPr>
          <w:rFonts w:ascii="Arial" w:hAnsi="Arial"/>
          <w:color w:val="000000"/>
          <w:sz w:val="17"/>
          <w:szCs w:val="17"/>
        </w:rPr>
        <w:t>2</w:t>
      </w:r>
      <w:r w:rsidR="00C70607">
        <w:rPr>
          <w:rFonts w:ascii="Arial" w:hAnsi="Arial"/>
          <w:color w:val="000000"/>
          <w:sz w:val="17"/>
          <w:szCs w:val="17"/>
        </w:rPr>
        <w:t xml:space="preserve">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Türkiye Bankalar Birliği </w:t>
      </w:r>
      <w:r w:rsidR="006C028C">
        <w:rPr>
          <w:rFonts w:ascii="Arial" w:hAnsi="Arial" w:cs="Arial"/>
          <w:color w:val="000000"/>
          <w:sz w:val="17"/>
          <w:szCs w:val="17"/>
        </w:rPr>
        <w:t xml:space="preserve">üyesi olan ve tüketici kredisi </w:t>
      </w:r>
      <w:r w:rsidR="00352C6D" w:rsidRPr="00AB713B">
        <w:rPr>
          <w:rFonts w:ascii="Arial" w:hAnsi="Arial" w:cs="Arial"/>
          <w:color w:val="000000"/>
          <w:sz w:val="17"/>
          <w:szCs w:val="17"/>
        </w:rPr>
        <w:t xml:space="preserve">ve konut kredisi kullandıran banka verisinden </w:t>
      </w:r>
      <w:r w:rsidR="00CF163D" w:rsidRPr="00AB713B">
        <w:rPr>
          <w:rFonts w:ascii="Arial" w:hAnsi="Arial"/>
          <w:color w:val="000000"/>
          <w:sz w:val="17"/>
          <w:szCs w:val="17"/>
        </w:rPr>
        <w:t>ol</w:t>
      </w:r>
      <w:r w:rsidR="00352C6D" w:rsidRPr="00AB713B">
        <w:rPr>
          <w:rFonts w:ascii="Arial" w:hAnsi="Arial"/>
          <w:color w:val="000000"/>
          <w:sz w:val="17"/>
          <w:szCs w:val="17"/>
        </w:rPr>
        <w:t>uş</w:t>
      </w:r>
      <w:r w:rsidR="00E05632">
        <w:rPr>
          <w:rFonts w:ascii="Arial" w:hAnsi="Arial"/>
          <w:color w:val="000000"/>
          <w:sz w:val="17"/>
          <w:szCs w:val="17"/>
        </w:rPr>
        <w:t xml:space="preserve">muştur. </w:t>
      </w:r>
      <w:proofErr w:type="gramEnd"/>
      <w:r w:rsidRPr="00AB713B">
        <w:rPr>
          <w:rFonts w:ascii="Arial" w:hAnsi="Arial" w:cs="Arial"/>
          <w:color w:val="000000"/>
          <w:sz w:val="17"/>
          <w:szCs w:val="17"/>
        </w:rPr>
        <w:t xml:space="preserve">Raporda yer alan </w:t>
      </w:r>
      <w:r w:rsidR="00BD1740" w:rsidRPr="00AB713B">
        <w:rPr>
          <w:rFonts w:ascii="Arial" w:hAnsi="Arial" w:cs="Arial"/>
          <w:color w:val="000000"/>
          <w:sz w:val="17"/>
          <w:szCs w:val="17"/>
        </w:rPr>
        <w:t>istatistikler</w:t>
      </w:r>
      <w:r w:rsidRPr="00AB713B">
        <w:rPr>
          <w:rFonts w:ascii="Arial" w:hAnsi="Arial" w:cs="Arial"/>
          <w:color w:val="000000"/>
          <w:sz w:val="17"/>
          <w:szCs w:val="17"/>
        </w:rPr>
        <w:t xml:space="preserve"> “Bankalarca Kamuya Açıklanacak Finansal Tablolar ile Bunlara İlişkin Açıklama ve Dipnotlar Hakkında </w:t>
      </w:r>
      <w:proofErr w:type="spellStart"/>
      <w:r w:rsidRPr="00AB713B">
        <w:rPr>
          <w:rFonts w:ascii="Arial" w:hAnsi="Arial" w:cs="Arial"/>
          <w:color w:val="000000"/>
          <w:sz w:val="17"/>
          <w:szCs w:val="17"/>
        </w:rPr>
        <w:t>Tebliğ”deki</w:t>
      </w:r>
      <w:proofErr w:type="spellEnd"/>
      <w:r w:rsidRPr="00AB713B">
        <w:rPr>
          <w:rFonts w:ascii="Arial" w:hAnsi="Arial" w:cs="Arial"/>
          <w:color w:val="000000"/>
          <w:sz w:val="17"/>
          <w:szCs w:val="17"/>
        </w:rPr>
        <w:t xml:space="preserve"> değişikliğe paralel olarak yayınlanmaktadır. Söz konusu Tebliğ kapsamında yayınlanan tüketici kredileri </w:t>
      </w:r>
      <w:r w:rsidR="00EC1E90" w:rsidRPr="00AB713B">
        <w:rPr>
          <w:rFonts w:ascii="Arial" w:hAnsi="Arial" w:cs="Arial"/>
          <w:color w:val="000000"/>
          <w:sz w:val="17"/>
          <w:szCs w:val="17"/>
        </w:rPr>
        <w:t>ve konut kredileri</w:t>
      </w:r>
      <w:r w:rsidR="00EC1E90" w:rsidRPr="00AB713B">
        <w:rPr>
          <w:rFonts w:ascii="Arial" w:hAnsi="Arial" w:cs="Arial"/>
          <w:sz w:val="17"/>
          <w:szCs w:val="17"/>
        </w:rPr>
        <w:t xml:space="preserve"> </w:t>
      </w:r>
      <w:r w:rsidRPr="00AB713B">
        <w:rPr>
          <w:rFonts w:ascii="Arial" w:hAnsi="Arial" w:cs="Arial"/>
          <w:sz w:val="17"/>
          <w:szCs w:val="17"/>
        </w:rPr>
        <w:t xml:space="preserve">toplu sonuçları ile bu raporun toplulaştırılmış bakiye sonuçları arasında farklar bulunmaktadır. Bu fark bazı bankaların </w:t>
      </w:r>
      <w:proofErr w:type="gramStart"/>
      <w:r w:rsidRPr="00AB713B">
        <w:rPr>
          <w:rFonts w:ascii="Arial" w:hAnsi="Arial" w:cs="Arial"/>
          <w:sz w:val="17"/>
          <w:szCs w:val="17"/>
        </w:rPr>
        <w:t>reeskontlarını</w:t>
      </w:r>
      <w:proofErr w:type="gramEnd"/>
      <w:r w:rsidRPr="00AB713B">
        <w:rPr>
          <w:rFonts w:ascii="Arial" w:hAnsi="Arial" w:cs="Arial"/>
          <w:sz w:val="17"/>
          <w:szCs w:val="17"/>
        </w:rPr>
        <w:t xml:space="preserve"> henüz dağıtamamış olmasından kaynaklanmaktadır. Ayrıca, bu rapordaki bilgiler gerçek kişilerce kullanılan ve ticari amaçlı olmayan bir</w:t>
      </w:r>
      <w:r w:rsidR="00B72C85" w:rsidRPr="00AB713B">
        <w:rPr>
          <w:rFonts w:ascii="Arial" w:hAnsi="Arial" w:cs="Arial"/>
          <w:sz w:val="17"/>
          <w:szCs w:val="17"/>
        </w:rPr>
        <w:t xml:space="preserve">eysel kredileri kapsamakta olup bireysel kredi kartları, personel kredi kartları ve </w:t>
      </w:r>
      <w:r w:rsidRPr="00AB713B">
        <w:rPr>
          <w:rFonts w:ascii="Arial" w:hAnsi="Arial" w:cs="Arial"/>
          <w:sz w:val="17"/>
          <w:szCs w:val="17"/>
        </w:rPr>
        <w:t>kredili mevduat hesaplarını içermemektedir. Bazı bankaların, ilgili tebliğe göre hazırladıkları tüketici kredileri bi</w:t>
      </w:r>
      <w:r w:rsidR="00B72C85" w:rsidRPr="00AB713B">
        <w:rPr>
          <w:rFonts w:ascii="Arial" w:hAnsi="Arial" w:cs="Arial"/>
          <w:sz w:val="17"/>
          <w:szCs w:val="17"/>
        </w:rPr>
        <w:t xml:space="preserve">lgileri kredili mevduat hesaplarını </w:t>
      </w:r>
      <w:r w:rsidRPr="00AB713B">
        <w:rPr>
          <w:rFonts w:ascii="Arial" w:hAnsi="Arial" w:cs="Arial"/>
          <w:sz w:val="17"/>
          <w:szCs w:val="17"/>
        </w:rPr>
        <w:t xml:space="preserve">içermektedir; bu nedenle, bu raporda yer alan tüketici kredileri </w:t>
      </w:r>
      <w:r w:rsidR="00EC1E90" w:rsidRPr="00AB713B">
        <w:rPr>
          <w:rFonts w:ascii="Arial" w:hAnsi="Arial" w:cs="Arial"/>
          <w:sz w:val="17"/>
          <w:szCs w:val="17"/>
        </w:rPr>
        <w:t xml:space="preserve">ve konut kredileri </w:t>
      </w:r>
      <w:r w:rsidRPr="00AB713B">
        <w:rPr>
          <w:rFonts w:ascii="Arial" w:hAnsi="Arial" w:cs="Arial"/>
          <w:sz w:val="17"/>
          <w:szCs w:val="17"/>
        </w:rPr>
        <w:t xml:space="preserve">bilgileri ile bu konuda da farklılıklar oluşmaktadır. </w:t>
      </w:r>
      <w:r w:rsidR="0058790C" w:rsidRPr="0058790C">
        <w:rPr>
          <w:rFonts w:ascii="Arial" w:hAnsi="Arial" w:cs="Arial"/>
          <w:sz w:val="17"/>
          <w:szCs w:val="17"/>
        </w:rPr>
        <w:t>Kişi sayılarında herhangi bir tekilleştirme işlemi yapılmamaktadır.</w:t>
      </w:r>
    </w:p>
    <w:sectPr w:rsidR="005A0906" w:rsidRPr="00AB713B" w:rsidSect="00FD5AF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B" w:rsidRDefault="001374AB">
      <w:r>
        <w:separator/>
      </w:r>
    </w:p>
  </w:endnote>
  <w:endnote w:type="continuationSeparator" w:id="0">
    <w:p w:rsidR="001374AB" w:rsidRDefault="0013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62817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C301DA">
      <w:rPr>
        <w:rFonts w:ascii="Arial" w:hAnsi="Arial" w:cs="Arial"/>
        <w:sz w:val="18"/>
        <w:szCs w:val="18"/>
      </w:rPr>
      <w:t>Aralık</w:t>
    </w:r>
    <w:r w:rsidR="00FD5AF0">
      <w:rPr>
        <w:rFonts w:ascii="Arial" w:hAnsi="Arial" w:cs="Arial"/>
        <w:sz w:val="18"/>
        <w:szCs w:val="18"/>
      </w:rPr>
      <w:t xml:space="preserve"> 2018</w:t>
    </w:r>
    <w:r w:rsidR="00814E2D">
      <w:rPr>
        <w:rFonts w:ascii="Arial" w:hAnsi="Arial" w:cs="Arial"/>
        <w:sz w:val="18"/>
        <w:szCs w:val="18"/>
      </w:rPr>
      <w:t xml:space="preserve">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C301DA">
      <w:rPr>
        <w:rFonts w:ascii="Arial" w:hAnsi="Arial" w:cs="Arial"/>
        <w:sz w:val="18"/>
        <w:szCs w:val="18"/>
      </w:rPr>
      <w:t>Aralık</w:t>
    </w:r>
    <w:r w:rsidR="00852C1B">
      <w:rPr>
        <w:rFonts w:ascii="Arial" w:hAnsi="Arial" w:cs="Arial"/>
        <w:sz w:val="18"/>
        <w:szCs w:val="18"/>
      </w:rPr>
      <w:t xml:space="preserve"> 2018</w:t>
    </w:r>
    <w:r>
      <w:rPr>
        <w:rFonts w:ascii="Arial" w:hAnsi="Arial" w:cs="Arial"/>
        <w:sz w:val="18"/>
        <w:szCs w:val="18"/>
      </w:rPr>
      <w:t xml:space="preserve">              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B" w:rsidRDefault="001374AB">
      <w:r>
        <w:separator/>
      </w:r>
    </w:p>
  </w:footnote>
  <w:footnote w:type="continuationSeparator" w:id="0">
    <w:p w:rsidR="001374AB" w:rsidRDefault="001374AB">
      <w:r>
        <w:continuationSeparator/>
      </w:r>
    </w:p>
  </w:footnote>
  <w:footnote w:id="1">
    <w:p w:rsidR="00DF2198" w:rsidRPr="00AD6FEB" w:rsidRDefault="00DF2198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5753735</wp:posOffset>
          </wp:positionH>
          <wp:positionV relativeFrom="page">
            <wp:posOffset>302260</wp:posOffset>
          </wp:positionV>
          <wp:extent cx="1461770" cy="947420"/>
          <wp:effectExtent l="0" t="0" r="5080" b="508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98" w:rsidRDefault="008449DA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5662295</wp:posOffset>
          </wp:positionH>
          <wp:positionV relativeFrom="page">
            <wp:posOffset>314960</wp:posOffset>
          </wp:positionV>
          <wp:extent cx="1461770" cy="947420"/>
          <wp:effectExtent l="0" t="0" r="5080" b="508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2ABB"/>
    <w:rsid w:val="0003375F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84203"/>
    <w:rsid w:val="000863FF"/>
    <w:rsid w:val="00086E4D"/>
    <w:rsid w:val="0009049A"/>
    <w:rsid w:val="00092F8C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B45"/>
    <w:rsid w:val="000F535D"/>
    <w:rsid w:val="000F695E"/>
    <w:rsid w:val="00101A75"/>
    <w:rsid w:val="00103568"/>
    <w:rsid w:val="0010403F"/>
    <w:rsid w:val="00105685"/>
    <w:rsid w:val="0011115E"/>
    <w:rsid w:val="00111577"/>
    <w:rsid w:val="001127FA"/>
    <w:rsid w:val="00117C26"/>
    <w:rsid w:val="00122AD1"/>
    <w:rsid w:val="001238EC"/>
    <w:rsid w:val="00125B7E"/>
    <w:rsid w:val="00125B80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694B"/>
    <w:rsid w:val="00146EED"/>
    <w:rsid w:val="00147A23"/>
    <w:rsid w:val="00152530"/>
    <w:rsid w:val="00166B25"/>
    <w:rsid w:val="00171A17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8E3"/>
    <w:rsid w:val="001A1012"/>
    <w:rsid w:val="001A2CE6"/>
    <w:rsid w:val="001A42AF"/>
    <w:rsid w:val="001A5EBC"/>
    <w:rsid w:val="001A5F7A"/>
    <w:rsid w:val="001A7371"/>
    <w:rsid w:val="001A7E31"/>
    <w:rsid w:val="001B2832"/>
    <w:rsid w:val="001B2F69"/>
    <w:rsid w:val="001B4074"/>
    <w:rsid w:val="001B45C1"/>
    <w:rsid w:val="001B6217"/>
    <w:rsid w:val="001B7A47"/>
    <w:rsid w:val="001C22B1"/>
    <w:rsid w:val="001C3B0F"/>
    <w:rsid w:val="001C5531"/>
    <w:rsid w:val="001C5561"/>
    <w:rsid w:val="001C5A8A"/>
    <w:rsid w:val="001C6FE5"/>
    <w:rsid w:val="001C7895"/>
    <w:rsid w:val="001D0858"/>
    <w:rsid w:val="001D1F34"/>
    <w:rsid w:val="001D26B8"/>
    <w:rsid w:val="001D3D31"/>
    <w:rsid w:val="001D4208"/>
    <w:rsid w:val="001D5876"/>
    <w:rsid w:val="001D7BCC"/>
    <w:rsid w:val="001E17FE"/>
    <w:rsid w:val="001E2225"/>
    <w:rsid w:val="001F0378"/>
    <w:rsid w:val="001F0872"/>
    <w:rsid w:val="001F1CAB"/>
    <w:rsid w:val="001F2E66"/>
    <w:rsid w:val="001F3E9F"/>
    <w:rsid w:val="001F493C"/>
    <w:rsid w:val="001F4DB2"/>
    <w:rsid w:val="001F4F64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5C49"/>
    <w:rsid w:val="00217D0F"/>
    <w:rsid w:val="00221A21"/>
    <w:rsid w:val="00221BC6"/>
    <w:rsid w:val="0022202F"/>
    <w:rsid w:val="00230F9C"/>
    <w:rsid w:val="00231114"/>
    <w:rsid w:val="002327CD"/>
    <w:rsid w:val="002329DE"/>
    <w:rsid w:val="00232CEC"/>
    <w:rsid w:val="00236E6F"/>
    <w:rsid w:val="00237210"/>
    <w:rsid w:val="002378B5"/>
    <w:rsid w:val="0024108E"/>
    <w:rsid w:val="00242F65"/>
    <w:rsid w:val="00251EFE"/>
    <w:rsid w:val="00251FA8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371E"/>
    <w:rsid w:val="002839AD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E1F"/>
    <w:rsid w:val="002A4FB6"/>
    <w:rsid w:val="002B0CE4"/>
    <w:rsid w:val="002B5BD1"/>
    <w:rsid w:val="002C54AC"/>
    <w:rsid w:val="002D24BA"/>
    <w:rsid w:val="002D4A7B"/>
    <w:rsid w:val="002D7DB3"/>
    <w:rsid w:val="002E0ACC"/>
    <w:rsid w:val="002F0D60"/>
    <w:rsid w:val="002F1719"/>
    <w:rsid w:val="002F40FC"/>
    <w:rsid w:val="002F5840"/>
    <w:rsid w:val="002F5A07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5C53"/>
    <w:rsid w:val="00335FE5"/>
    <w:rsid w:val="00337100"/>
    <w:rsid w:val="00340C64"/>
    <w:rsid w:val="003427FB"/>
    <w:rsid w:val="003446B4"/>
    <w:rsid w:val="00345B04"/>
    <w:rsid w:val="0035082B"/>
    <w:rsid w:val="0035210C"/>
    <w:rsid w:val="00352C6D"/>
    <w:rsid w:val="0035430C"/>
    <w:rsid w:val="00355134"/>
    <w:rsid w:val="00357356"/>
    <w:rsid w:val="00360506"/>
    <w:rsid w:val="00360A72"/>
    <w:rsid w:val="00361721"/>
    <w:rsid w:val="003657C0"/>
    <w:rsid w:val="00371F55"/>
    <w:rsid w:val="00374138"/>
    <w:rsid w:val="00375BCA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FB8"/>
    <w:rsid w:val="003947F0"/>
    <w:rsid w:val="00394AA8"/>
    <w:rsid w:val="00394DEE"/>
    <w:rsid w:val="00397251"/>
    <w:rsid w:val="003A0807"/>
    <w:rsid w:val="003A1599"/>
    <w:rsid w:val="003A255D"/>
    <w:rsid w:val="003A311B"/>
    <w:rsid w:val="003B1D2F"/>
    <w:rsid w:val="003B2C18"/>
    <w:rsid w:val="003B3020"/>
    <w:rsid w:val="003B461C"/>
    <w:rsid w:val="003B5935"/>
    <w:rsid w:val="003C264E"/>
    <w:rsid w:val="003C4562"/>
    <w:rsid w:val="003C609E"/>
    <w:rsid w:val="003C78CA"/>
    <w:rsid w:val="003D04F6"/>
    <w:rsid w:val="003D076E"/>
    <w:rsid w:val="003D4537"/>
    <w:rsid w:val="003D4A7A"/>
    <w:rsid w:val="003D7C22"/>
    <w:rsid w:val="003E41C1"/>
    <w:rsid w:val="003E43E7"/>
    <w:rsid w:val="003E6CAD"/>
    <w:rsid w:val="003E7B15"/>
    <w:rsid w:val="003E7DCA"/>
    <w:rsid w:val="003F072B"/>
    <w:rsid w:val="003F1334"/>
    <w:rsid w:val="003F143F"/>
    <w:rsid w:val="003F484F"/>
    <w:rsid w:val="004038AC"/>
    <w:rsid w:val="00403F87"/>
    <w:rsid w:val="00404952"/>
    <w:rsid w:val="00405C9E"/>
    <w:rsid w:val="004075FA"/>
    <w:rsid w:val="00407CF2"/>
    <w:rsid w:val="00410430"/>
    <w:rsid w:val="00414A29"/>
    <w:rsid w:val="00416A72"/>
    <w:rsid w:val="00417544"/>
    <w:rsid w:val="00420A82"/>
    <w:rsid w:val="00423F31"/>
    <w:rsid w:val="0042676A"/>
    <w:rsid w:val="004278C5"/>
    <w:rsid w:val="004323B2"/>
    <w:rsid w:val="004327DA"/>
    <w:rsid w:val="00432BE1"/>
    <w:rsid w:val="00433785"/>
    <w:rsid w:val="00440973"/>
    <w:rsid w:val="004428B4"/>
    <w:rsid w:val="00447AAC"/>
    <w:rsid w:val="00450C3E"/>
    <w:rsid w:val="00454CD5"/>
    <w:rsid w:val="0045649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5FFB"/>
    <w:rsid w:val="0048602A"/>
    <w:rsid w:val="00487C4C"/>
    <w:rsid w:val="00490CD2"/>
    <w:rsid w:val="00491093"/>
    <w:rsid w:val="0049205C"/>
    <w:rsid w:val="00493BC4"/>
    <w:rsid w:val="00495DDD"/>
    <w:rsid w:val="00496589"/>
    <w:rsid w:val="00496608"/>
    <w:rsid w:val="004A125A"/>
    <w:rsid w:val="004A64A8"/>
    <w:rsid w:val="004A70D9"/>
    <w:rsid w:val="004B18F3"/>
    <w:rsid w:val="004B1D46"/>
    <w:rsid w:val="004B2378"/>
    <w:rsid w:val="004B45DB"/>
    <w:rsid w:val="004B7D1B"/>
    <w:rsid w:val="004C1071"/>
    <w:rsid w:val="004C229F"/>
    <w:rsid w:val="004C7F71"/>
    <w:rsid w:val="004D07BB"/>
    <w:rsid w:val="004D1E31"/>
    <w:rsid w:val="004D248E"/>
    <w:rsid w:val="004D2FE0"/>
    <w:rsid w:val="004D55F0"/>
    <w:rsid w:val="004D7EDB"/>
    <w:rsid w:val="004E0491"/>
    <w:rsid w:val="004E2E27"/>
    <w:rsid w:val="004E36AB"/>
    <w:rsid w:val="004E542A"/>
    <w:rsid w:val="004F222D"/>
    <w:rsid w:val="004F3224"/>
    <w:rsid w:val="00503708"/>
    <w:rsid w:val="005045AD"/>
    <w:rsid w:val="00506103"/>
    <w:rsid w:val="0050796F"/>
    <w:rsid w:val="00510292"/>
    <w:rsid w:val="005150EA"/>
    <w:rsid w:val="0051735C"/>
    <w:rsid w:val="0052132C"/>
    <w:rsid w:val="00523846"/>
    <w:rsid w:val="005257C4"/>
    <w:rsid w:val="0052610E"/>
    <w:rsid w:val="0052730D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415B"/>
    <w:rsid w:val="005556AA"/>
    <w:rsid w:val="0055760F"/>
    <w:rsid w:val="00560AD9"/>
    <w:rsid w:val="00562238"/>
    <w:rsid w:val="005649FC"/>
    <w:rsid w:val="00570A4C"/>
    <w:rsid w:val="005715E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CB1"/>
    <w:rsid w:val="005A4AF1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6625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1563"/>
    <w:rsid w:val="00632EC2"/>
    <w:rsid w:val="00633E87"/>
    <w:rsid w:val="00640828"/>
    <w:rsid w:val="00640B11"/>
    <w:rsid w:val="006420FA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4C97"/>
    <w:rsid w:val="006860DC"/>
    <w:rsid w:val="00691DF2"/>
    <w:rsid w:val="00691FB3"/>
    <w:rsid w:val="00692012"/>
    <w:rsid w:val="006930EE"/>
    <w:rsid w:val="006A13CB"/>
    <w:rsid w:val="006A3632"/>
    <w:rsid w:val="006A5465"/>
    <w:rsid w:val="006A6399"/>
    <w:rsid w:val="006A6BE3"/>
    <w:rsid w:val="006B1158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2ECF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2361"/>
    <w:rsid w:val="007617C0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F14"/>
    <w:rsid w:val="00783A83"/>
    <w:rsid w:val="007848C3"/>
    <w:rsid w:val="00784B38"/>
    <w:rsid w:val="007875E9"/>
    <w:rsid w:val="00791DBC"/>
    <w:rsid w:val="00792691"/>
    <w:rsid w:val="00797F2F"/>
    <w:rsid w:val="007A08EA"/>
    <w:rsid w:val="007A1258"/>
    <w:rsid w:val="007A1EBB"/>
    <w:rsid w:val="007A3C06"/>
    <w:rsid w:val="007A40B2"/>
    <w:rsid w:val="007A5A61"/>
    <w:rsid w:val="007A6B71"/>
    <w:rsid w:val="007A76CC"/>
    <w:rsid w:val="007B116C"/>
    <w:rsid w:val="007B3018"/>
    <w:rsid w:val="007B4501"/>
    <w:rsid w:val="007C0974"/>
    <w:rsid w:val="007C248B"/>
    <w:rsid w:val="007C2EF4"/>
    <w:rsid w:val="007C7BCF"/>
    <w:rsid w:val="007D0433"/>
    <w:rsid w:val="007D0783"/>
    <w:rsid w:val="007D23C3"/>
    <w:rsid w:val="007D6682"/>
    <w:rsid w:val="007D75EE"/>
    <w:rsid w:val="007E3894"/>
    <w:rsid w:val="007E66DB"/>
    <w:rsid w:val="007E7B82"/>
    <w:rsid w:val="007F1A59"/>
    <w:rsid w:val="007F3D8E"/>
    <w:rsid w:val="007F7312"/>
    <w:rsid w:val="007F77A3"/>
    <w:rsid w:val="007F7997"/>
    <w:rsid w:val="00803D22"/>
    <w:rsid w:val="008057D0"/>
    <w:rsid w:val="0080636E"/>
    <w:rsid w:val="008070A6"/>
    <w:rsid w:val="008100CA"/>
    <w:rsid w:val="0081044F"/>
    <w:rsid w:val="0081159C"/>
    <w:rsid w:val="0081203D"/>
    <w:rsid w:val="00814031"/>
    <w:rsid w:val="00814E2D"/>
    <w:rsid w:val="008155F5"/>
    <w:rsid w:val="00817196"/>
    <w:rsid w:val="00821D60"/>
    <w:rsid w:val="00822AE1"/>
    <w:rsid w:val="008245A7"/>
    <w:rsid w:val="0082471E"/>
    <w:rsid w:val="0083335C"/>
    <w:rsid w:val="008341A8"/>
    <w:rsid w:val="00836BE2"/>
    <w:rsid w:val="00837374"/>
    <w:rsid w:val="0084173A"/>
    <w:rsid w:val="008449DA"/>
    <w:rsid w:val="00845329"/>
    <w:rsid w:val="00847325"/>
    <w:rsid w:val="00852C1B"/>
    <w:rsid w:val="00852D08"/>
    <w:rsid w:val="0085324D"/>
    <w:rsid w:val="00855117"/>
    <w:rsid w:val="00856EB9"/>
    <w:rsid w:val="00857E81"/>
    <w:rsid w:val="00860597"/>
    <w:rsid w:val="00860CE2"/>
    <w:rsid w:val="0086174C"/>
    <w:rsid w:val="00861E66"/>
    <w:rsid w:val="0086653D"/>
    <w:rsid w:val="008708CF"/>
    <w:rsid w:val="00871042"/>
    <w:rsid w:val="0088486A"/>
    <w:rsid w:val="00886C9E"/>
    <w:rsid w:val="00887180"/>
    <w:rsid w:val="008873D6"/>
    <w:rsid w:val="00890D5F"/>
    <w:rsid w:val="00890EFD"/>
    <w:rsid w:val="008916F6"/>
    <w:rsid w:val="00891DF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608"/>
    <w:rsid w:val="008E36F0"/>
    <w:rsid w:val="008E4274"/>
    <w:rsid w:val="008E51A4"/>
    <w:rsid w:val="008F4CA4"/>
    <w:rsid w:val="0090013E"/>
    <w:rsid w:val="009010E7"/>
    <w:rsid w:val="00906CC1"/>
    <w:rsid w:val="00910517"/>
    <w:rsid w:val="00912E92"/>
    <w:rsid w:val="009135EF"/>
    <w:rsid w:val="0091565E"/>
    <w:rsid w:val="00917335"/>
    <w:rsid w:val="00917C8C"/>
    <w:rsid w:val="00937638"/>
    <w:rsid w:val="009400AB"/>
    <w:rsid w:val="009403D7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4555"/>
    <w:rsid w:val="00957A69"/>
    <w:rsid w:val="00961854"/>
    <w:rsid w:val="00965F28"/>
    <w:rsid w:val="00970C1C"/>
    <w:rsid w:val="00974717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63F2"/>
    <w:rsid w:val="009967A6"/>
    <w:rsid w:val="00996DBF"/>
    <w:rsid w:val="009A2C69"/>
    <w:rsid w:val="009A38EB"/>
    <w:rsid w:val="009A6421"/>
    <w:rsid w:val="009A6584"/>
    <w:rsid w:val="009A665A"/>
    <w:rsid w:val="009B337B"/>
    <w:rsid w:val="009B4608"/>
    <w:rsid w:val="009B472C"/>
    <w:rsid w:val="009B59BA"/>
    <w:rsid w:val="009C1268"/>
    <w:rsid w:val="009C6A62"/>
    <w:rsid w:val="009D04B1"/>
    <w:rsid w:val="009D086F"/>
    <w:rsid w:val="009D3F27"/>
    <w:rsid w:val="009D4F15"/>
    <w:rsid w:val="009D5899"/>
    <w:rsid w:val="009D5F7D"/>
    <w:rsid w:val="009D7191"/>
    <w:rsid w:val="009E2DC6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5557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1187"/>
    <w:rsid w:val="00A33399"/>
    <w:rsid w:val="00A340C1"/>
    <w:rsid w:val="00A36CB7"/>
    <w:rsid w:val="00A4363A"/>
    <w:rsid w:val="00A43A7E"/>
    <w:rsid w:val="00A446C3"/>
    <w:rsid w:val="00A45455"/>
    <w:rsid w:val="00A46834"/>
    <w:rsid w:val="00A508C2"/>
    <w:rsid w:val="00A525EC"/>
    <w:rsid w:val="00A53D77"/>
    <w:rsid w:val="00A56B47"/>
    <w:rsid w:val="00A6024B"/>
    <w:rsid w:val="00A71DB4"/>
    <w:rsid w:val="00A74699"/>
    <w:rsid w:val="00A767C6"/>
    <w:rsid w:val="00A85877"/>
    <w:rsid w:val="00A85C41"/>
    <w:rsid w:val="00A91416"/>
    <w:rsid w:val="00A92DCE"/>
    <w:rsid w:val="00A9478D"/>
    <w:rsid w:val="00A958E7"/>
    <w:rsid w:val="00A9798E"/>
    <w:rsid w:val="00AA2E80"/>
    <w:rsid w:val="00AA2EE8"/>
    <w:rsid w:val="00AA7551"/>
    <w:rsid w:val="00AB2346"/>
    <w:rsid w:val="00AB3AEA"/>
    <w:rsid w:val="00AB713B"/>
    <w:rsid w:val="00AC2D23"/>
    <w:rsid w:val="00AD2DFC"/>
    <w:rsid w:val="00AD68C1"/>
    <w:rsid w:val="00AD6FEB"/>
    <w:rsid w:val="00AD7F15"/>
    <w:rsid w:val="00AE0003"/>
    <w:rsid w:val="00AE1576"/>
    <w:rsid w:val="00AE4D5F"/>
    <w:rsid w:val="00AE4F7B"/>
    <w:rsid w:val="00AF0AF7"/>
    <w:rsid w:val="00AF232D"/>
    <w:rsid w:val="00AF37AD"/>
    <w:rsid w:val="00AF6C19"/>
    <w:rsid w:val="00AF778C"/>
    <w:rsid w:val="00B00ED7"/>
    <w:rsid w:val="00B02093"/>
    <w:rsid w:val="00B023D3"/>
    <w:rsid w:val="00B02538"/>
    <w:rsid w:val="00B02875"/>
    <w:rsid w:val="00B0549B"/>
    <w:rsid w:val="00B05D0E"/>
    <w:rsid w:val="00B06772"/>
    <w:rsid w:val="00B06A57"/>
    <w:rsid w:val="00B10645"/>
    <w:rsid w:val="00B11F5B"/>
    <w:rsid w:val="00B139D8"/>
    <w:rsid w:val="00B14003"/>
    <w:rsid w:val="00B14AF3"/>
    <w:rsid w:val="00B15DAD"/>
    <w:rsid w:val="00B20135"/>
    <w:rsid w:val="00B227F9"/>
    <w:rsid w:val="00B31C4E"/>
    <w:rsid w:val="00B342FA"/>
    <w:rsid w:val="00B34DD1"/>
    <w:rsid w:val="00B35DEF"/>
    <w:rsid w:val="00B412B4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716E8"/>
    <w:rsid w:val="00B7217A"/>
    <w:rsid w:val="00B72506"/>
    <w:rsid w:val="00B7266D"/>
    <w:rsid w:val="00B72C85"/>
    <w:rsid w:val="00B77285"/>
    <w:rsid w:val="00B8035B"/>
    <w:rsid w:val="00B82A7E"/>
    <w:rsid w:val="00B85AFC"/>
    <w:rsid w:val="00B867FA"/>
    <w:rsid w:val="00B9040D"/>
    <w:rsid w:val="00B90A17"/>
    <w:rsid w:val="00B91031"/>
    <w:rsid w:val="00B94C79"/>
    <w:rsid w:val="00BA2971"/>
    <w:rsid w:val="00BA39CD"/>
    <w:rsid w:val="00BA4599"/>
    <w:rsid w:val="00BA509B"/>
    <w:rsid w:val="00BA5B29"/>
    <w:rsid w:val="00BA5C98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4013"/>
    <w:rsid w:val="00BD56F0"/>
    <w:rsid w:val="00BE0FF6"/>
    <w:rsid w:val="00BE1B42"/>
    <w:rsid w:val="00BE39AA"/>
    <w:rsid w:val="00BE4206"/>
    <w:rsid w:val="00BE4727"/>
    <w:rsid w:val="00BE7A02"/>
    <w:rsid w:val="00BF1825"/>
    <w:rsid w:val="00BF1E01"/>
    <w:rsid w:val="00BF2000"/>
    <w:rsid w:val="00BF3556"/>
    <w:rsid w:val="00BF45C8"/>
    <w:rsid w:val="00C026A0"/>
    <w:rsid w:val="00C02C1F"/>
    <w:rsid w:val="00C03451"/>
    <w:rsid w:val="00C04115"/>
    <w:rsid w:val="00C06739"/>
    <w:rsid w:val="00C10AF5"/>
    <w:rsid w:val="00C11892"/>
    <w:rsid w:val="00C1371B"/>
    <w:rsid w:val="00C15EC0"/>
    <w:rsid w:val="00C20346"/>
    <w:rsid w:val="00C22702"/>
    <w:rsid w:val="00C2576E"/>
    <w:rsid w:val="00C26D0A"/>
    <w:rsid w:val="00C301DA"/>
    <w:rsid w:val="00C33142"/>
    <w:rsid w:val="00C3691D"/>
    <w:rsid w:val="00C40630"/>
    <w:rsid w:val="00C44A46"/>
    <w:rsid w:val="00C44F1F"/>
    <w:rsid w:val="00C46318"/>
    <w:rsid w:val="00C50E4E"/>
    <w:rsid w:val="00C52723"/>
    <w:rsid w:val="00C528FC"/>
    <w:rsid w:val="00C53068"/>
    <w:rsid w:val="00C542E0"/>
    <w:rsid w:val="00C548E3"/>
    <w:rsid w:val="00C5667A"/>
    <w:rsid w:val="00C56F44"/>
    <w:rsid w:val="00C5723A"/>
    <w:rsid w:val="00C57DF3"/>
    <w:rsid w:val="00C60130"/>
    <w:rsid w:val="00C61174"/>
    <w:rsid w:val="00C638BD"/>
    <w:rsid w:val="00C641C4"/>
    <w:rsid w:val="00C66FAB"/>
    <w:rsid w:val="00C67CEB"/>
    <w:rsid w:val="00C67E78"/>
    <w:rsid w:val="00C70607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27C0"/>
    <w:rsid w:val="00C92C7A"/>
    <w:rsid w:val="00C97F73"/>
    <w:rsid w:val="00CA0E1A"/>
    <w:rsid w:val="00CA23D7"/>
    <w:rsid w:val="00CA39C5"/>
    <w:rsid w:val="00CB09AC"/>
    <w:rsid w:val="00CB6151"/>
    <w:rsid w:val="00CB61E9"/>
    <w:rsid w:val="00CB62A0"/>
    <w:rsid w:val="00CB6F07"/>
    <w:rsid w:val="00CC309B"/>
    <w:rsid w:val="00CC37E8"/>
    <w:rsid w:val="00CC7EB3"/>
    <w:rsid w:val="00CD1707"/>
    <w:rsid w:val="00CD2949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1306B"/>
    <w:rsid w:val="00D148EB"/>
    <w:rsid w:val="00D14938"/>
    <w:rsid w:val="00D15478"/>
    <w:rsid w:val="00D1579E"/>
    <w:rsid w:val="00D1692B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6343"/>
    <w:rsid w:val="00D37714"/>
    <w:rsid w:val="00D42379"/>
    <w:rsid w:val="00D42989"/>
    <w:rsid w:val="00D4386A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4050"/>
    <w:rsid w:val="00D56711"/>
    <w:rsid w:val="00D63098"/>
    <w:rsid w:val="00D649C1"/>
    <w:rsid w:val="00D65089"/>
    <w:rsid w:val="00D6623E"/>
    <w:rsid w:val="00D6725A"/>
    <w:rsid w:val="00D71116"/>
    <w:rsid w:val="00D734C6"/>
    <w:rsid w:val="00D75253"/>
    <w:rsid w:val="00D75F0E"/>
    <w:rsid w:val="00D75F8A"/>
    <w:rsid w:val="00D75FB8"/>
    <w:rsid w:val="00D77757"/>
    <w:rsid w:val="00D80FFE"/>
    <w:rsid w:val="00D84E5D"/>
    <w:rsid w:val="00D86BD6"/>
    <w:rsid w:val="00D87CEA"/>
    <w:rsid w:val="00D87E7B"/>
    <w:rsid w:val="00D933CE"/>
    <w:rsid w:val="00D939BF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D0172"/>
    <w:rsid w:val="00DD0574"/>
    <w:rsid w:val="00DD1686"/>
    <w:rsid w:val="00DD1D4F"/>
    <w:rsid w:val="00DD2327"/>
    <w:rsid w:val="00DD52D2"/>
    <w:rsid w:val="00DD6C42"/>
    <w:rsid w:val="00DE112F"/>
    <w:rsid w:val="00DE160D"/>
    <w:rsid w:val="00DE2716"/>
    <w:rsid w:val="00DE454F"/>
    <w:rsid w:val="00DE4925"/>
    <w:rsid w:val="00DE5137"/>
    <w:rsid w:val="00DE53AA"/>
    <w:rsid w:val="00DE6B5E"/>
    <w:rsid w:val="00DE6CBA"/>
    <w:rsid w:val="00DF0AFD"/>
    <w:rsid w:val="00DF1080"/>
    <w:rsid w:val="00DF2198"/>
    <w:rsid w:val="00DF603F"/>
    <w:rsid w:val="00DF617D"/>
    <w:rsid w:val="00DF6F98"/>
    <w:rsid w:val="00E002B9"/>
    <w:rsid w:val="00E05632"/>
    <w:rsid w:val="00E07444"/>
    <w:rsid w:val="00E07826"/>
    <w:rsid w:val="00E119EB"/>
    <w:rsid w:val="00E13072"/>
    <w:rsid w:val="00E13E2F"/>
    <w:rsid w:val="00E20BB6"/>
    <w:rsid w:val="00E25464"/>
    <w:rsid w:val="00E257B1"/>
    <w:rsid w:val="00E25E74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1EBF"/>
    <w:rsid w:val="00E5255E"/>
    <w:rsid w:val="00E531F0"/>
    <w:rsid w:val="00E57138"/>
    <w:rsid w:val="00E575ED"/>
    <w:rsid w:val="00E62F31"/>
    <w:rsid w:val="00E63F84"/>
    <w:rsid w:val="00E65559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3892"/>
    <w:rsid w:val="00E946AD"/>
    <w:rsid w:val="00E95E30"/>
    <w:rsid w:val="00E96F80"/>
    <w:rsid w:val="00EA010A"/>
    <w:rsid w:val="00EA4841"/>
    <w:rsid w:val="00EA4874"/>
    <w:rsid w:val="00EA6276"/>
    <w:rsid w:val="00EA6775"/>
    <w:rsid w:val="00EA7CC0"/>
    <w:rsid w:val="00EA7D75"/>
    <w:rsid w:val="00EB0892"/>
    <w:rsid w:val="00EB094E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D1212"/>
    <w:rsid w:val="00ED264F"/>
    <w:rsid w:val="00ED2703"/>
    <w:rsid w:val="00ED402B"/>
    <w:rsid w:val="00ED4C60"/>
    <w:rsid w:val="00ED7051"/>
    <w:rsid w:val="00EE0B62"/>
    <w:rsid w:val="00EE0D2A"/>
    <w:rsid w:val="00EE10A6"/>
    <w:rsid w:val="00EE18EF"/>
    <w:rsid w:val="00EE4340"/>
    <w:rsid w:val="00EF07B3"/>
    <w:rsid w:val="00EF0D92"/>
    <w:rsid w:val="00EF433E"/>
    <w:rsid w:val="00EF45D3"/>
    <w:rsid w:val="00EF4EDF"/>
    <w:rsid w:val="00EF7F7D"/>
    <w:rsid w:val="00F00461"/>
    <w:rsid w:val="00F016FB"/>
    <w:rsid w:val="00F026F9"/>
    <w:rsid w:val="00F04D3B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EC0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75FF"/>
    <w:rsid w:val="00FB77C4"/>
    <w:rsid w:val="00FC1245"/>
    <w:rsid w:val="00FC134A"/>
    <w:rsid w:val="00FC1C2A"/>
    <w:rsid w:val="00FC2C66"/>
    <w:rsid w:val="00FC6F3C"/>
    <w:rsid w:val="00FC729C"/>
    <w:rsid w:val="00FD1724"/>
    <w:rsid w:val="00FD5241"/>
    <w:rsid w:val="00FD5AF0"/>
    <w:rsid w:val="00FE1533"/>
    <w:rsid w:val="00FE15E5"/>
    <w:rsid w:val="00FE284C"/>
    <w:rsid w:val="00FE728F"/>
    <w:rsid w:val="00FE7658"/>
    <w:rsid w:val="00FE7995"/>
    <w:rsid w:val="00FF0F9B"/>
    <w:rsid w:val="00FF1723"/>
    <w:rsid w:val="00FF1EEB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47505C5D"/>
  <w15:chartTrackingRefBased/>
  <w15:docId w15:val="{CFC525CB-1917-4E43-8722-6E2D35B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18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18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18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C2-485F-AE0A-8EACEE6DB7EE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C2-485F-AE0A-8EACEE6DB7EE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C2-485F-AE0A-8EACEE6DB7EE}"/>
              </c:ext>
            </c:extLst>
          </c:dPt>
          <c:dLbls>
            <c:dLbl>
              <c:idx val="0"/>
              <c:layout>
                <c:manualLayout>
                  <c:x val="-7.9758047485443698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AC2-485F-AE0A-8EACEE6DB7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1.1393482326000002</c:v>
                </c:pt>
                <c:pt idx="1">
                  <c:v>1.8369335699</c:v>
                </c:pt>
                <c:pt idx="2">
                  <c:v>19.324440612399997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C2-485F-AE0A-8EACEE6DB7E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2B-4D5C-8103-D11AE5C5CA08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2B-4D5C-8103-D11AE5C5CA08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2B-4D5C-8103-D11AE5C5CA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 *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5.7397019050999996</c:v>
                </c:pt>
                <c:pt idx="1">
                  <c:v>180.01994342259999</c:v>
                </c:pt>
                <c:pt idx="2">
                  <c:v>187.7150676805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42B-4D5C-8103-D11AE5C5CA0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Sheet2!$A$10</c:f>
              <c:strCache>
                <c:ptCount val="1"/>
                <c:pt idx="0">
                  <c:v>İdari Takipteki Kredi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2017</c:v>
                </c:pt>
                <c:pt idx="1">
                  <c:v>Temmuz-Eylül 2018</c:v>
                </c:pt>
                <c:pt idx="2">
                  <c:v>Ekim-Aralık 2018</c:v>
                </c:pt>
              </c:strCache>
            </c:strRef>
          </c:cat>
          <c:val>
            <c:numRef>
              <c:f>Sheet2!$B$10:$D$10</c:f>
              <c:numCache>
                <c:formatCode>0.00</c:formatCode>
                <c:ptCount val="3"/>
                <c:pt idx="0">
                  <c:v>7.5791443259706368E-2</c:v>
                </c:pt>
                <c:pt idx="1">
                  <c:v>8.7884963253078735E-2</c:v>
                </c:pt>
                <c:pt idx="2">
                  <c:v>0.13253398025614985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2E-4764-8892-7E64D04D52A9}"/>
            </c:ext>
          </c:extLst>
        </c:ser>
        <c:ser>
          <c:idx val="1"/>
          <c:order val="1"/>
          <c:tx>
            <c:strRef>
              <c:f>Sheet2!$A$11</c:f>
              <c:strCache>
                <c:ptCount val="1"/>
                <c:pt idx="0">
                  <c:v>Kanuni Takipteki Kredi 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Sheet2!$B$9:$D$9</c:f>
              <c:strCache>
                <c:ptCount val="3"/>
                <c:pt idx="0">
                  <c:v>Ekim-Aralık 2017</c:v>
                </c:pt>
                <c:pt idx="1">
                  <c:v>Temmuz-Eylül 2018</c:v>
                </c:pt>
                <c:pt idx="2">
                  <c:v>Ekim-Aralık 2018</c:v>
                </c:pt>
              </c:strCache>
            </c:strRef>
          </c:cat>
          <c:val>
            <c:numRef>
              <c:f>Sheet2!$B$11:$D$11</c:f>
              <c:numCache>
                <c:formatCode>0.00</c:formatCode>
                <c:ptCount val="3"/>
                <c:pt idx="0">
                  <c:v>2.8433880807402065</c:v>
                </c:pt>
                <c:pt idx="1">
                  <c:v>2.8018835377296467</c:v>
                </c:pt>
                <c:pt idx="2">
                  <c:v>3.0328797655575959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2E-4764-8892-7E64D04D52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5720144"/>
        <c:axId val="845726808"/>
      </c:barChart>
      <c:catAx>
        <c:axId val="84572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6808"/>
        <c:crosses val="autoZero"/>
        <c:auto val="1"/>
        <c:lblAlgn val="ctr"/>
        <c:lblOffset val="100"/>
        <c:noMultiLvlLbl val="0"/>
      </c:catAx>
      <c:valAx>
        <c:axId val="845726808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457201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17AB-08D1-4C58-9AF6-51E5ECE2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716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asli.ozaktan@tbb.org.tr</dc:creator>
  <cp:keywords/>
  <cp:lastModifiedBy>Aslı Özaktan</cp:lastModifiedBy>
  <cp:revision>60</cp:revision>
  <cp:lastPrinted>2018-10-02T06:37:00Z</cp:lastPrinted>
  <dcterms:created xsi:type="dcterms:W3CDTF">2018-07-31T07:08:00Z</dcterms:created>
  <dcterms:modified xsi:type="dcterms:W3CDTF">2019-06-10T13:22:00Z</dcterms:modified>
</cp:coreProperties>
</file>