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1C7895">
        <w:rPr>
          <w:rStyle w:val="TitleChar"/>
          <w:rFonts w:ascii="Arial" w:hAnsi="Arial"/>
          <w:bCs/>
          <w:sz w:val="28"/>
        </w:rPr>
        <w:t xml:space="preserve"> </w:t>
      </w:r>
      <w:bookmarkStart w:id="0" w:name="_GoBack"/>
      <w:bookmarkEnd w:id="0"/>
      <w:r w:rsidRPr="001C7895">
        <w:rPr>
          <w:rStyle w:val="TitleChar"/>
          <w:rFonts w:ascii="Arial" w:hAnsi="Arial"/>
          <w:bCs/>
          <w:sz w:val="28"/>
        </w:rPr>
        <w:t>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D9406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2019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D94063">
        <w:rPr>
          <w:rFonts w:ascii="Arial" w:hAnsi="Arial" w:cs="Arial"/>
          <w:b/>
          <w:sz w:val="22"/>
          <w:szCs w:val="22"/>
        </w:rPr>
        <w:t xml:space="preserve">19 </w:t>
      </w:r>
      <w:r w:rsidR="00861E66">
        <w:rPr>
          <w:rFonts w:ascii="Arial" w:hAnsi="Arial" w:cs="Arial"/>
          <w:b/>
          <w:sz w:val="22"/>
          <w:szCs w:val="22"/>
        </w:rPr>
        <w:t xml:space="preserve">milyon </w:t>
      </w:r>
      <w:r w:rsidR="00D94063">
        <w:rPr>
          <w:rFonts w:ascii="Arial" w:hAnsi="Arial" w:cs="Arial"/>
          <w:b/>
          <w:sz w:val="22"/>
          <w:szCs w:val="22"/>
        </w:rPr>
        <w:t>373</w:t>
      </w:r>
      <w:r w:rsidR="00B94C79">
        <w:rPr>
          <w:rFonts w:ascii="Arial" w:hAnsi="Arial" w:cs="Arial"/>
          <w:b/>
          <w:sz w:val="22"/>
          <w:szCs w:val="22"/>
        </w:rPr>
        <w:t xml:space="preserve">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CB6151">
        <w:rPr>
          <w:rFonts w:ascii="Arial" w:hAnsi="Arial" w:cs="Arial"/>
          <w:b/>
          <w:sz w:val="22"/>
          <w:szCs w:val="22"/>
        </w:rPr>
        <w:t>7</w:t>
      </w:r>
      <w:r w:rsidR="00D94063">
        <w:rPr>
          <w:rFonts w:ascii="Arial" w:hAnsi="Arial" w:cs="Arial"/>
          <w:b/>
          <w:sz w:val="22"/>
          <w:szCs w:val="22"/>
        </w:rPr>
        <w:t>7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C16858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</w:t>
      </w:r>
      <w:r>
        <w:rPr>
          <w:rFonts w:ascii="Arial" w:hAnsi="Arial" w:cs="Arial"/>
          <w:sz w:val="22"/>
          <w:szCs w:val="22"/>
        </w:rPr>
        <w:t>2,7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45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yılın aynı dönemine göre </w:t>
      </w:r>
      <w:r w:rsidR="00F83AA7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12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BA5C98">
        <w:rPr>
          <w:rFonts w:ascii="Arial" w:hAnsi="Arial" w:cs="Arial"/>
          <w:sz w:val="22"/>
          <w:szCs w:val="22"/>
        </w:rPr>
        <w:t>azalmıştır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Pr="00D46D1D">
        <w:rPr>
          <w:rFonts w:ascii="Arial" w:hAnsi="Arial" w:cs="Arial"/>
          <w:sz w:val="22"/>
          <w:szCs w:val="22"/>
        </w:rPr>
        <w:t xml:space="preserve">Böylece </w:t>
      </w:r>
      <w:r>
        <w:rPr>
          <w:rFonts w:ascii="Arial" w:hAnsi="Arial" w:cs="Arial"/>
          <w:sz w:val="22"/>
          <w:szCs w:val="22"/>
        </w:rPr>
        <w:t>2019</w:t>
      </w:r>
      <w:r w:rsidRPr="00D46D1D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 xml:space="preserve">ilk </w:t>
      </w:r>
      <w:r w:rsidRPr="00D46D1D">
        <w:rPr>
          <w:rFonts w:ascii="Arial" w:hAnsi="Arial" w:cs="Arial"/>
          <w:sz w:val="22"/>
          <w:szCs w:val="22"/>
        </w:rPr>
        <w:t>çeyreği itibariyle son bir yılda toplam</w:t>
      </w:r>
      <w:r w:rsidR="005B6CF5" w:rsidRPr="00D46D1D">
        <w:rPr>
          <w:rFonts w:ascii="Arial" w:hAnsi="Arial" w:cs="Arial"/>
          <w:sz w:val="22"/>
          <w:szCs w:val="22"/>
        </w:rPr>
        <w:t xml:space="preserve"> </w:t>
      </w:r>
      <w:r w:rsidR="002F40FC">
        <w:rPr>
          <w:rFonts w:ascii="Arial" w:hAnsi="Arial" w:cs="Arial"/>
          <w:sz w:val="22"/>
          <w:szCs w:val="22"/>
        </w:rPr>
        <w:t>9,</w:t>
      </w:r>
      <w:r>
        <w:rPr>
          <w:rFonts w:ascii="Arial" w:hAnsi="Arial" w:cs="Arial"/>
          <w:sz w:val="22"/>
          <w:szCs w:val="22"/>
        </w:rPr>
        <w:t>5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B61D33">
        <w:rPr>
          <w:rFonts w:ascii="Arial" w:hAnsi="Arial" w:cs="Arial"/>
          <w:sz w:val="22"/>
          <w:szCs w:val="22"/>
        </w:rPr>
        <w:t xml:space="preserve">kişiye </w:t>
      </w:r>
      <w:r w:rsidR="002F40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56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B62817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616042" w:rsidRPr="008E3217" w:rsidRDefault="00616042" w:rsidP="00822AE1">
      <w:pPr>
        <w:pStyle w:val="BodyTex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D5241" w:rsidRPr="00FD5241" w:rsidRDefault="008E3217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noProof/>
          <w:color w:val="000000"/>
          <w:sz w:val="10"/>
          <w:szCs w:val="10"/>
          <w:lang w:eastAsia="tr-TR"/>
        </w:rPr>
        <w:drawing>
          <wp:inline distT="0" distB="0" distL="0" distR="0" wp14:anchorId="7C6D0C7C">
            <wp:extent cx="4400550" cy="1918251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879" cy="1924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501" w:rsidRPr="00B62817" w:rsidRDefault="007B4501" w:rsidP="00A508C2">
      <w:pPr>
        <w:pStyle w:val="BodyText"/>
        <w:rPr>
          <w:rFonts w:ascii="Arial" w:hAnsi="Arial" w:cs="Arial"/>
          <w:sz w:val="12"/>
          <w:szCs w:val="12"/>
        </w:rPr>
      </w:pPr>
    </w:p>
    <w:p w:rsidR="00A508C2" w:rsidRDefault="008E3217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 w:rsidR="00C301D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7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>19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 w:rsidR="007B4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373</w:t>
      </w:r>
      <w:r w:rsidR="007B45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501">
        <w:rPr>
          <w:rFonts w:ascii="Arial" w:hAnsi="Arial" w:cs="Arial"/>
          <w:sz w:val="22"/>
          <w:szCs w:val="22"/>
        </w:rPr>
        <w:t>bin’di</w:t>
      </w:r>
      <w:r w:rsidR="008B1B07">
        <w:rPr>
          <w:rFonts w:ascii="Arial" w:hAnsi="Arial" w:cs="Arial"/>
          <w:sz w:val="22"/>
          <w:szCs w:val="22"/>
        </w:rPr>
        <w:t>r</w:t>
      </w:r>
      <w:proofErr w:type="spellEnd"/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 w:rsidR="00137D81"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>
        <w:rPr>
          <w:rFonts w:ascii="Arial" w:hAnsi="Arial" w:cs="Arial"/>
          <w:bCs/>
          <w:sz w:val="22"/>
          <w:szCs w:val="22"/>
        </w:rPr>
        <w:t>yüzde 8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C301DA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C301DA">
        <w:rPr>
          <w:rFonts w:ascii="Arial" w:hAnsi="Arial" w:cs="Arial"/>
          <w:sz w:val="22"/>
          <w:szCs w:val="22"/>
        </w:rPr>
        <w:t>3</w:t>
      </w:r>
      <w:r w:rsidR="00B72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oranında </w:t>
      </w:r>
      <w:r w:rsidR="007B4501">
        <w:rPr>
          <w:rFonts w:ascii="Arial" w:hAnsi="Arial" w:cs="Arial"/>
          <w:sz w:val="22"/>
          <w:szCs w:val="22"/>
        </w:rPr>
        <w:t>azal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</w:t>
      </w:r>
      <w:r>
        <w:rPr>
          <w:rFonts w:ascii="Arial" w:hAnsi="Arial" w:cs="Arial"/>
          <w:sz w:val="22"/>
          <w:szCs w:val="22"/>
        </w:rPr>
        <w:t>yüzde 2 küçülürken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1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>
        <w:rPr>
          <w:rFonts w:ascii="Arial" w:hAnsi="Arial" w:cs="Arial"/>
          <w:sz w:val="22"/>
          <w:szCs w:val="22"/>
        </w:rPr>
        <w:t>büyü</w:t>
      </w:r>
      <w:r w:rsidR="002329DE">
        <w:rPr>
          <w:rFonts w:ascii="Arial" w:hAnsi="Arial" w:cs="Arial"/>
          <w:sz w:val="22"/>
          <w:szCs w:val="22"/>
        </w:rPr>
        <w:t>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822AE1" w:rsidRPr="00B62817" w:rsidRDefault="00822AE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13CA7" w:rsidRPr="005E57E9" w:rsidRDefault="008E3217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4DA20135">
            <wp:extent cx="4552728" cy="202882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22" cy="2032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487C4C">
        <w:rPr>
          <w:rFonts w:ascii="Arial" w:hAnsi="Arial" w:cs="Arial"/>
          <w:sz w:val="22"/>
          <w:szCs w:val="22"/>
        </w:rPr>
        <w:t>1</w:t>
      </w:r>
      <w:r w:rsidR="008E3217">
        <w:rPr>
          <w:rFonts w:ascii="Arial" w:hAnsi="Arial" w:cs="Arial"/>
          <w:sz w:val="22"/>
          <w:szCs w:val="22"/>
        </w:rPr>
        <w:t>8</w:t>
      </w:r>
      <w:r w:rsidR="00487C4C">
        <w:rPr>
          <w:rFonts w:ascii="Arial" w:hAnsi="Arial" w:cs="Arial"/>
          <w:sz w:val="22"/>
          <w:szCs w:val="22"/>
        </w:rPr>
        <w:t>,</w:t>
      </w:r>
      <w:r w:rsidR="008155F5"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konut kredileri yüzde </w:t>
      </w:r>
      <w:r w:rsidR="008E3217">
        <w:rPr>
          <w:rFonts w:ascii="Arial" w:hAnsi="Arial" w:cs="Arial"/>
          <w:sz w:val="22"/>
          <w:szCs w:val="22"/>
        </w:rPr>
        <w:t>5</w:t>
      </w:r>
      <w:r w:rsidR="00487C4C">
        <w:rPr>
          <w:rFonts w:ascii="Arial" w:hAnsi="Arial" w:cs="Arial"/>
          <w:sz w:val="22"/>
          <w:szCs w:val="22"/>
        </w:rPr>
        <w:t xml:space="preserve"> azalırken,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 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616042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616042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DC7C82" w:rsidP="007A6B71">
      <w:pPr>
        <w:pStyle w:val="BodyText"/>
        <w:rPr>
          <w:rFonts w:ascii="Arial" w:hAnsi="Arial" w:cs="Arial"/>
          <w:sz w:val="22"/>
          <w:szCs w:val="22"/>
        </w:rPr>
      </w:pPr>
      <w:r w:rsidRPr="00DC7C82">
        <w:rPr>
          <w:rFonts w:ascii="Arial" w:hAnsi="Arial" w:cs="Arial"/>
          <w:color w:val="000000" w:themeColor="text1"/>
          <w:sz w:val="22"/>
          <w:szCs w:val="22"/>
        </w:rPr>
        <w:t>Ocak-Mart 2019</w:t>
      </w:r>
      <w:r w:rsidR="00ED2703" w:rsidRPr="00DC7C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ihtiyaç kredileri yüzde </w:t>
      </w:r>
      <w:r w:rsidR="003D4A7A">
        <w:rPr>
          <w:rFonts w:ascii="Arial" w:hAnsi="Arial" w:cs="Arial"/>
          <w:sz w:val="22"/>
          <w:szCs w:val="22"/>
        </w:rPr>
        <w:t>8</w:t>
      </w:r>
      <w:r w:rsidR="00341EB2">
        <w:rPr>
          <w:rFonts w:ascii="Arial" w:hAnsi="Arial" w:cs="Arial"/>
          <w:sz w:val="22"/>
          <w:szCs w:val="22"/>
        </w:rPr>
        <w:t>5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1</w:t>
      </w:r>
      <w:r w:rsidR="00341EB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 w:rsidR="00341EB2">
        <w:rPr>
          <w:rFonts w:ascii="Arial" w:hAnsi="Arial" w:cs="Arial"/>
          <w:sz w:val="22"/>
          <w:szCs w:val="22"/>
        </w:rPr>
        <w:t>2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2,6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3</w:t>
      </w:r>
      <w:r w:rsidR="00B62817">
        <w:rPr>
          <w:rFonts w:ascii="Arial" w:hAnsi="Arial" w:cs="Arial"/>
          <w:sz w:val="22"/>
          <w:szCs w:val="22"/>
        </w:rPr>
        <w:t>9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42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 w:rsidR="003D4A7A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6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15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B62817">
        <w:rPr>
          <w:rFonts w:ascii="Arial" w:hAnsi="Arial" w:cs="Arial"/>
          <w:sz w:val="22"/>
          <w:szCs w:val="22"/>
        </w:rPr>
        <w:t>kişi</w:t>
      </w:r>
      <w:r w:rsidR="008A51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DC7C82">
        <w:rPr>
          <w:rFonts w:ascii="Arial" w:hAnsi="Arial" w:cs="Arial"/>
          <w:sz w:val="22"/>
          <w:szCs w:val="22"/>
        </w:rPr>
        <w:t>ihtiyaç</w:t>
      </w:r>
      <w:r w:rsidR="002913F9">
        <w:rPr>
          <w:rFonts w:ascii="Arial" w:hAnsi="Arial" w:cs="Arial"/>
          <w:sz w:val="22"/>
          <w:szCs w:val="22"/>
        </w:rPr>
        <w:t xml:space="preserve"> kredileri yüzde </w:t>
      </w:r>
      <w:r w:rsidR="00DC7C82">
        <w:rPr>
          <w:rFonts w:ascii="Arial" w:hAnsi="Arial" w:cs="Arial"/>
          <w:sz w:val="22"/>
          <w:szCs w:val="22"/>
        </w:rPr>
        <w:t>3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654444">
        <w:rPr>
          <w:rFonts w:ascii="Arial" w:hAnsi="Arial" w:cs="Arial"/>
          <w:sz w:val="22"/>
          <w:szCs w:val="22"/>
        </w:rPr>
        <w:t xml:space="preserve"> artarken</w:t>
      </w:r>
      <w:r w:rsidR="00A2773C">
        <w:rPr>
          <w:rFonts w:ascii="Arial" w:hAnsi="Arial" w:cs="Arial"/>
          <w:sz w:val="22"/>
          <w:szCs w:val="22"/>
        </w:rPr>
        <w:t xml:space="preserve">, </w:t>
      </w:r>
      <w:r w:rsidR="00DC7C82">
        <w:rPr>
          <w:rFonts w:ascii="Arial" w:hAnsi="Arial" w:cs="Arial"/>
          <w:sz w:val="22"/>
          <w:szCs w:val="22"/>
        </w:rPr>
        <w:t>taşıt</w:t>
      </w:r>
      <w:r w:rsidR="00A2773C">
        <w:rPr>
          <w:rFonts w:ascii="Arial" w:hAnsi="Arial" w:cs="Arial"/>
          <w:sz w:val="22"/>
          <w:szCs w:val="22"/>
        </w:rPr>
        <w:t xml:space="preserve">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DC7C82">
        <w:rPr>
          <w:rFonts w:ascii="Arial" w:hAnsi="Arial" w:cs="Arial"/>
          <w:sz w:val="22"/>
          <w:szCs w:val="22"/>
        </w:rPr>
        <w:t>34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2913F9">
        <w:rPr>
          <w:rFonts w:ascii="Arial" w:hAnsi="Arial" w:cs="Arial"/>
          <w:sz w:val="22"/>
          <w:szCs w:val="22"/>
        </w:rPr>
        <w:t xml:space="preserve">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DC7C82">
        <w:rPr>
          <w:rFonts w:ascii="Arial" w:hAnsi="Arial" w:cs="Arial"/>
          <w:sz w:val="22"/>
          <w:szCs w:val="22"/>
        </w:rPr>
        <w:t>53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12657A" w:rsidRDefault="0012657A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</w:p>
    <w:p w:rsidR="0012657A" w:rsidRDefault="0012657A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7B0F9031">
            <wp:extent cx="5328285" cy="2078990"/>
            <wp:effectExtent l="0" t="0" r="5715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8C2" w:rsidRPr="0012657A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12657A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Ocak-Mart 2019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yaklaşık 17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BC3BA2">
        <w:rPr>
          <w:rFonts w:ascii="Arial" w:hAnsi="Arial" w:cs="Arial"/>
          <w:sz w:val="22"/>
          <w:szCs w:val="22"/>
        </w:rPr>
        <w:t>0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5</w:t>
      </w:r>
      <w:r w:rsidR="00FD5241">
        <w:rPr>
          <w:rFonts w:ascii="Arial" w:hAnsi="Arial" w:cs="Arial"/>
          <w:sz w:val="22"/>
          <w:szCs w:val="22"/>
        </w:rPr>
        <w:t xml:space="preserve">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>
        <w:rPr>
          <w:rFonts w:ascii="Arial" w:hAnsi="Arial" w:cs="Arial"/>
          <w:color w:val="000000"/>
          <w:sz w:val="22"/>
          <w:szCs w:val="22"/>
        </w:rPr>
        <w:t>58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6A6759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0D17E413">
            <wp:extent cx="4584700" cy="195072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445533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Ocak-Mart 2019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 w:rsidR="004323B2">
        <w:rPr>
          <w:rFonts w:ascii="Arial" w:hAnsi="Arial" w:cs="Arial"/>
          <w:sz w:val="22"/>
          <w:szCs w:val="22"/>
        </w:rPr>
        <w:t>19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 w:rsidR="00BC3BA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8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2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 w:rsidR="00BC3BA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0E74B5" w:rsidRDefault="00445533" w:rsidP="00A508C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445533">
        <w:rPr>
          <w:rFonts w:ascii="Arial" w:hAnsi="Arial" w:cs="Arial"/>
          <w:color w:val="000000"/>
          <w:sz w:val="22"/>
          <w:szCs w:val="22"/>
        </w:rPr>
        <w:t>Ocak-Mart 2019 dönemi içinde kullandırılan tüketici kredileri ve konut kredilerinde yüzde 30 pay ile en fazla tercih edilen vade dilimi 25-3</w:t>
      </w:r>
      <w:r w:rsidR="00E91F48">
        <w:rPr>
          <w:rFonts w:ascii="Arial" w:hAnsi="Arial" w:cs="Arial"/>
          <w:color w:val="000000"/>
          <w:sz w:val="22"/>
          <w:szCs w:val="22"/>
        </w:rPr>
        <w:t xml:space="preserve">6 aydır. Bunu yüzde 21 pay ile </w:t>
      </w:r>
      <w:r w:rsidRPr="00445533">
        <w:rPr>
          <w:rFonts w:ascii="Arial" w:hAnsi="Arial" w:cs="Arial"/>
          <w:color w:val="000000"/>
          <w:sz w:val="22"/>
          <w:szCs w:val="22"/>
        </w:rPr>
        <w:t>49-72 ay ve yüzde 13 pay ile 19-24 ay vade dilimleri izlemiştir.</w:t>
      </w:r>
    </w:p>
    <w:p w:rsidR="00445533" w:rsidRDefault="00445533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FF330E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Ocak-Mart 2019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D86BD6">
        <w:rPr>
          <w:rFonts w:ascii="Arial" w:hAnsi="Arial" w:cs="Arial"/>
          <w:sz w:val="22"/>
          <w:szCs w:val="22"/>
        </w:rPr>
        <w:t>1</w:t>
      </w:r>
      <w:r w:rsidR="00BC3BA2">
        <w:rPr>
          <w:rFonts w:ascii="Arial" w:hAnsi="Arial" w:cs="Arial"/>
          <w:sz w:val="22"/>
          <w:szCs w:val="22"/>
        </w:rPr>
        <w:t>2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887180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>3’ünü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995D25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tr-TR"/>
        </w:rPr>
        <w:drawing>
          <wp:inline distT="0" distB="0" distL="0" distR="0" wp14:anchorId="2DF9842C">
            <wp:extent cx="4554220" cy="21704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FF330E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Ocak-Mart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39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 w:rsidR="00660434">
        <w:rPr>
          <w:rFonts w:ascii="Arial" w:hAnsi="Arial" w:cs="Arial"/>
          <w:sz w:val="22"/>
          <w:szCs w:val="22"/>
        </w:rPr>
        <w:t>azal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466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2A2E1F">
        <w:rPr>
          <w:rFonts w:ascii="Arial" w:hAnsi="Arial" w:cs="Arial"/>
          <w:sz w:val="22"/>
          <w:szCs w:val="22"/>
        </w:rPr>
        <w:t>’</w:t>
      </w:r>
      <w:r w:rsidR="00887180">
        <w:rPr>
          <w:rFonts w:ascii="Arial" w:hAnsi="Arial" w:cs="Arial"/>
          <w:sz w:val="22"/>
          <w:szCs w:val="22"/>
        </w:rPr>
        <w:t>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>
        <w:rPr>
          <w:rFonts w:ascii="Arial" w:hAnsi="Arial" w:cs="Arial"/>
          <w:sz w:val="22"/>
          <w:szCs w:val="22"/>
        </w:rPr>
        <w:t>11</w:t>
      </w:r>
      <w:r w:rsidR="00F44C8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</w:t>
      </w:r>
      <w:r w:rsidR="00D71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95D25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FC5E75">
      <w:rPr>
        <w:rFonts w:ascii="Arial" w:hAnsi="Arial" w:cs="Arial"/>
        <w:sz w:val="18"/>
        <w:szCs w:val="18"/>
      </w:rPr>
      <w:t>Mart</w:t>
    </w:r>
    <w:r w:rsidR="00FD5AF0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FC5E75">
      <w:rPr>
        <w:rFonts w:ascii="Arial" w:hAnsi="Arial" w:cs="Arial"/>
        <w:sz w:val="18"/>
        <w:szCs w:val="18"/>
      </w:rPr>
      <w:t>Mart</w:t>
    </w:r>
    <w:r w:rsidR="00852C1B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D7BCC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C792C"/>
    <w:rsid w:val="002D24BA"/>
    <w:rsid w:val="002D4A7B"/>
    <w:rsid w:val="002D7DB3"/>
    <w:rsid w:val="002E0ACC"/>
    <w:rsid w:val="002F0D60"/>
    <w:rsid w:val="002F1719"/>
    <w:rsid w:val="002F40FC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4A7A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3B2"/>
    <w:rsid w:val="004327DA"/>
    <w:rsid w:val="00432BE1"/>
    <w:rsid w:val="00433785"/>
    <w:rsid w:val="00440973"/>
    <w:rsid w:val="004428B4"/>
    <w:rsid w:val="00445533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5DDD"/>
    <w:rsid w:val="00496589"/>
    <w:rsid w:val="00496608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75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55F5"/>
    <w:rsid w:val="00817196"/>
    <w:rsid w:val="00821D60"/>
    <w:rsid w:val="00822AE1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13E2F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884C-393D-4548-B358-39930B89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724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asli.ozaktan@tbb.org.tr</dc:creator>
  <cp:keywords/>
  <cp:lastModifiedBy>Aslı Özaktan</cp:lastModifiedBy>
  <cp:revision>95</cp:revision>
  <cp:lastPrinted>2019-07-01T13:45:00Z</cp:lastPrinted>
  <dcterms:created xsi:type="dcterms:W3CDTF">2018-07-31T07:08:00Z</dcterms:created>
  <dcterms:modified xsi:type="dcterms:W3CDTF">2019-07-05T11:31:00Z</dcterms:modified>
</cp:coreProperties>
</file>