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8160C3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Şubat</w:t>
      </w:r>
      <w:r w:rsidR="009D05DD">
        <w:rPr>
          <w:rFonts w:ascii="Arial" w:hAnsi="Arial" w:cs="Arial"/>
          <w:bCs/>
          <w:szCs w:val="24"/>
        </w:rPr>
        <w:t xml:space="preserve"> 2022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8160C3">
        <w:rPr>
          <w:rFonts w:ascii="Arial" w:hAnsi="Arial" w:cs="Arial"/>
          <w:sz w:val="22"/>
          <w:szCs w:val="22"/>
        </w:rPr>
        <w:t>Şubat</w:t>
      </w:r>
      <w:r w:rsidR="009D05DD">
        <w:rPr>
          <w:rFonts w:ascii="Arial" w:hAnsi="Arial" w:cs="Arial"/>
          <w:sz w:val="22"/>
          <w:szCs w:val="22"/>
        </w:rPr>
        <w:t xml:space="preserve"> 2022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8160C3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ko-KR"/>
        </w:rPr>
        <w:drawing>
          <wp:inline distT="0" distB="0" distL="0" distR="0" wp14:anchorId="23B8B033" wp14:editId="7C403472">
            <wp:extent cx="4583723" cy="2938829"/>
            <wp:effectExtent l="0" t="0" r="7620" b="1397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8160C3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itibariyle uzaktan başvuru 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455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48F4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36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8160C3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2022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17036E">
        <w:rPr>
          <w:rFonts w:ascii="Arial" w:hAnsi="Arial" w:cs="Arial"/>
          <w:color w:val="000000" w:themeColor="text1"/>
          <w:sz w:val="22"/>
          <w:szCs w:val="22"/>
        </w:rPr>
        <w:t xml:space="preserve"> yaklaşık </w:t>
      </w:r>
      <w:r w:rsidR="0017036E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color w:val="000000" w:themeColor="text1"/>
          <w:sz w:val="22"/>
          <w:szCs w:val="22"/>
        </w:rPr>
        <w:t>92</w:t>
      </w:r>
      <w:r w:rsidR="006A090E" w:rsidRPr="006A090E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6A09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07"/>
        <w:gridCol w:w="874"/>
        <w:gridCol w:w="1417"/>
      </w:tblGrid>
      <w:tr w:rsidR="0017036E" w:rsidRPr="00BD601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BD6012" w:rsidRDefault="0017036E" w:rsidP="0017036E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850D78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2022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1703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7036E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7036E" w:rsidRPr="000C305F" w:rsidTr="0017036E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8160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8160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17036E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850D78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</w:t>
            </w:r>
          </w:p>
        </w:tc>
      </w:tr>
      <w:tr w:rsidR="0017036E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8160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160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850D78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17036E" w:rsidRPr="000C305F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17036E" w:rsidP="001703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17036E" w:rsidP="008160C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="008160C3"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609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36E" w:rsidRPr="000C305F" w:rsidRDefault="00850D78" w:rsidP="001703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17036E" w:rsidRPr="001E6F92" w:rsidTr="0017036E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7036E" w:rsidRPr="000C305F" w:rsidRDefault="0017036E" w:rsidP="001703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1.119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7036E" w:rsidRPr="000C305F" w:rsidRDefault="008160C3" w:rsidP="001703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7036E" w:rsidRPr="000C305F" w:rsidRDefault="0017036E" w:rsidP="008160C3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8</w:t>
            </w:r>
            <w:r w:rsidR="008160C3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17036E" w:rsidRPr="006A090E" w:rsidRDefault="00850D78" w:rsidP="001703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 xml:space="preserve">xcel tablosundan bilgi edinilebilmektedir. </w:t>
      </w:r>
    </w:p>
    <w:p w:rsidR="00850D78" w:rsidRDefault="00850D78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Bir</w:t>
      </w:r>
      <w:r w:rsidRPr="00890D08">
        <w:rPr>
          <w:sz w:val="16"/>
          <w:szCs w:val="16"/>
        </w:rPr>
        <w:t xml:space="preserve"> banka</w:t>
      </w:r>
      <w:r>
        <w:rPr>
          <w:sz w:val="16"/>
          <w:szCs w:val="16"/>
        </w:rPr>
        <w:t>mız</w:t>
      </w:r>
      <w:r w:rsidR="001819FE">
        <w:rPr>
          <w:sz w:val="16"/>
          <w:szCs w:val="16"/>
        </w:rPr>
        <w:t xml:space="preserve"> </w:t>
      </w:r>
      <w:r>
        <w:rPr>
          <w:sz w:val="16"/>
          <w:szCs w:val="16"/>
        </w:rPr>
        <w:t>Mayıs</w:t>
      </w:r>
      <w:r w:rsidRPr="00890D08">
        <w:rPr>
          <w:sz w:val="16"/>
          <w:szCs w:val="16"/>
        </w:rPr>
        <w:t xml:space="preserve"> 2021</w:t>
      </w:r>
      <w:r w:rsidR="001819FE">
        <w:rPr>
          <w:sz w:val="16"/>
          <w:szCs w:val="16"/>
        </w:rPr>
        <w:t xml:space="preserve"> </w:t>
      </w:r>
      <w:r w:rsidRPr="00890D08">
        <w:rPr>
          <w:sz w:val="16"/>
          <w:szCs w:val="16"/>
        </w:rPr>
        <w:t xml:space="preserve">döneminden itibaren </w:t>
      </w:r>
      <w:r w:rsidR="001819FE">
        <w:rPr>
          <w:sz w:val="16"/>
          <w:szCs w:val="16"/>
        </w:rPr>
        <w:t xml:space="preserve">verilerinde </w:t>
      </w:r>
      <w:r w:rsidRPr="00890D08">
        <w:rPr>
          <w:sz w:val="16"/>
          <w:szCs w:val="16"/>
        </w:rPr>
        <w:t>güncelle</w:t>
      </w:r>
      <w:r w:rsidR="001819FE">
        <w:rPr>
          <w:sz w:val="16"/>
          <w:szCs w:val="16"/>
        </w:rPr>
        <w:t>me yapmıştır</w:t>
      </w:r>
      <w:bookmarkStart w:id="0" w:name="_GoBack"/>
      <w:bookmarkEnd w:id="0"/>
      <w:r>
        <w:rPr>
          <w:sz w:val="16"/>
          <w:szCs w:val="16"/>
        </w:rPr>
        <w:t>.</w:t>
      </w:r>
    </w:p>
    <w:sectPr w:rsidR="00850D78" w:rsidSect="009017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53AD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ko-K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8160C3">
      <w:rPr>
        <w:rFonts w:ascii="Arial" w:hAnsi="Arial" w:cs="Arial"/>
        <w:sz w:val="18"/>
        <w:szCs w:val="18"/>
      </w:rPr>
      <w:t>Şubat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17036E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Default="009278E4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Default="009278E4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4466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02-22\Uzaktan%20ve%20&#350;ubeden%20M&#252;&#351;teri%20Edinimi%20&#304;statistikleri-Aral&#305;k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Aralık 2021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537.82100000000003</c:v>
                </c:pt>
                <c:pt idx="1">
                  <c:v>147.61500000000001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41-4A87-94A0-9F9CD4C8A61B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Ocak 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406.62900000000002</c:v>
                </c:pt>
                <c:pt idx="1">
                  <c:v>113.69199999999999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41-4A87-94A0-9F9CD4C8A61B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Şubat 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454.65699999999998</c:v>
                </c:pt>
                <c:pt idx="1">
                  <c:v>136.21199999999999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41-4A87-94A0-9F9CD4C8A6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3694592"/>
        <c:axId val="73704576"/>
      </c:barChart>
      <c:catAx>
        <c:axId val="7369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3704576"/>
        <c:crosses val="autoZero"/>
        <c:auto val="1"/>
        <c:lblAlgn val="ctr"/>
        <c:lblOffset val="100"/>
        <c:noMultiLvlLbl val="0"/>
      </c:catAx>
      <c:valAx>
        <c:axId val="7370457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73694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27F9835B-3CCB-4048-9303-CF4A3FC7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170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gkilinc</cp:lastModifiedBy>
  <cp:revision>23</cp:revision>
  <cp:lastPrinted>2019-02-21T06:32:00Z</cp:lastPrinted>
  <dcterms:created xsi:type="dcterms:W3CDTF">2021-09-15T14:13:00Z</dcterms:created>
  <dcterms:modified xsi:type="dcterms:W3CDTF">2022-03-11T13:54:00Z</dcterms:modified>
</cp:coreProperties>
</file>