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5F6FDA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</w:t>
      </w:r>
      <w:r w:rsidR="008160C3">
        <w:rPr>
          <w:rFonts w:ascii="Arial" w:hAnsi="Arial" w:cs="Arial"/>
          <w:bCs/>
          <w:szCs w:val="24"/>
        </w:rPr>
        <w:t>t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0F2A33">
        <w:rPr>
          <w:rFonts w:ascii="Arial" w:hAnsi="Arial" w:cs="Arial"/>
          <w:sz w:val="22"/>
          <w:szCs w:val="22"/>
        </w:rPr>
        <w:t>Mart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  <w:bookmarkStart w:id="0" w:name="_GoBack"/>
      <w:bookmarkEnd w:id="0"/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5F6FDA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B544D1C" wp14:editId="1C2985DD">
            <wp:extent cx="4583723" cy="2938829"/>
            <wp:effectExtent l="0" t="0" r="7620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5F6FDA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8160C3">
        <w:rPr>
          <w:rFonts w:ascii="Arial" w:hAnsi="Arial" w:cs="Arial"/>
          <w:color w:val="000000" w:themeColor="text1"/>
          <w:sz w:val="22"/>
          <w:szCs w:val="22"/>
        </w:rPr>
        <w:t>t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itibariyle uzaktan başvuru 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733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244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5F6FDA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</w:t>
      </w:r>
      <w:r w:rsidR="008160C3">
        <w:rPr>
          <w:rFonts w:ascii="Arial" w:hAnsi="Arial" w:cs="Arial"/>
          <w:color w:val="000000" w:themeColor="text1"/>
          <w:sz w:val="22"/>
          <w:szCs w:val="22"/>
        </w:rPr>
        <w:t>t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1 milyon 35 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07"/>
        <w:gridCol w:w="874"/>
        <w:gridCol w:w="1417"/>
      </w:tblGrid>
      <w:tr w:rsidR="0017036E" w:rsidRPr="00BD601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BD6012" w:rsidRDefault="0017036E" w:rsidP="0017036E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5F6FDA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5F6FDA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5F6FDA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</w:t>
            </w:r>
            <w:r w:rsidR="008160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5F6FDA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</w:t>
            </w:r>
            <w:r w:rsidR="00850D7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2022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7036E" w:rsidRPr="000C305F" w:rsidTr="0017036E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8160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8160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5B3174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5B3174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5B3174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5527D6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5B317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5B3174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5B317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5B3174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5B317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5B3174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5527D6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5B3174" w:rsidP="008160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609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5B317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</w:t>
            </w:r>
            <w:r w:rsidR="005B3174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5B3174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5527D6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18</w:t>
            </w:r>
          </w:p>
        </w:tc>
      </w:tr>
      <w:tr w:rsidR="0017036E" w:rsidRPr="001E6F9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5B3174" w:rsidP="001703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8160C3" w:rsidP="005B3174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</w:t>
            </w:r>
            <w:r w:rsidR="005B3174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5B3174" w:rsidP="008160C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7036E" w:rsidRPr="006A090E" w:rsidRDefault="00850D78" w:rsidP="005527D6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</w:t>
            </w:r>
            <w:r w:rsidR="005527D6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 xml:space="preserve">xcel tablosundan bilgi edinilebilmektedir. </w:t>
      </w:r>
    </w:p>
    <w:p w:rsidR="00850D78" w:rsidRDefault="00850D78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Bir</w:t>
      </w:r>
      <w:r w:rsidRPr="00890D08">
        <w:rPr>
          <w:sz w:val="16"/>
          <w:szCs w:val="16"/>
        </w:rPr>
        <w:t xml:space="preserve"> banka</w:t>
      </w:r>
      <w:r>
        <w:rPr>
          <w:sz w:val="16"/>
          <w:szCs w:val="16"/>
        </w:rPr>
        <w:t>mız</w:t>
      </w:r>
      <w:r w:rsidR="001819FE">
        <w:rPr>
          <w:sz w:val="16"/>
          <w:szCs w:val="16"/>
        </w:rPr>
        <w:t xml:space="preserve"> </w:t>
      </w:r>
      <w:r>
        <w:rPr>
          <w:sz w:val="16"/>
          <w:szCs w:val="16"/>
        </w:rPr>
        <w:t>Mayıs</w:t>
      </w:r>
      <w:r w:rsidRPr="00890D08">
        <w:rPr>
          <w:sz w:val="16"/>
          <w:szCs w:val="16"/>
        </w:rPr>
        <w:t xml:space="preserve"> 2021</w:t>
      </w:r>
      <w:r w:rsidR="001819FE">
        <w:rPr>
          <w:sz w:val="16"/>
          <w:szCs w:val="16"/>
        </w:rPr>
        <w:t xml:space="preserve"> </w:t>
      </w:r>
      <w:r w:rsidRPr="00890D08">
        <w:rPr>
          <w:sz w:val="16"/>
          <w:szCs w:val="16"/>
        </w:rPr>
        <w:t xml:space="preserve">döneminden itibaren </w:t>
      </w:r>
      <w:r w:rsidR="005527D6">
        <w:rPr>
          <w:sz w:val="16"/>
          <w:szCs w:val="16"/>
        </w:rPr>
        <w:t>“</w:t>
      </w:r>
      <w:r w:rsidR="005527D6" w:rsidRPr="005527D6">
        <w:rPr>
          <w:sz w:val="16"/>
          <w:szCs w:val="16"/>
        </w:rPr>
        <w:t>Online Başvuru - Kurye ile Sonuçlandırılan Müşteri Sayısı</w:t>
      </w:r>
      <w:r w:rsidR="005527D6">
        <w:rPr>
          <w:sz w:val="16"/>
          <w:szCs w:val="16"/>
        </w:rPr>
        <w:t xml:space="preserve">” </w:t>
      </w:r>
      <w:r w:rsidR="001819FE">
        <w:rPr>
          <w:sz w:val="16"/>
          <w:szCs w:val="16"/>
        </w:rPr>
        <w:t xml:space="preserve">verilerinde </w:t>
      </w:r>
      <w:r w:rsidRPr="00890D08">
        <w:rPr>
          <w:sz w:val="16"/>
          <w:szCs w:val="16"/>
        </w:rPr>
        <w:t>güncelle</w:t>
      </w:r>
      <w:r w:rsidR="001819FE">
        <w:rPr>
          <w:sz w:val="16"/>
          <w:szCs w:val="16"/>
        </w:rPr>
        <w:t>me yapmıştır</w:t>
      </w:r>
      <w:r>
        <w:rPr>
          <w:sz w:val="16"/>
          <w:szCs w:val="16"/>
        </w:rPr>
        <w:t>.</w:t>
      </w:r>
    </w:p>
    <w:sectPr w:rsidR="00850D7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53AD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5F6FDA">
      <w:rPr>
        <w:rFonts w:ascii="Arial" w:hAnsi="Arial" w:cs="Arial"/>
        <w:sz w:val="18"/>
        <w:szCs w:val="18"/>
      </w:rPr>
      <w:t>Mar</w:t>
    </w:r>
    <w:r w:rsidR="008160C3">
      <w:rPr>
        <w:rFonts w:ascii="Arial" w:hAnsi="Arial" w:cs="Arial"/>
        <w:sz w:val="18"/>
        <w:szCs w:val="18"/>
      </w:rPr>
      <w:t>t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30565802"/>
  <w15:docId w15:val="{F09F189E-408A-4E65-89AC-A53CE5B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3-22\Uzaktan%20ve%20&#350;ubeden%20M&#252;&#351;teri%20Edinimi%20&#304;statistikleri-Mart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Ocak 2022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406.62900000000002</c:v>
                </c:pt>
                <c:pt idx="1">
                  <c:v>113.69199999999999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4B-4C1E-ACA8-51C49364B754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Şubat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454.65699999999998</c:v>
                </c:pt>
                <c:pt idx="1">
                  <c:v>136.21199999999999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4B-4C1E-ACA8-51C49364B754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Mart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733.25800000000004</c:v>
                </c:pt>
                <c:pt idx="1">
                  <c:v>244.01499999999999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4B-4C1E-ACA8-51C49364B7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442176"/>
        <c:axId val="131443712"/>
      </c:barChart>
      <c:catAx>
        <c:axId val="1314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443712"/>
        <c:crosses val="autoZero"/>
        <c:auto val="1"/>
        <c:lblAlgn val="ctr"/>
        <c:lblOffset val="100"/>
        <c:noMultiLvlLbl val="0"/>
      </c:catAx>
      <c:valAx>
        <c:axId val="1314437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14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DB5E6D1F-282A-40FD-B951-4FFE6496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25</cp:revision>
  <cp:lastPrinted>2019-02-21T06:32:00Z</cp:lastPrinted>
  <dcterms:created xsi:type="dcterms:W3CDTF">2021-09-15T14:13:00Z</dcterms:created>
  <dcterms:modified xsi:type="dcterms:W3CDTF">2022-04-18T13:03:00Z</dcterms:modified>
</cp:coreProperties>
</file>