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34256D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34256D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34256D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1538E9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1538E9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1538E9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1538E9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1538E9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1538E9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1538E9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1538E9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1538E9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1538E9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1538E9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74426A" w:rsidRPr="001538E9" w:rsidRDefault="0074426A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</w:p>
    <w:p w:rsidR="00347492" w:rsidRPr="001538E9" w:rsidRDefault="0034256D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1538E9">
        <w:rPr>
          <w:rFonts w:ascii="Arial" w:hAnsi="Arial" w:cs="Arial"/>
          <w:bCs/>
          <w:color w:val="000000" w:themeColor="text1"/>
          <w:szCs w:val="24"/>
        </w:rPr>
        <w:t>Mart 2022</w:t>
      </w:r>
    </w:p>
    <w:p w:rsidR="00342ADD" w:rsidRPr="001538E9" w:rsidRDefault="00342AD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07F2" w:rsidRPr="001538E9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1538E9">
        <w:rPr>
          <w:rFonts w:cs="Arial"/>
          <w:color w:val="000000" w:themeColor="text1"/>
          <w:szCs w:val="22"/>
        </w:rPr>
        <w:t xml:space="preserve">Banka </w:t>
      </w:r>
      <w:r w:rsidR="00F607F2" w:rsidRPr="001538E9">
        <w:rPr>
          <w:rFonts w:cs="Arial"/>
          <w:color w:val="000000" w:themeColor="text1"/>
          <w:szCs w:val="22"/>
        </w:rPr>
        <w:t>Sayısı</w:t>
      </w:r>
    </w:p>
    <w:p w:rsidR="00F607F2" w:rsidRPr="001538E9" w:rsidRDefault="00F607F2" w:rsidP="0096545B">
      <w:pPr>
        <w:pStyle w:val="Subtitle"/>
        <w:rPr>
          <w:rFonts w:cs="Arial"/>
          <w:color w:val="000000" w:themeColor="text1"/>
          <w:sz w:val="10"/>
          <w:szCs w:val="10"/>
        </w:rPr>
      </w:pPr>
    </w:p>
    <w:p w:rsidR="002C25F2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300266" w:rsidRPr="001538E9">
        <w:rPr>
          <w:rFonts w:ascii="Arial" w:hAnsi="Arial" w:cs="Arial"/>
          <w:color w:val="000000" w:themeColor="text1"/>
          <w:sz w:val="22"/>
          <w:szCs w:val="22"/>
        </w:rPr>
        <w:t>5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>7</w:t>
      </w:r>
      <w:r w:rsidR="00300266" w:rsidRPr="001538E9">
        <w:rPr>
          <w:rFonts w:ascii="Arial" w:hAnsi="Arial" w:cs="Arial"/>
          <w:color w:val="000000" w:themeColor="text1"/>
          <w:sz w:val="22"/>
          <w:szCs w:val="22"/>
        </w:rPr>
        <w:t xml:space="preserve"> banka faaliyet </w:t>
      </w:r>
      <w:r w:rsidR="00300266" w:rsidRPr="008A5890">
        <w:rPr>
          <w:rFonts w:ascii="Arial" w:hAnsi="Arial" w:cs="Arial"/>
          <w:sz w:val="22"/>
          <w:szCs w:val="22"/>
        </w:rPr>
        <w:t xml:space="preserve">göstermektedir. </w:t>
      </w:r>
      <w:r w:rsidR="00B50A87" w:rsidRPr="008A5890">
        <w:rPr>
          <w:rFonts w:ascii="Arial" w:hAnsi="Arial" w:cs="Arial"/>
          <w:sz w:val="22"/>
          <w:szCs w:val="22"/>
        </w:rPr>
        <w:t>Mevduat bankaları 3</w:t>
      </w:r>
      <w:r w:rsidR="00BD5935" w:rsidRPr="008A5890">
        <w:rPr>
          <w:rFonts w:ascii="Arial" w:hAnsi="Arial" w:cs="Arial"/>
          <w:sz w:val="22"/>
          <w:szCs w:val="22"/>
        </w:rPr>
        <w:t>5</w:t>
      </w:r>
      <w:r w:rsidRPr="008A5890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8A5890">
        <w:rPr>
          <w:rFonts w:ascii="Arial" w:hAnsi="Arial" w:cs="Arial"/>
          <w:sz w:val="22"/>
          <w:szCs w:val="22"/>
        </w:rPr>
        <w:t>1</w:t>
      </w:r>
      <w:r w:rsidR="00BD5935" w:rsidRPr="008A5890">
        <w:rPr>
          <w:rFonts w:ascii="Arial" w:hAnsi="Arial" w:cs="Arial"/>
          <w:sz w:val="22"/>
          <w:szCs w:val="22"/>
        </w:rPr>
        <w:t>6</w:t>
      </w:r>
      <w:r w:rsidR="006F374E" w:rsidRPr="008A5890">
        <w:rPr>
          <w:rFonts w:ascii="Arial" w:hAnsi="Arial" w:cs="Arial"/>
          <w:sz w:val="22"/>
          <w:szCs w:val="22"/>
        </w:rPr>
        <w:t xml:space="preserve">, </w:t>
      </w:r>
      <w:r w:rsidR="00A8116B" w:rsidRPr="008A5890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8A5890">
        <w:rPr>
          <w:rFonts w:ascii="Arial" w:hAnsi="Arial" w:cs="Arial"/>
          <w:sz w:val="22"/>
          <w:szCs w:val="22"/>
        </w:rPr>
        <w:t>6 tanedir</w:t>
      </w:r>
      <w:r w:rsidR="00D02A17" w:rsidRPr="008A5890">
        <w:rPr>
          <w:rFonts w:ascii="Arial" w:hAnsi="Arial" w:cs="Arial"/>
          <w:sz w:val="22"/>
          <w:szCs w:val="22"/>
        </w:rPr>
        <w:t>.</w:t>
      </w:r>
      <w:r w:rsidR="00332035" w:rsidRPr="008A5890">
        <w:rPr>
          <w:rFonts w:ascii="Arial" w:hAnsi="Arial" w:cs="Arial"/>
          <w:sz w:val="22"/>
          <w:szCs w:val="22"/>
        </w:rPr>
        <w:t xml:space="preserve"> </w:t>
      </w:r>
      <w:r w:rsidR="00135947" w:rsidRPr="008A5890">
        <w:rPr>
          <w:rFonts w:ascii="Arial" w:hAnsi="Arial" w:cs="Arial"/>
          <w:sz w:val="22"/>
          <w:szCs w:val="22"/>
        </w:rPr>
        <w:t>Destek Yatırım Bankası A.Ş.'ye</w:t>
      </w:r>
      <w:r w:rsidR="00DD2F4A" w:rsidRPr="008A5890">
        <w:rPr>
          <w:rFonts w:ascii="Arial" w:hAnsi="Arial" w:cs="Arial"/>
          <w:sz w:val="22"/>
          <w:szCs w:val="22"/>
        </w:rPr>
        <w:t xml:space="preserve"> Ocak 2022’de</w:t>
      </w:r>
      <w:r w:rsidR="00135947" w:rsidRPr="008A5890">
        <w:rPr>
          <w:rFonts w:ascii="Arial" w:hAnsi="Arial" w:cs="Arial"/>
          <w:sz w:val="22"/>
          <w:szCs w:val="22"/>
        </w:rPr>
        <w:t xml:space="preserve"> faaliyet izni verilmiş</w:t>
      </w:r>
      <w:r w:rsidR="002C25F2" w:rsidRPr="008A5890">
        <w:rPr>
          <w:rFonts w:ascii="Arial" w:hAnsi="Arial" w:cs="Arial"/>
          <w:sz w:val="22"/>
          <w:szCs w:val="22"/>
        </w:rPr>
        <w:t>tir.</w:t>
      </w:r>
      <w:r w:rsidR="00135947" w:rsidRPr="008A5890">
        <w:rPr>
          <w:rFonts w:ascii="Arial" w:hAnsi="Arial" w:cs="Arial"/>
          <w:sz w:val="22"/>
          <w:szCs w:val="22"/>
        </w:rPr>
        <w:t xml:space="preserve"> </w:t>
      </w:r>
    </w:p>
    <w:p w:rsidR="00865464" w:rsidRPr="0034256D" w:rsidRDefault="00865464" w:rsidP="001359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75356B" w:rsidRDefault="00F607F2" w:rsidP="00347492">
      <w:pPr>
        <w:pStyle w:val="Heading9"/>
        <w:rPr>
          <w:rFonts w:ascii="Arial" w:hAnsi="Arial" w:cs="Arial"/>
          <w:color w:val="000000" w:themeColor="text1"/>
          <w:szCs w:val="22"/>
        </w:rPr>
      </w:pPr>
      <w:r w:rsidRPr="0075356B">
        <w:rPr>
          <w:rFonts w:ascii="Arial" w:hAnsi="Arial" w:cs="Arial"/>
          <w:color w:val="000000" w:themeColor="text1"/>
          <w:szCs w:val="22"/>
        </w:rPr>
        <w:t xml:space="preserve">Banka </w:t>
      </w:r>
      <w:r w:rsidR="00D6687F" w:rsidRPr="0075356B">
        <w:rPr>
          <w:rFonts w:ascii="Arial" w:hAnsi="Arial" w:cs="Arial"/>
          <w:color w:val="000000" w:themeColor="text1"/>
          <w:szCs w:val="22"/>
        </w:rPr>
        <w:t>Sayısı</w:t>
      </w:r>
    </w:p>
    <w:p w:rsidR="001A7963" w:rsidRPr="0034256D" w:rsidRDefault="00BD5935" w:rsidP="00C51D32">
      <w:pPr>
        <w:jc w:val="center"/>
        <w:rPr>
          <w:color w:val="FF0000"/>
          <w:lang w:eastAsia="tr-TR"/>
        </w:rPr>
      </w:pPr>
      <w:r w:rsidRPr="0034256D">
        <w:rPr>
          <w:noProof/>
          <w:color w:val="FF0000"/>
          <w:lang w:eastAsia="tr-TR"/>
        </w:rPr>
        <w:drawing>
          <wp:inline distT="0" distB="0" distL="0" distR="0" wp14:anchorId="6222D1CE" wp14:editId="4B6FB1F0">
            <wp:extent cx="5058000" cy="1684800"/>
            <wp:effectExtent l="0" t="0" r="9525" b="1079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1538E9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538E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1538E9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1538E9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34256D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35947" w:rsidRPr="0034256D" w:rsidRDefault="00135947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1538E9" w:rsidRDefault="007E18B2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9C1771" w:rsidRPr="001538E9" w:rsidRDefault="009C1771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C1771" w:rsidRPr="001538E9" w:rsidRDefault="009C1771" w:rsidP="009C177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3F4F1F" w:rsidRPr="001538E9">
        <w:rPr>
          <w:rFonts w:ascii="Arial" w:hAnsi="Arial" w:cs="Arial"/>
          <w:color w:val="000000" w:themeColor="text1"/>
          <w:sz w:val="22"/>
          <w:szCs w:val="22"/>
        </w:rPr>
        <w:t>,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256D" w:rsidRPr="001538E9">
        <w:rPr>
          <w:rFonts w:ascii="Arial" w:hAnsi="Arial" w:cs="Arial"/>
          <w:color w:val="000000" w:themeColor="text1"/>
          <w:sz w:val="22"/>
          <w:szCs w:val="22"/>
        </w:rPr>
        <w:t>Mart 2022</w:t>
      </w:r>
      <w:r w:rsidR="00446707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3C66" w:rsidRPr="001538E9">
        <w:rPr>
          <w:rFonts w:ascii="Arial" w:hAnsi="Arial" w:cs="Arial"/>
          <w:color w:val="000000" w:themeColor="text1"/>
          <w:sz w:val="22"/>
          <w:szCs w:val="22"/>
        </w:rPr>
        <w:t>itibariyle</w:t>
      </w:r>
      <w:r w:rsidR="00AF5D59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>mevduat bankaları ile kalkınma ve yatırım bankalarında 18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>5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>.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000</w:t>
      </w:r>
      <w:r w:rsidR="003F4F1F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kişi olmuştur. </w:t>
      </w:r>
    </w:p>
    <w:p w:rsidR="00853C66" w:rsidRPr="001538E9" w:rsidRDefault="00853C66" w:rsidP="009C177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7B56" w:rsidRPr="001538E9" w:rsidRDefault="00847B56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6F31DF" w:rsidRPr="001538E9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1538E9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1538E9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1538E9" w:rsidRPr="001538E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2022</w:t>
            </w:r>
          </w:p>
        </w:tc>
      </w:tr>
      <w:tr w:rsidR="001538E9" w:rsidRPr="001538E9" w:rsidTr="0034256D">
        <w:trPr>
          <w:trHeight w:val="299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180.889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179.681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179.401</w:t>
            </w:r>
          </w:p>
        </w:tc>
      </w:tr>
      <w:tr w:rsidR="001538E9" w:rsidRPr="001538E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5.092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5.567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color w:val="000000" w:themeColor="text1"/>
                <w:sz w:val="20"/>
              </w:rPr>
              <w:t>5.599</w:t>
            </w:r>
          </w:p>
        </w:tc>
      </w:tr>
      <w:tr w:rsidR="001538E9" w:rsidRPr="001538E9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185.981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185.248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1538E9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538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185.000</w:t>
            </w:r>
          </w:p>
        </w:tc>
      </w:tr>
    </w:tbl>
    <w:p w:rsidR="00F069F6" w:rsidRPr="001538E9" w:rsidRDefault="00F069F6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53C66" w:rsidRPr="001538E9" w:rsidRDefault="00853C66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2BBC" w:rsidRPr="001538E9" w:rsidRDefault="00C802A7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lastRenderedPageBreak/>
        <w:t>Çalışan sayısı</w:t>
      </w:r>
      <w:r w:rsidR="00A72DF6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6D07" w:rsidRPr="001538E9">
        <w:rPr>
          <w:rFonts w:ascii="Arial" w:hAnsi="Arial" w:cs="Arial"/>
          <w:color w:val="000000" w:themeColor="text1"/>
          <w:sz w:val="22"/>
          <w:szCs w:val="22"/>
        </w:rPr>
        <w:t xml:space="preserve">bir </w:t>
      </w:r>
      <w:r w:rsidR="00AD13BC" w:rsidRPr="001538E9">
        <w:rPr>
          <w:rFonts w:ascii="Arial" w:hAnsi="Arial" w:cs="Arial"/>
          <w:color w:val="000000" w:themeColor="text1"/>
          <w:sz w:val="22"/>
          <w:szCs w:val="22"/>
        </w:rPr>
        <w:t>önceki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 çeyreğe göre 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248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 kişi,</w:t>
      </w:r>
      <w:r w:rsidR="00AD13BC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 xml:space="preserve">bir önceki yılın aynı dönemine </w:t>
      </w:r>
      <w:r w:rsidR="003F743F" w:rsidRPr="001538E9">
        <w:rPr>
          <w:rFonts w:ascii="Arial" w:hAnsi="Arial" w:cs="Arial"/>
          <w:color w:val="000000" w:themeColor="text1"/>
          <w:sz w:val="22"/>
          <w:szCs w:val="22"/>
        </w:rPr>
        <w:t>göre</w:t>
      </w:r>
      <w:r w:rsidR="00D916E1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ise 981</w:t>
      </w:r>
      <w:r w:rsidR="00506638" w:rsidRPr="001538E9">
        <w:rPr>
          <w:rFonts w:ascii="Arial" w:hAnsi="Arial" w:cs="Arial"/>
          <w:color w:val="000000" w:themeColor="text1"/>
          <w:sz w:val="22"/>
          <w:szCs w:val="22"/>
        </w:rPr>
        <w:t xml:space="preserve"> kişi</w:t>
      </w:r>
      <w:r w:rsidR="009D43DC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7C41" w:rsidRPr="001538E9">
        <w:rPr>
          <w:rFonts w:ascii="Arial" w:hAnsi="Arial" w:cs="Arial"/>
          <w:color w:val="000000" w:themeColor="text1"/>
          <w:sz w:val="22"/>
          <w:szCs w:val="22"/>
        </w:rPr>
        <w:t xml:space="preserve">azalmıştır. </w:t>
      </w:r>
    </w:p>
    <w:p w:rsidR="00180C8C" w:rsidRPr="001538E9" w:rsidRDefault="00180C8C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C25F2" w:rsidRPr="001538E9" w:rsidRDefault="002C25F2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Çalışan sayısı geçen y</w:t>
      </w:r>
      <w:r w:rsidR="00180C8C" w:rsidRPr="001538E9">
        <w:rPr>
          <w:rFonts w:ascii="Arial" w:hAnsi="Arial" w:cs="Arial"/>
          <w:color w:val="000000" w:themeColor="text1"/>
          <w:sz w:val="22"/>
          <w:szCs w:val="22"/>
        </w:rPr>
        <w:t>ıl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 xml:space="preserve">ın aynı dönemine </w:t>
      </w:r>
      <w:r w:rsidR="00180C8C" w:rsidRPr="001538E9">
        <w:rPr>
          <w:rFonts w:ascii="Arial" w:hAnsi="Arial" w:cs="Arial"/>
          <w:color w:val="000000" w:themeColor="text1"/>
          <w:sz w:val="22"/>
          <w:szCs w:val="22"/>
        </w:rPr>
        <w:t>göre mevduat bankalarında 1.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488</w:t>
      </w:r>
      <w:r w:rsidR="00180C8C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kişi azalmış, kalkınma ve </w:t>
      </w:r>
      <w:r w:rsidR="00180C8C" w:rsidRPr="001538E9">
        <w:rPr>
          <w:rFonts w:ascii="Arial" w:hAnsi="Arial" w:cs="Arial"/>
          <w:color w:val="000000" w:themeColor="text1"/>
          <w:sz w:val="22"/>
          <w:szCs w:val="22"/>
        </w:rPr>
        <w:t xml:space="preserve">yatırım bankalarında ise 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507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 kişi artmıştır.</w:t>
      </w:r>
    </w:p>
    <w:p w:rsidR="0074426A" w:rsidRPr="0034256D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34256D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34256D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34256D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34256D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34256D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34256D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34256D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34256D" w:rsidRDefault="00B800CA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4256D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5E6C7F"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34256D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407F5D" w:rsidRPr="0034256D" w:rsidRDefault="0034256D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1741352" wp14:editId="15783809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34256D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1538E9" w:rsidRDefault="001A7C4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DC24FD"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1538E9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1538E9" w:rsidRDefault="000D3522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1538E9" w:rsidRDefault="001A7C4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Bankacılık sektöründe kadın çalışan oranı yüzde 5</w:t>
      </w:r>
      <w:r w:rsidR="00A701C7" w:rsidRPr="001538E9">
        <w:rPr>
          <w:rFonts w:ascii="Arial" w:hAnsi="Arial" w:cs="Arial"/>
          <w:color w:val="000000" w:themeColor="text1"/>
          <w:sz w:val="22"/>
          <w:szCs w:val="22"/>
        </w:rPr>
        <w:t>0,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5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>, erkek çalışan oranı ise yüzde 49</w:t>
      </w:r>
      <w:r w:rsidR="00A701C7" w:rsidRPr="001538E9">
        <w:rPr>
          <w:rFonts w:ascii="Arial" w:hAnsi="Arial" w:cs="Arial"/>
          <w:color w:val="000000" w:themeColor="text1"/>
          <w:sz w:val="22"/>
          <w:szCs w:val="22"/>
        </w:rPr>
        <w:t>,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5’tir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21F4F" w:rsidRPr="001538E9" w:rsidRDefault="00F21F4F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1538E9" w:rsidRDefault="001538E9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Mart 2022</w:t>
      </w:r>
      <w:r w:rsidR="00AD13BC" w:rsidRPr="001538E9">
        <w:rPr>
          <w:rFonts w:ascii="Arial" w:hAnsi="Arial" w:cs="Arial"/>
          <w:color w:val="000000" w:themeColor="text1"/>
          <w:sz w:val="22"/>
          <w:szCs w:val="22"/>
        </w:rPr>
        <w:t xml:space="preserve"> itibariyle</w:t>
      </w:r>
      <w:r w:rsidR="001B24FF" w:rsidRPr="001538E9">
        <w:rPr>
          <w:rFonts w:ascii="Arial" w:hAnsi="Arial" w:cs="Arial"/>
          <w:color w:val="000000" w:themeColor="text1"/>
          <w:sz w:val="22"/>
          <w:szCs w:val="22"/>
        </w:rPr>
        <w:t xml:space="preserve"> çalışanların 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>yüzde 7</w:t>
      </w:r>
      <w:r w:rsidR="001443CE" w:rsidRPr="001538E9">
        <w:rPr>
          <w:rFonts w:ascii="Arial" w:hAnsi="Arial" w:cs="Arial"/>
          <w:color w:val="000000" w:themeColor="text1"/>
          <w:sz w:val="22"/>
          <w:szCs w:val="22"/>
        </w:rPr>
        <w:t>8’i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</w:t>
      </w:r>
      <w:r w:rsidR="0054116E">
        <w:rPr>
          <w:rFonts w:ascii="Arial" w:hAnsi="Arial" w:cs="Arial"/>
          <w:color w:val="000000" w:themeColor="text1"/>
          <w:sz w:val="22"/>
          <w:szCs w:val="22"/>
        </w:rPr>
        <w:t xml:space="preserve"> iken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 xml:space="preserve">, yüzde </w:t>
      </w:r>
      <w:r w:rsidR="008E3898" w:rsidRPr="001538E9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1538E9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</w:t>
      </w:r>
      <w:r w:rsidR="003F743F" w:rsidRPr="001538E9">
        <w:rPr>
          <w:rFonts w:ascii="Arial" w:hAnsi="Arial" w:cs="Arial"/>
          <w:color w:val="000000" w:themeColor="text1"/>
          <w:sz w:val="22"/>
          <w:szCs w:val="22"/>
        </w:rPr>
        <w:t xml:space="preserve"> programlarını tamamlamıştır.  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 xml:space="preserve"> Bu oran orta öğretim için </w:t>
      </w:r>
      <w:r w:rsidR="001B24FF" w:rsidRPr="001538E9">
        <w:rPr>
          <w:rFonts w:ascii="Arial" w:hAnsi="Arial" w:cs="Arial"/>
          <w:color w:val="000000" w:themeColor="text1"/>
          <w:sz w:val="22"/>
          <w:szCs w:val="22"/>
        </w:rPr>
        <w:t>yüzde 1</w:t>
      </w:r>
      <w:r w:rsidR="008E3898" w:rsidRPr="001538E9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1538E9">
        <w:rPr>
          <w:rFonts w:ascii="Arial" w:hAnsi="Arial" w:cs="Arial"/>
          <w:color w:val="000000" w:themeColor="text1"/>
          <w:sz w:val="22"/>
          <w:szCs w:val="22"/>
        </w:rPr>
        <w:t>’</w:t>
      </w:r>
      <w:r w:rsidR="00E62D40" w:rsidRPr="001538E9">
        <w:rPr>
          <w:rFonts w:ascii="Arial" w:hAnsi="Arial" w:cs="Arial"/>
          <w:color w:val="000000" w:themeColor="text1"/>
          <w:sz w:val="22"/>
          <w:szCs w:val="22"/>
        </w:rPr>
        <w:t>tü</w:t>
      </w:r>
      <w:r w:rsidR="0062278D" w:rsidRPr="001538E9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34256D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34256D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34256D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34256D" w:rsidRDefault="00E366A8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256D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7216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34256D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34256D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34256D" w:rsidRDefault="0034256D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141605</wp:posOffset>
            </wp:positionV>
            <wp:extent cx="2520000" cy="1882800"/>
            <wp:effectExtent l="0" t="0" r="0" b="317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55B" w:rsidRPr="001538E9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1538E9" w:rsidRDefault="001135F6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F21F4F" w:rsidRPr="001538E9" w:rsidRDefault="001538E9" w:rsidP="00F21F4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 xml:space="preserve">Mart 2022 itibariyle mevduat bankaları ile kalkınma ve yatırım bankalarında </w:t>
      </w:r>
      <w:r>
        <w:rPr>
          <w:rFonts w:ascii="Arial" w:hAnsi="Arial" w:cs="Arial"/>
          <w:color w:val="000000" w:themeColor="text1"/>
          <w:sz w:val="22"/>
          <w:szCs w:val="22"/>
        </w:rPr>
        <w:t>ş</w:t>
      </w:r>
      <w:r w:rsidR="00F21F4F" w:rsidRPr="001538E9">
        <w:rPr>
          <w:rFonts w:ascii="Arial" w:hAnsi="Arial" w:cs="Arial"/>
          <w:color w:val="000000" w:themeColor="text1"/>
          <w:sz w:val="22"/>
          <w:szCs w:val="22"/>
        </w:rPr>
        <w:t>ube sayısı</w:t>
      </w:r>
      <w:r w:rsidR="001F5A64" w:rsidRPr="001538E9">
        <w:rPr>
          <w:rFonts w:ascii="Arial" w:hAnsi="Arial" w:cs="Arial"/>
          <w:color w:val="000000" w:themeColor="text1"/>
          <w:sz w:val="22"/>
          <w:szCs w:val="22"/>
        </w:rPr>
        <w:t xml:space="preserve"> 9.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>7</w:t>
      </w:r>
      <w:r w:rsidRPr="001538E9">
        <w:rPr>
          <w:rFonts w:ascii="Arial" w:hAnsi="Arial" w:cs="Arial"/>
          <w:color w:val="000000" w:themeColor="text1"/>
          <w:sz w:val="22"/>
          <w:szCs w:val="22"/>
        </w:rPr>
        <w:t>86’dı</w:t>
      </w:r>
      <w:r w:rsidR="00446707" w:rsidRPr="001538E9">
        <w:rPr>
          <w:rFonts w:ascii="Arial" w:hAnsi="Arial" w:cs="Arial"/>
          <w:color w:val="000000" w:themeColor="text1"/>
          <w:sz w:val="22"/>
          <w:szCs w:val="22"/>
        </w:rPr>
        <w:t>r</w:t>
      </w:r>
      <w:r w:rsidR="00F21F4F" w:rsidRPr="001538E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135F6" w:rsidRPr="0034256D" w:rsidRDefault="001135F6" w:rsidP="001135F6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1135F6" w:rsidRPr="0034256D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256D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p w:rsidR="00D5451B" w:rsidRPr="0034256D" w:rsidRDefault="00D5451B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34256D" w:rsidRPr="0034256D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34256D" w:rsidRDefault="0034256D" w:rsidP="0034256D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34256D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 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Mart 2022</w:t>
            </w:r>
          </w:p>
        </w:tc>
      </w:tr>
      <w:tr w:rsidR="0034256D" w:rsidRPr="0034256D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9.858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9.724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9.715</w:t>
            </w:r>
          </w:p>
        </w:tc>
      </w:tr>
      <w:tr w:rsidR="0034256D" w:rsidRPr="0034256D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6D" w:rsidRPr="0034256D" w:rsidRDefault="0034256D" w:rsidP="0034256D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color w:val="000000" w:themeColor="text1"/>
                <w:sz w:val="20"/>
              </w:rPr>
              <w:t>71</w:t>
            </w:r>
          </w:p>
        </w:tc>
      </w:tr>
      <w:tr w:rsidR="0034256D" w:rsidRPr="0034256D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9.792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4256D" w:rsidRPr="0034256D" w:rsidRDefault="0034256D" w:rsidP="0034256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425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9.786</w:t>
            </w:r>
          </w:p>
        </w:tc>
      </w:tr>
    </w:tbl>
    <w:p w:rsidR="001135F6" w:rsidRPr="0034256D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34256D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34256D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</w:t>
      </w:r>
      <w:proofErr w:type="gramStart"/>
      <w:r w:rsidR="001135F6" w:rsidRPr="0034256D">
        <w:rPr>
          <w:rFonts w:ascii="Arial" w:hAnsi="Arial" w:cs="Arial"/>
          <w:i/>
          <w:color w:val="000000" w:themeColor="text1"/>
          <w:sz w:val="16"/>
          <w:szCs w:val="16"/>
        </w:rPr>
        <w:t>dahil</w:t>
      </w:r>
      <w:proofErr w:type="gramEnd"/>
      <w:r w:rsidR="001135F6" w:rsidRPr="0034256D">
        <w:rPr>
          <w:rFonts w:ascii="Arial" w:hAnsi="Arial" w:cs="Arial"/>
          <w:i/>
          <w:color w:val="000000" w:themeColor="text1"/>
          <w:sz w:val="16"/>
          <w:szCs w:val="16"/>
        </w:rPr>
        <w:t xml:space="preserve">. </w:t>
      </w:r>
    </w:p>
    <w:p w:rsidR="001135F6" w:rsidRPr="0034256D" w:rsidRDefault="001135F6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34256D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Bankalar. </w:t>
      </w:r>
    </w:p>
    <w:p w:rsidR="00F075B4" w:rsidRPr="0034256D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AD13BC" w:rsidRPr="001538E9" w:rsidRDefault="00EF6D07" w:rsidP="00EF6D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Şube sayısı,</w:t>
      </w:r>
      <w:r w:rsidR="00A72DF6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bir yıl önceki çeyreğe göre 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6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, 2020 yılına göre </w:t>
      </w:r>
      <w:r w:rsidR="00021CE9" w:rsidRPr="001538E9">
        <w:rPr>
          <w:rFonts w:ascii="Arial" w:hAnsi="Arial" w:cs="Arial"/>
          <w:color w:val="000000" w:themeColor="text1"/>
          <w:sz w:val="22"/>
          <w:szCs w:val="22"/>
        </w:rPr>
        <w:t>ise 1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38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1CE9" w:rsidRPr="001538E9">
        <w:rPr>
          <w:rFonts w:ascii="Arial" w:hAnsi="Arial" w:cs="Arial"/>
          <w:color w:val="000000" w:themeColor="text1"/>
          <w:sz w:val="22"/>
          <w:szCs w:val="22"/>
        </w:rPr>
        <w:t>adet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 (yüzde 1,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4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 xml:space="preserve"> oranında) azalmıştır.</w:t>
      </w:r>
    </w:p>
    <w:p w:rsidR="00AD13BC" w:rsidRPr="001538E9" w:rsidRDefault="00AD13BC" w:rsidP="00EF6D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2DA8" w:rsidRPr="001538E9" w:rsidRDefault="001538E9" w:rsidP="00B22D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Mart 2022 itibariyle</w:t>
      </w:r>
      <w:r w:rsidR="001F5A64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2DA8" w:rsidRPr="001538E9">
        <w:rPr>
          <w:rFonts w:ascii="Arial" w:hAnsi="Arial" w:cs="Arial"/>
          <w:color w:val="000000" w:themeColor="text1"/>
          <w:sz w:val="22"/>
          <w:szCs w:val="22"/>
        </w:rPr>
        <w:t xml:space="preserve">mevduat bankalarında banka başına ortalama şube sayısı </w:t>
      </w:r>
      <w:r w:rsidR="00EF6D07" w:rsidRPr="001538E9">
        <w:rPr>
          <w:rFonts w:ascii="Arial" w:hAnsi="Arial" w:cs="Arial"/>
          <w:color w:val="000000" w:themeColor="text1"/>
          <w:sz w:val="22"/>
          <w:szCs w:val="22"/>
        </w:rPr>
        <w:t>2</w:t>
      </w:r>
      <w:r w:rsidR="00BD5935" w:rsidRPr="001538E9">
        <w:rPr>
          <w:rFonts w:ascii="Arial" w:hAnsi="Arial" w:cs="Arial"/>
          <w:color w:val="000000" w:themeColor="text1"/>
          <w:sz w:val="22"/>
          <w:szCs w:val="22"/>
        </w:rPr>
        <w:t>7</w:t>
      </w:r>
      <w:r w:rsidR="000559FE" w:rsidRPr="001538E9">
        <w:rPr>
          <w:rFonts w:ascii="Arial" w:hAnsi="Arial" w:cs="Arial"/>
          <w:color w:val="000000" w:themeColor="text1"/>
          <w:sz w:val="22"/>
          <w:szCs w:val="22"/>
        </w:rPr>
        <w:t>8</w:t>
      </w:r>
      <w:r w:rsidR="00B22DA8" w:rsidRPr="001538E9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</w:p>
    <w:p w:rsidR="00166439" w:rsidRPr="0034256D" w:rsidRDefault="00F61D6D" w:rsidP="00F07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256D">
        <w:rPr>
          <w:rFonts w:ascii="Arial" w:hAnsi="Arial" w:cs="Arial"/>
          <w:b/>
          <w:color w:val="000000" w:themeColor="text1"/>
          <w:sz w:val="22"/>
          <w:szCs w:val="22"/>
        </w:rPr>
        <w:t xml:space="preserve">Şube Sayısı </w:t>
      </w:r>
      <w:r w:rsidR="00B22DA8" w:rsidRPr="0034256D">
        <w:rPr>
          <w:rFonts w:ascii="Arial" w:hAnsi="Arial" w:cs="Arial"/>
          <w:b/>
          <w:color w:val="000000" w:themeColor="text1"/>
          <w:sz w:val="22"/>
          <w:szCs w:val="22"/>
        </w:rPr>
        <w:t>(adet)</w:t>
      </w:r>
    </w:p>
    <w:p w:rsidR="00BD5935" w:rsidRPr="0034256D" w:rsidRDefault="0034256D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E011734" wp14:editId="28691403">
            <wp:extent cx="4694873" cy="2160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34256D" w:rsidRDefault="00057810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162D" w:rsidRPr="001538E9" w:rsidRDefault="00916152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Ş</w:t>
      </w:r>
      <w:r w:rsidR="00A6162D" w:rsidRPr="001538E9">
        <w:rPr>
          <w:rFonts w:ascii="Arial" w:hAnsi="Arial" w:cs="Arial"/>
          <w:color w:val="000000" w:themeColor="text1"/>
          <w:sz w:val="22"/>
          <w:szCs w:val="22"/>
        </w:rPr>
        <w:t>ube dışı alternatif dağıtım kanallarının gelişmesi</w:t>
      </w:r>
      <w:r w:rsidR="00300266" w:rsidRPr="001538E9">
        <w:rPr>
          <w:rFonts w:ascii="Arial" w:hAnsi="Arial" w:cs="Arial"/>
          <w:color w:val="000000" w:themeColor="text1"/>
          <w:sz w:val="22"/>
          <w:szCs w:val="22"/>
        </w:rPr>
        <w:t xml:space="preserve">, mobil </w:t>
      </w:r>
      <w:r w:rsidR="003F743F" w:rsidRPr="001538E9">
        <w:rPr>
          <w:rFonts w:ascii="Arial" w:hAnsi="Arial" w:cs="Arial"/>
          <w:color w:val="000000" w:themeColor="text1"/>
          <w:sz w:val="22"/>
          <w:szCs w:val="22"/>
        </w:rPr>
        <w:t xml:space="preserve">ve dijital </w:t>
      </w:r>
      <w:r w:rsidR="00300266" w:rsidRPr="001538E9">
        <w:rPr>
          <w:rFonts w:ascii="Arial" w:hAnsi="Arial" w:cs="Arial"/>
          <w:color w:val="000000" w:themeColor="text1"/>
          <w:sz w:val="22"/>
          <w:szCs w:val="22"/>
        </w:rPr>
        <w:t>bankacılık hizmetlerine olan talebin artması</w:t>
      </w:r>
      <w:r w:rsidR="00A6162D" w:rsidRPr="001538E9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704B9E" w:rsidRPr="001538E9">
        <w:rPr>
          <w:rFonts w:ascii="Arial" w:hAnsi="Arial" w:cs="Arial"/>
          <w:color w:val="000000" w:themeColor="text1"/>
          <w:sz w:val="22"/>
          <w:szCs w:val="22"/>
        </w:rPr>
        <w:t xml:space="preserve">bazı hizmetlerin </w:t>
      </w:r>
      <w:r w:rsidR="00A6162D" w:rsidRPr="001538E9">
        <w:rPr>
          <w:rFonts w:ascii="Arial" w:hAnsi="Arial" w:cs="Arial"/>
          <w:color w:val="000000" w:themeColor="text1"/>
          <w:sz w:val="22"/>
          <w:szCs w:val="22"/>
        </w:rPr>
        <w:t>destek hizmet</w:t>
      </w:r>
      <w:r w:rsidR="00704B9E" w:rsidRPr="001538E9">
        <w:rPr>
          <w:rFonts w:ascii="Arial" w:hAnsi="Arial" w:cs="Arial"/>
          <w:color w:val="000000" w:themeColor="text1"/>
          <w:sz w:val="22"/>
          <w:szCs w:val="22"/>
        </w:rPr>
        <w:t>i kuruluşlarından temin edil</w:t>
      </w:r>
      <w:r w:rsidR="0036100C" w:rsidRPr="001538E9">
        <w:rPr>
          <w:rFonts w:ascii="Arial" w:hAnsi="Arial" w:cs="Arial"/>
          <w:color w:val="000000" w:themeColor="text1"/>
          <w:sz w:val="22"/>
          <w:szCs w:val="22"/>
        </w:rPr>
        <w:t>m</w:t>
      </w:r>
      <w:r w:rsidR="00704B9E" w:rsidRPr="001538E9">
        <w:rPr>
          <w:rFonts w:ascii="Arial" w:hAnsi="Arial" w:cs="Arial"/>
          <w:color w:val="000000" w:themeColor="text1"/>
          <w:sz w:val="22"/>
          <w:szCs w:val="22"/>
        </w:rPr>
        <w:t>esi</w:t>
      </w:r>
      <w:r w:rsidR="002933DA" w:rsidRPr="001538E9">
        <w:rPr>
          <w:rFonts w:ascii="Arial" w:hAnsi="Arial" w:cs="Arial"/>
          <w:color w:val="000000" w:themeColor="text1"/>
          <w:sz w:val="22"/>
          <w:szCs w:val="22"/>
        </w:rPr>
        <w:t>;</w:t>
      </w:r>
      <w:r w:rsidR="00A6162D" w:rsidRPr="001538E9">
        <w:rPr>
          <w:rFonts w:ascii="Arial" w:hAnsi="Arial" w:cs="Arial"/>
          <w:color w:val="000000" w:themeColor="text1"/>
          <w:sz w:val="22"/>
          <w:szCs w:val="22"/>
        </w:rPr>
        <w:t xml:space="preserve"> şube ve çalışan sayısını etkile</w:t>
      </w:r>
      <w:r w:rsidR="00704B9E" w:rsidRPr="001538E9">
        <w:rPr>
          <w:rFonts w:ascii="Arial" w:hAnsi="Arial" w:cs="Arial"/>
          <w:color w:val="000000" w:themeColor="text1"/>
          <w:sz w:val="22"/>
          <w:szCs w:val="22"/>
        </w:rPr>
        <w:t>m</w:t>
      </w:r>
      <w:r w:rsidR="00E60FAD" w:rsidRPr="001538E9">
        <w:rPr>
          <w:rFonts w:ascii="Arial" w:hAnsi="Arial" w:cs="Arial"/>
          <w:color w:val="000000" w:themeColor="text1"/>
          <w:sz w:val="22"/>
          <w:szCs w:val="22"/>
        </w:rPr>
        <w:t>ektedir.</w:t>
      </w:r>
    </w:p>
    <w:p w:rsidR="00A6162D" w:rsidRPr="0034256D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1538E9" w:rsidRDefault="00A907F0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54116E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614D10" w:rsidRPr="001538E9">
        <w:rPr>
          <w:rFonts w:ascii="Arial" w:hAnsi="Arial" w:cs="Arial"/>
          <w:b/>
          <w:color w:val="000000" w:themeColor="text1"/>
          <w:sz w:val="22"/>
          <w:szCs w:val="22"/>
        </w:rPr>
        <w:t>*</w:t>
      </w:r>
    </w:p>
    <w:p w:rsidR="00AC45CB" w:rsidRPr="001538E9" w:rsidRDefault="00AC45CB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66439" w:rsidRPr="001538E9" w:rsidRDefault="0034256D" w:rsidP="006A0E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color w:val="000000" w:themeColor="text1"/>
          <w:sz w:val="22"/>
          <w:szCs w:val="22"/>
        </w:rPr>
        <w:t>Mart 2022</w:t>
      </w:r>
      <w:r w:rsidR="001F5A64" w:rsidRPr="001538E9">
        <w:rPr>
          <w:rFonts w:ascii="Arial" w:hAnsi="Arial" w:cs="Arial"/>
          <w:color w:val="000000" w:themeColor="text1"/>
          <w:sz w:val="22"/>
          <w:szCs w:val="22"/>
        </w:rPr>
        <w:t xml:space="preserve"> ayı itibarıyla,</w:t>
      </w:r>
      <w:r w:rsidR="006A0E5D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4BBF" w:rsidRPr="001538E9">
        <w:rPr>
          <w:rFonts w:ascii="Arial" w:hAnsi="Arial" w:cs="Arial"/>
          <w:color w:val="000000" w:themeColor="text1"/>
          <w:sz w:val="22"/>
          <w:szCs w:val="22"/>
        </w:rPr>
        <w:t>100.000 kişiye düşen çalışan sayısı</w:t>
      </w:r>
      <w:r w:rsidR="001F5A64" w:rsidRPr="00153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18CA" w:rsidRPr="001538E9">
        <w:rPr>
          <w:rFonts w:ascii="Arial" w:hAnsi="Arial" w:cs="Arial"/>
          <w:color w:val="000000" w:themeColor="text1"/>
          <w:sz w:val="22"/>
          <w:szCs w:val="22"/>
        </w:rPr>
        <w:t>2</w:t>
      </w:r>
      <w:r w:rsidR="00EF6D07" w:rsidRPr="001538E9">
        <w:rPr>
          <w:rFonts w:ascii="Arial" w:hAnsi="Arial" w:cs="Arial"/>
          <w:color w:val="000000" w:themeColor="text1"/>
          <w:sz w:val="22"/>
          <w:szCs w:val="22"/>
        </w:rPr>
        <w:t>2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0</w:t>
      </w:r>
      <w:r w:rsidR="00B718CA" w:rsidRPr="001538E9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  <w:r w:rsidR="00366A61" w:rsidRPr="001538E9">
        <w:rPr>
          <w:rFonts w:ascii="Arial" w:hAnsi="Arial" w:cs="Arial"/>
          <w:color w:val="000000" w:themeColor="text1"/>
          <w:sz w:val="22"/>
          <w:szCs w:val="22"/>
        </w:rPr>
        <w:t xml:space="preserve"> 100.000 kişiye düşen şube sayısı ise 1</w:t>
      </w:r>
      <w:r w:rsidR="00387158" w:rsidRPr="001538E9">
        <w:rPr>
          <w:rFonts w:ascii="Arial" w:hAnsi="Arial" w:cs="Arial"/>
          <w:color w:val="000000" w:themeColor="text1"/>
          <w:sz w:val="22"/>
          <w:szCs w:val="22"/>
        </w:rPr>
        <w:t>1,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6</w:t>
      </w:r>
      <w:r w:rsidR="00387158" w:rsidRPr="001538E9">
        <w:rPr>
          <w:rFonts w:ascii="Arial" w:hAnsi="Arial" w:cs="Arial"/>
          <w:color w:val="000000" w:themeColor="text1"/>
          <w:sz w:val="22"/>
          <w:szCs w:val="22"/>
        </w:rPr>
        <w:t>’</w:t>
      </w:r>
      <w:r w:rsidR="001538E9" w:rsidRPr="001538E9">
        <w:rPr>
          <w:rFonts w:ascii="Arial" w:hAnsi="Arial" w:cs="Arial"/>
          <w:color w:val="000000" w:themeColor="text1"/>
          <w:sz w:val="22"/>
          <w:szCs w:val="22"/>
        </w:rPr>
        <w:t>dı</w:t>
      </w:r>
      <w:r w:rsidR="00366A61" w:rsidRPr="001538E9">
        <w:rPr>
          <w:rFonts w:ascii="Arial" w:hAnsi="Arial" w:cs="Arial"/>
          <w:color w:val="000000" w:themeColor="text1"/>
          <w:sz w:val="22"/>
          <w:szCs w:val="22"/>
        </w:rPr>
        <w:t>r.</w:t>
      </w:r>
    </w:p>
    <w:p w:rsidR="00AC45CB" w:rsidRPr="001538E9" w:rsidRDefault="00AC45CB" w:rsidP="00DC24FD">
      <w:pPr>
        <w:jc w:val="center"/>
        <w:rPr>
          <w:color w:val="000000" w:themeColor="text1"/>
        </w:rPr>
      </w:pPr>
    </w:p>
    <w:p w:rsidR="00130853" w:rsidRPr="001538E9" w:rsidRDefault="003D4BBF" w:rsidP="00DC24F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B800CA" w:rsidRPr="001538E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6B4D" w:rsidRPr="001538E9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902F0A" w:rsidRPr="001538E9" w:rsidRDefault="00902F0A" w:rsidP="007B3D45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387158" w:rsidRPr="001538E9" w:rsidRDefault="0034256D" w:rsidP="00276FA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538E9">
        <w:rPr>
          <w:noProof/>
          <w:color w:val="000000" w:themeColor="text1"/>
          <w:lang w:eastAsia="tr-TR"/>
        </w:rPr>
        <w:lastRenderedPageBreak/>
        <w:drawing>
          <wp:inline distT="0" distB="0" distL="0" distR="0" wp14:anchorId="6DACF6CC" wp14:editId="4387064F">
            <wp:extent cx="4860000" cy="2340000"/>
            <wp:effectExtent l="0" t="0" r="0" b="317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6AD" w:rsidRPr="001538E9" w:rsidRDefault="002276AD" w:rsidP="00F21F4F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</w:p>
    <w:p w:rsidR="00F21F4F" w:rsidRPr="001538E9" w:rsidRDefault="001F5A64" w:rsidP="00F21F4F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1538E9">
        <w:rPr>
          <w:rFonts w:ascii="Arial" w:hAnsi="Arial" w:cs="Arial"/>
          <w:color w:val="000000" w:themeColor="text1"/>
          <w:sz w:val="18"/>
          <w:szCs w:val="22"/>
        </w:rPr>
        <w:t xml:space="preserve">*: </w:t>
      </w:r>
      <w:r w:rsidR="00614D10" w:rsidRPr="001538E9">
        <w:rPr>
          <w:rFonts w:ascii="Arial" w:hAnsi="Arial" w:cs="Arial"/>
          <w:color w:val="000000" w:themeColor="text1"/>
          <w:sz w:val="18"/>
          <w:szCs w:val="22"/>
        </w:rPr>
        <w:t>202</w:t>
      </w:r>
      <w:r w:rsidR="001538E9" w:rsidRPr="001538E9">
        <w:rPr>
          <w:rFonts w:ascii="Arial" w:hAnsi="Arial" w:cs="Arial"/>
          <w:color w:val="000000" w:themeColor="text1"/>
          <w:sz w:val="18"/>
          <w:szCs w:val="22"/>
        </w:rPr>
        <w:t>2</w:t>
      </w:r>
      <w:r w:rsidR="00614D10" w:rsidRPr="001538E9">
        <w:rPr>
          <w:rFonts w:ascii="Arial" w:hAnsi="Arial" w:cs="Arial"/>
          <w:color w:val="000000" w:themeColor="text1"/>
          <w:sz w:val="18"/>
          <w:szCs w:val="22"/>
        </w:rPr>
        <w:t xml:space="preserve"> yılına ilişkin h</w:t>
      </w:r>
      <w:r w:rsidRPr="001538E9">
        <w:rPr>
          <w:rFonts w:ascii="Arial" w:hAnsi="Arial" w:cs="Arial"/>
          <w:color w:val="000000" w:themeColor="text1"/>
          <w:sz w:val="18"/>
          <w:szCs w:val="22"/>
        </w:rPr>
        <w:t>esaplamalarda 202</w:t>
      </w:r>
      <w:r w:rsidR="001538E9" w:rsidRPr="001538E9">
        <w:rPr>
          <w:rFonts w:ascii="Arial" w:hAnsi="Arial" w:cs="Arial"/>
          <w:color w:val="000000" w:themeColor="text1"/>
          <w:sz w:val="18"/>
          <w:szCs w:val="22"/>
        </w:rPr>
        <w:t>1</w:t>
      </w:r>
      <w:r w:rsidR="00F21F4F" w:rsidRPr="001538E9">
        <w:rPr>
          <w:rFonts w:ascii="Arial" w:hAnsi="Arial" w:cs="Arial"/>
          <w:color w:val="000000" w:themeColor="text1"/>
          <w:sz w:val="18"/>
          <w:szCs w:val="22"/>
        </w:rPr>
        <w:t xml:space="preserve"> </w:t>
      </w:r>
      <w:proofErr w:type="gramStart"/>
      <w:r w:rsidR="00F21F4F" w:rsidRPr="001538E9">
        <w:rPr>
          <w:rFonts w:ascii="Arial" w:hAnsi="Arial" w:cs="Arial"/>
          <w:color w:val="000000" w:themeColor="text1"/>
          <w:sz w:val="18"/>
          <w:szCs w:val="22"/>
        </w:rPr>
        <w:t>yıl sonu</w:t>
      </w:r>
      <w:proofErr w:type="gramEnd"/>
      <w:r w:rsidR="00F21F4F" w:rsidRPr="001538E9">
        <w:rPr>
          <w:rFonts w:ascii="Arial" w:hAnsi="Arial" w:cs="Arial"/>
          <w:color w:val="000000" w:themeColor="text1"/>
          <w:sz w:val="18"/>
          <w:szCs w:val="22"/>
        </w:rPr>
        <w:t xml:space="preserve"> nüfus verisi kullanılmıştır. </w:t>
      </w:r>
    </w:p>
    <w:p w:rsidR="00F21F4F" w:rsidRPr="0034256D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34256D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33" w:rsidRDefault="00783633">
      <w:r>
        <w:separator/>
      </w:r>
    </w:p>
  </w:endnote>
  <w:endnote w:type="continuationSeparator" w:id="0">
    <w:p w:rsidR="00783633" w:rsidRDefault="0078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1538E9">
          <w:rPr>
            <w:rFonts w:ascii="Arial" w:hAnsi="Arial"/>
            <w:sz w:val="18"/>
            <w:szCs w:val="18"/>
          </w:rPr>
          <w:t xml:space="preserve">Mart 2022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 </w:t>
        </w:r>
        <w:r w:rsidR="0018452A">
          <w:rPr>
            <w:rFonts w:ascii="Arial" w:hAnsi="Arial"/>
            <w:sz w:val="18"/>
            <w:szCs w:val="18"/>
          </w:rPr>
          <w:t xml:space="preserve">                </w:t>
        </w:r>
        <w:r w:rsidR="0018452A" w:rsidRPr="001538E9">
          <w:rPr>
            <w:rFonts w:ascii="Arial" w:hAnsi="Arial"/>
            <w:sz w:val="14"/>
            <w:szCs w:val="18"/>
          </w:rPr>
          <w:t xml:space="preserve">  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185C05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1538E9">
      <w:rPr>
        <w:rFonts w:ascii="Arial" w:hAnsi="Arial"/>
        <w:sz w:val="18"/>
        <w:szCs w:val="18"/>
      </w:rPr>
      <w:t xml:space="preserve">Mart 2022     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33" w:rsidRDefault="00783633">
      <w:r>
        <w:separator/>
      </w:r>
    </w:p>
  </w:footnote>
  <w:footnote w:type="continuationSeparator" w:id="0">
    <w:p w:rsidR="00783633" w:rsidRDefault="00783633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5C05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063C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7C5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3633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ACC40B6D-677A-446D-AA95-C001C81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2-43A6-B8C9-40F69B2E6672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2-43A6-B8C9-40F69B2E6672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C2-43A6-B8C9-40F69B2E6672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C2-43A6-B8C9-40F69B2E6672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C2-43A6-B8C9-40F69B2E6672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CC2-43A6-B8C9-40F69B2E66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C2-43A6-B8C9-40F69B2E6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985152"/>
        <c:axId val="85986688"/>
      </c:barChart>
      <c:dateAx>
        <c:axId val="8598515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85986688"/>
        <c:crosses val="autoZero"/>
        <c:auto val="1"/>
        <c:lblOffset val="100"/>
        <c:baseTimeUnit val="days"/>
      </c:dateAx>
      <c:valAx>
        <c:axId val="8598668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598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grafik'!$B$28:$B$32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</c:numCache>
            </c:numRef>
          </c:cat>
          <c:val>
            <c:numRef>
              <c:f>'çalışan grafik'!$C$28:$C$32</c:f>
              <c:numCache>
                <c:formatCode>#,##0</c:formatCode>
                <c:ptCount val="5"/>
                <c:pt idx="0">
                  <c:v>192313</c:v>
                </c:pt>
                <c:pt idx="1">
                  <c:v>188837</c:v>
                </c:pt>
                <c:pt idx="2">
                  <c:v>186612</c:v>
                </c:pt>
                <c:pt idx="3">
                  <c:v>185248</c:v>
                </c:pt>
                <c:pt idx="4">
                  <c:v>185000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CD-485B-9DD9-A5E5B8048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433856"/>
        <c:axId val="95435392"/>
      </c:barChart>
      <c:catAx>
        <c:axId val="9543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5435392"/>
        <c:crosses val="autoZero"/>
        <c:auto val="1"/>
        <c:lblAlgn val="ctr"/>
        <c:lblOffset val="100"/>
        <c:noMultiLvlLbl val="0"/>
      </c:catAx>
      <c:valAx>
        <c:axId val="95435392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95433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C4-4B4E-85E8-980EF06F8066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C4-4B4E-85E8-980EF06F806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91666</c:v>
                </c:pt>
                <c:pt idx="1">
                  <c:v>93334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C4-4B4E-85E8-980EF06F80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grafik'!$B$32:$B$36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</c:numCache>
            </c:numRef>
          </c:cat>
          <c:val>
            <c:numRef>
              <c:f>'şube grafik'!$C$32:$C$36</c:f>
              <c:numCache>
                <c:formatCode>General</c:formatCode>
                <c:ptCount val="5"/>
                <c:pt idx="0">
                  <c:v>10454</c:v>
                </c:pt>
                <c:pt idx="1">
                  <c:v>10199</c:v>
                </c:pt>
                <c:pt idx="2">
                  <c:v>9939</c:v>
                </c:pt>
                <c:pt idx="3">
                  <c:v>9792</c:v>
                </c:pt>
                <c:pt idx="4">
                  <c:v>9786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C0-420A-B8AA-EEF944EFB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820480"/>
        <c:axId val="122822016"/>
      </c:barChart>
      <c:catAx>
        <c:axId val="12282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2822016"/>
        <c:crosses val="autoZero"/>
        <c:auto val="1"/>
        <c:lblAlgn val="ctr"/>
        <c:lblOffset val="100"/>
        <c:noMultiLvlLbl val="0"/>
      </c:catAx>
      <c:valAx>
        <c:axId val="122822016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12282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göre'!$G$1:$K$1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</c:numCache>
            </c:numRef>
          </c:cat>
          <c:val>
            <c:numRef>
              <c:f>'nüfusa göre'!$G$3:$K$3</c:f>
              <c:numCache>
                <c:formatCode>0.0</c:formatCode>
                <c:ptCount val="5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11.719376483351677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F3-4E21-9072-A3902C328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058048"/>
        <c:axId val="123059584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göre'!$G$1:$K$1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</c:numCache>
            </c:numRef>
          </c:cat>
          <c:val>
            <c:numRef>
              <c:f>'nüfusa göre'!$G$4:$K$4</c:f>
              <c:numCache>
                <c:formatCode>0</c:formatCode>
                <c:ptCount val="5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219.62730327995047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F3-4E21-9072-A3902C328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144832"/>
        <c:axId val="123143296"/>
      </c:lineChart>
      <c:catAx>
        <c:axId val="12305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3059584"/>
        <c:crosses val="autoZero"/>
        <c:auto val="1"/>
        <c:lblAlgn val="ctr"/>
        <c:lblOffset val="100"/>
        <c:noMultiLvlLbl val="0"/>
      </c:catAx>
      <c:valAx>
        <c:axId val="12305958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3058048"/>
        <c:crosses val="autoZero"/>
        <c:crossBetween val="between"/>
        <c:majorUnit val="1"/>
      </c:valAx>
      <c:valAx>
        <c:axId val="123143296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3144832"/>
        <c:crosses val="max"/>
        <c:crossBetween val="between"/>
        <c:majorUnit val="10"/>
      </c:valAx>
      <c:catAx>
        <c:axId val="123144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1432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AFDA-F89A-4CE9-8CE6-675145AE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2020-08-04T11:44:00Z</cp:lastPrinted>
  <dcterms:created xsi:type="dcterms:W3CDTF">2022-05-10T07:42:00Z</dcterms:created>
  <dcterms:modified xsi:type="dcterms:W3CDTF">2022-05-10T07:42:00Z</dcterms:modified>
</cp:coreProperties>
</file>