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B67BC0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571E15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2022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B67BC0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 2022</w:t>
      </w:r>
      <w:r w:rsidR="000F43E0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B41D83">
        <w:rPr>
          <w:rFonts w:ascii="Arial" w:hAnsi="Arial" w:cs="Arial"/>
          <w:b/>
          <w:sz w:val="22"/>
          <w:szCs w:val="22"/>
        </w:rPr>
        <w:t>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kişi sayısı </w:t>
      </w:r>
      <w:r w:rsidR="0069629D">
        <w:rPr>
          <w:rFonts w:ascii="Arial" w:hAnsi="Arial" w:cs="Arial"/>
          <w:b/>
          <w:sz w:val="22"/>
          <w:szCs w:val="22"/>
        </w:rPr>
        <w:t xml:space="preserve">yaklaşık </w:t>
      </w:r>
      <w:r w:rsidR="00571E15">
        <w:rPr>
          <w:rFonts w:ascii="Arial" w:hAnsi="Arial" w:cs="Arial"/>
          <w:b/>
          <w:sz w:val="22"/>
          <w:szCs w:val="22"/>
        </w:rPr>
        <w:t>2</w:t>
      </w:r>
      <w:r w:rsidR="00144A3E">
        <w:rPr>
          <w:rFonts w:ascii="Arial" w:hAnsi="Arial" w:cs="Arial"/>
          <w:b/>
          <w:sz w:val="22"/>
          <w:szCs w:val="22"/>
        </w:rPr>
        <w:t>6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>
        <w:rPr>
          <w:rFonts w:ascii="Arial" w:hAnsi="Arial" w:cs="Arial"/>
          <w:b/>
          <w:sz w:val="22"/>
          <w:szCs w:val="22"/>
        </w:rPr>
        <w:t>3</w:t>
      </w:r>
      <w:r w:rsidR="0069629D">
        <w:rPr>
          <w:rFonts w:ascii="Arial" w:hAnsi="Arial" w:cs="Arial"/>
          <w:b/>
          <w:sz w:val="22"/>
          <w:szCs w:val="22"/>
        </w:rPr>
        <w:t>02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>
        <w:rPr>
          <w:rFonts w:ascii="Arial" w:hAnsi="Arial" w:cs="Arial"/>
          <w:b/>
          <w:sz w:val="22"/>
          <w:szCs w:val="22"/>
        </w:rPr>
        <w:t xml:space="preserve">yaklaşık </w:t>
      </w:r>
      <w:r w:rsidR="0069629D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35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E50778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76E26" w:rsidRPr="00F479B8" w:rsidRDefault="00B67BC0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376E26" w:rsidRPr="00F479B8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4</w:t>
      </w:r>
      <w:r w:rsidR="00376E26" w:rsidRPr="00F479B8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490</w:t>
      </w:r>
      <w:r w:rsidR="00376E26" w:rsidRPr="00F479B8">
        <w:rPr>
          <w:rFonts w:ascii="Arial" w:hAnsi="Arial" w:cs="Arial"/>
          <w:sz w:val="22"/>
          <w:szCs w:val="22"/>
        </w:rPr>
        <w:t xml:space="preserve"> bin kişiye, </w:t>
      </w:r>
      <w:r w:rsidR="007E7FAD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121</w:t>
      </w:r>
      <w:r w:rsidR="00376E26" w:rsidRPr="00F479B8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  <w:r>
        <w:rPr>
          <w:rFonts w:ascii="Arial" w:hAnsi="Arial" w:cs="Arial"/>
          <w:sz w:val="22"/>
          <w:szCs w:val="22"/>
        </w:rPr>
        <w:t>Ocak-Mart</w:t>
      </w:r>
      <w:r w:rsidR="00376E26" w:rsidRPr="00F479B8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="00376E26" w:rsidRPr="00F479B8">
        <w:rPr>
          <w:rFonts w:ascii="Arial" w:hAnsi="Arial" w:cs="Arial"/>
          <w:sz w:val="22"/>
          <w:szCs w:val="22"/>
        </w:rPr>
        <w:t xml:space="preserve"> döneminde kredi kullanan kişi sayısı 202</w:t>
      </w:r>
      <w:r>
        <w:rPr>
          <w:rFonts w:ascii="Arial" w:hAnsi="Arial" w:cs="Arial"/>
          <w:sz w:val="22"/>
          <w:szCs w:val="22"/>
        </w:rPr>
        <w:t>1</w:t>
      </w:r>
      <w:r w:rsidR="00376E26" w:rsidRPr="00F479B8">
        <w:rPr>
          <w:rFonts w:ascii="Arial" w:hAnsi="Arial" w:cs="Arial"/>
          <w:sz w:val="22"/>
          <w:szCs w:val="22"/>
        </w:rPr>
        <w:t xml:space="preserve"> yılının aynı dönemine göre yüzde </w:t>
      </w:r>
      <w:r>
        <w:rPr>
          <w:rFonts w:ascii="Arial" w:hAnsi="Arial" w:cs="Arial"/>
          <w:sz w:val="22"/>
          <w:szCs w:val="22"/>
        </w:rPr>
        <w:t>3</w:t>
      </w:r>
      <w:r w:rsidR="0069629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artarken</w:t>
      </w:r>
      <w:r w:rsidR="00376E26" w:rsidRPr="00F479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Ekim-Aralık</w:t>
      </w:r>
      <w:r w:rsidR="00376E26" w:rsidRPr="00F479B8">
        <w:rPr>
          <w:rFonts w:ascii="Arial" w:hAnsi="Arial" w:cs="Arial"/>
          <w:sz w:val="22"/>
          <w:szCs w:val="22"/>
        </w:rPr>
        <w:t xml:space="preserve"> 2021 dönemine göre yüzde </w:t>
      </w:r>
      <w:r w:rsidR="0069629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376E26" w:rsidRPr="00F479B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zal</w:t>
      </w:r>
      <w:r w:rsidR="00376E26" w:rsidRPr="00F479B8">
        <w:rPr>
          <w:rFonts w:ascii="Arial" w:hAnsi="Arial" w:cs="Arial"/>
          <w:sz w:val="22"/>
          <w:szCs w:val="22"/>
        </w:rPr>
        <w:t xml:space="preserve">mıştır. </w:t>
      </w:r>
      <w:r>
        <w:rPr>
          <w:rFonts w:ascii="Arial" w:hAnsi="Arial" w:cs="Arial"/>
          <w:sz w:val="22"/>
          <w:szCs w:val="22"/>
        </w:rPr>
        <w:t>İlk</w:t>
      </w:r>
      <w:r w:rsidR="00F479B8" w:rsidRPr="00F479B8">
        <w:rPr>
          <w:rFonts w:ascii="Arial" w:hAnsi="Arial" w:cs="Arial"/>
          <w:sz w:val="22"/>
          <w:szCs w:val="22"/>
        </w:rPr>
        <w:t xml:space="preserve"> çeyrekte k</w:t>
      </w:r>
      <w:r w:rsidR="00376E26" w:rsidRPr="00F479B8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F479B8">
        <w:rPr>
          <w:rFonts w:ascii="Arial" w:hAnsi="Arial" w:cs="Arial"/>
          <w:sz w:val="22"/>
          <w:szCs w:val="22"/>
        </w:rPr>
        <w:t>geçen yılın</w:t>
      </w:r>
      <w:r w:rsidR="00376E26" w:rsidRPr="00F479B8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49 büyürken</w:t>
      </w:r>
      <w:r w:rsidR="00376E26" w:rsidRPr="00F479B8">
        <w:rPr>
          <w:rFonts w:ascii="Arial" w:hAnsi="Arial" w:cs="Arial"/>
          <w:sz w:val="22"/>
          <w:szCs w:val="22"/>
        </w:rPr>
        <w:t xml:space="preserve">, </w:t>
      </w:r>
      <w:r w:rsidR="00F479B8" w:rsidRPr="00F479B8">
        <w:rPr>
          <w:rFonts w:ascii="Arial" w:hAnsi="Arial" w:cs="Arial"/>
          <w:sz w:val="22"/>
          <w:szCs w:val="22"/>
        </w:rPr>
        <w:t>bir önceki dönem</w:t>
      </w:r>
      <w:r w:rsidR="00376E26" w:rsidRPr="00F479B8">
        <w:rPr>
          <w:rFonts w:ascii="Arial" w:hAnsi="Arial" w:cs="Arial"/>
          <w:sz w:val="22"/>
          <w:szCs w:val="22"/>
        </w:rPr>
        <w:t xml:space="preserve">e göre </w:t>
      </w:r>
      <w:r w:rsidR="0069629D">
        <w:rPr>
          <w:rFonts w:ascii="Arial" w:hAnsi="Arial" w:cs="Arial"/>
          <w:sz w:val="22"/>
          <w:szCs w:val="22"/>
        </w:rPr>
        <w:t>ise</w:t>
      </w:r>
      <w:r w:rsidR="00F479B8" w:rsidRPr="00F479B8">
        <w:rPr>
          <w:rFonts w:ascii="Arial" w:hAnsi="Arial" w:cs="Arial"/>
          <w:sz w:val="22"/>
          <w:szCs w:val="22"/>
        </w:rPr>
        <w:t xml:space="preserve"> </w:t>
      </w:r>
      <w:r w:rsidR="00376E26" w:rsidRPr="00F479B8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10 küçül</w:t>
      </w:r>
      <w:r w:rsidR="00376E26" w:rsidRPr="00F479B8">
        <w:rPr>
          <w:rFonts w:ascii="Arial" w:hAnsi="Arial" w:cs="Arial"/>
          <w:sz w:val="22"/>
          <w:szCs w:val="22"/>
        </w:rPr>
        <w:t>müştür.</w:t>
      </w:r>
    </w:p>
    <w:p w:rsidR="00337100" w:rsidRPr="00D77836" w:rsidRDefault="00813FA5" w:rsidP="00A515B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 </w:t>
      </w:r>
    </w:p>
    <w:p w:rsidR="00337100" w:rsidRPr="004A5057" w:rsidRDefault="00F479B8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B67BC0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 2022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6D56">
        <w:rPr>
          <w:rFonts w:ascii="Arial" w:hAnsi="Arial" w:cs="Arial"/>
          <w:sz w:val="22"/>
          <w:szCs w:val="22"/>
        </w:rPr>
        <w:t>itibarıyla</w:t>
      </w:r>
      <w:r w:rsidR="009A642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>
        <w:rPr>
          <w:rFonts w:ascii="Arial" w:hAnsi="Arial" w:cs="Arial"/>
          <w:sz w:val="22"/>
          <w:szCs w:val="22"/>
        </w:rPr>
        <w:t>yaklaşık 735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69629D">
        <w:rPr>
          <w:rFonts w:ascii="Arial" w:hAnsi="Arial" w:cs="Arial"/>
          <w:sz w:val="22"/>
          <w:szCs w:val="22"/>
        </w:rPr>
        <w:t xml:space="preserve">yaklaşık </w:t>
      </w:r>
      <w:r w:rsidR="00B06043">
        <w:rPr>
          <w:rFonts w:ascii="Arial" w:hAnsi="Arial" w:cs="Arial"/>
          <w:sz w:val="22"/>
          <w:szCs w:val="22"/>
        </w:rPr>
        <w:t>2</w:t>
      </w:r>
      <w:r w:rsidR="0069629D">
        <w:rPr>
          <w:rFonts w:ascii="Arial" w:hAnsi="Arial" w:cs="Arial"/>
          <w:sz w:val="22"/>
          <w:szCs w:val="22"/>
        </w:rPr>
        <w:t>6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69629D">
        <w:rPr>
          <w:rFonts w:ascii="Arial" w:hAnsi="Arial" w:cs="Arial"/>
          <w:sz w:val="22"/>
          <w:szCs w:val="22"/>
        </w:rPr>
        <w:t>02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4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 w:rsidR="003D6299">
        <w:rPr>
          <w:rFonts w:ascii="Arial" w:hAnsi="Arial" w:cs="Arial"/>
          <w:bCs/>
          <w:sz w:val="22"/>
          <w:szCs w:val="22"/>
        </w:rPr>
        <w:t>,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>ise</w:t>
      </w:r>
      <w:r w:rsidR="003D6299">
        <w:rPr>
          <w:rFonts w:ascii="Arial" w:hAnsi="Arial" w:cs="Arial"/>
          <w:sz w:val="22"/>
          <w:szCs w:val="22"/>
        </w:rPr>
        <w:t xml:space="preserve"> yüzde </w:t>
      </w:r>
      <w:r>
        <w:rPr>
          <w:rFonts w:ascii="Arial" w:hAnsi="Arial" w:cs="Arial"/>
          <w:sz w:val="22"/>
          <w:szCs w:val="22"/>
        </w:rPr>
        <w:t>1</w:t>
      </w:r>
      <w:r w:rsidR="003D6299">
        <w:rPr>
          <w:rFonts w:ascii="Arial" w:hAnsi="Arial" w:cs="Arial"/>
          <w:sz w:val="22"/>
          <w:szCs w:val="22"/>
        </w:rPr>
        <w:t xml:space="preserve"> oranında artmıştır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="003D629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</w:t>
      </w:r>
      <w:r w:rsidR="0008123F">
        <w:rPr>
          <w:rFonts w:ascii="Arial" w:hAnsi="Arial" w:cs="Arial"/>
          <w:sz w:val="22"/>
          <w:szCs w:val="22"/>
        </w:rPr>
        <w:t>çeyreğe göre</w:t>
      </w:r>
      <w:r w:rsidR="005B603F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3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B67BC0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92BDAC5" wp14:editId="7F974910">
            <wp:extent cx="4695825" cy="2085976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>Bakiyeler itibar</w:t>
      </w:r>
      <w:r w:rsidR="00762673">
        <w:rPr>
          <w:rFonts w:ascii="Arial" w:hAnsi="Arial" w:cs="Arial"/>
          <w:sz w:val="22"/>
          <w:szCs w:val="22"/>
        </w:rPr>
        <w:t>ıyla</w:t>
      </w:r>
      <w:r w:rsidRPr="00B41D83">
        <w:rPr>
          <w:rFonts w:ascii="Arial" w:hAnsi="Arial" w:cs="Arial"/>
          <w:sz w:val="22"/>
          <w:szCs w:val="22"/>
        </w:rPr>
        <w:t xml:space="preserve">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B67BC0">
        <w:rPr>
          <w:rFonts w:ascii="Arial" w:hAnsi="Arial" w:cs="Arial"/>
          <w:sz w:val="22"/>
          <w:szCs w:val="22"/>
        </w:rPr>
        <w:t>6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B67BC0">
        <w:rPr>
          <w:rFonts w:ascii="Arial" w:hAnsi="Arial" w:cs="Arial"/>
          <w:sz w:val="22"/>
          <w:szCs w:val="22"/>
        </w:rPr>
        <w:t>11</w:t>
      </w:r>
      <w:r w:rsidR="00160EE6">
        <w:rPr>
          <w:rFonts w:ascii="Arial" w:hAnsi="Arial" w:cs="Arial"/>
          <w:sz w:val="22"/>
          <w:szCs w:val="22"/>
        </w:rPr>
        <w:t xml:space="preserve"> </w:t>
      </w:r>
      <w:r w:rsidR="00110C27" w:rsidRPr="00B41D83">
        <w:rPr>
          <w:rFonts w:ascii="Arial" w:hAnsi="Arial" w:cs="Arial"/>
          <w:sz w:val="22"/>
          <w:szCs w:val="22"/>
        </w:rPr>
        <w:t xml:space="preserve">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160EE6">
        <w:rPr>
          <w:rFonts w:ascii="Arial" w:hAnsi="Arial" w:cs="Arial"/>
          <w:sz w:val="22"/>
          <w:szCs w:val="22"/>
        </w:rPr>
        <w:t>1</w:t>
      </w:r>
      <w:r w:rsidR="00B67BC0">
        <w:rPr>
          <w:rFonts w:ascii="Arial" w:hAnsi="Arial" w:cs="Arial"/>
          <w:sz w:val="22"/>
          <w:szCs w:val="22"/>
        </w:rPr>
        <w:t>7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3B0202" w:rsidRDefault="003B020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EF0EA1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EF0EA1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B67BC0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 w:rsidR="00EF0EA1">
        <w:rPr>
          <w:rFonts w:ascii="Arial" w:hAnsi="Arial" w:cs="Arial"/>
          <w:sz w:val="22"/>
          <w:szCs w:val="22"/>
        </w:rPr>
        <w:t>75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EF0EA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3</w:t>
      </w:r>
      <w:r w:rsidR="003B1CB9" w:rsidRPr="00B41D83">
        <w:rPr>
          <w:rFonts w:ascii="Arial" w:hAnsi="Arial" w:cs="Arial"/>
          <w:sz w:val="22"/>
          <w:szCs w:val="22"/>
        </w:rPr>
        <w:t xml:space="preserve">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 w:rsidR="00EF0EA1">
        <w:rPr>
          <w:rFonts w:ascii="Arial" w:hAnsi="Arial" w:cs="Arial"/>
          <w:sz w:val="22"/>
          <w:szCs w:val="22"/>
        </w:rPr>
        <w:t xml:space="preserve">4 milyon </w:t>
      </w:r>
      <w:r w:rsidR="00A105FB">
        <w:rPr>
          <w:rFonts w:ascii="Arial" w:hAnsi="Arial" w:cs="Arial"/>
          <w:sz w:val="22"/>
          <w:szCs w:val="22"/>
        </w:rPr>
        <w:t>397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EF0EA1">
        <w:rPr>
          <w:rFonts w:ascii="Arial" w:hAnsi="Arial" w:cs="Arial"/>
          <w:sz w:val="22"/>
          <w:szCs w:val="22"/>
        </w:rPr>
        <w:t>bin</w:t>
      </w:r>
      <w:r w:rsidR="00B11F5B" w:rsidRPr="00B41D83">
        <w:rPr>
          <w:rFonts w:ascii="Arial" w:hAnsi="Arial" w:cs="Arial"/>
          <w:sz w:val="22"/>
          <w:szCs w:val="22"/>
        </w:rPr>
        <w:t xml:space="preserve">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 w:rsidR="00A105FB">
        <w:rPr>
          <w:rFonts w:ascii="Arial" w:hAnsi="Arial" w:cs="Arial"/>
          <w:sz w:val="22"/>
          <w:szCs w:val="22"/>
        </w:rPr>
        <w:t>91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 w:rsidR="00A105FB">
        <w:rPr>
          <w:rFonts w:ascii="Arial" w:hAnsi="Arial" w:cs="Arial"/>
          <w:sz w:val="22"/>
          <w:szCs w:val="22"/>
        </w:rPr>
        <w:t>7</w:t>
      </w:r>
      <w:r w:rsidR="00EF0EA1">
        <w:rPr>
          <w:rFonts w:ascii="Arial" w:hAnsi="Arial" w:cs="Arial"/>
          <w:sz w:val="22"/>
          <w:szCs w:val="22"/>
        </w:rPr>
        <w:t>3</w:t>
      </w:r>
      <w:r w:rsidR="00953426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A105FB">
        <w:rPr>
          <w:rFonts w:ascii="Arial" w:hAnsi="Arial" w:cs="Arial"/>
          <w:sz w:val="22"/>
          <w:szCs w:val="22"/>
        </w:rPr>
        <w:t>yaklaşık 27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A105FB">
        <w:rPr>
          <w:rFonts w:ascii="Arial" w:hAnsi="Arial" w:cs="Arial"/>
          <w:sz w:val="22"/>
          <w:szCs w:val="22"/>
        </w:rPr>
        <w:t>ve 20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 w:rsidR="00A105FB">
        <w:rPr>
          <w:rFonts w:ascii="Arial" w:hAnsi="Arial" w:cs="Arial"/>
          <w:sz w:val="22"/>
          <w:szCs w:val="22"/>
        </w:rPr>
        <w:t>3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160EE6" w:rsidRDefault="00A508C2" w:rsidP="001C7895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60EE6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  <w:r w:rsidR="00FD5241" w:rsidRPr="00160EE6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Pr="00D37BD5" w:rsidRDefault="00D37BD5" w:rsidP="003B1CB9">
      <w:pPr>
        <w:pStyle w:val="BodyText"/>
        <w:jc w:val="left"/>
        <w:rPr>
          <w:rFonts w:ascii="Arial" w:hAnsi="Arial" w:cs="Arial"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175903" wp14:editId="60549E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72074" cy="2066925"/>
                <wp:effectExtent l="0" t="0" r="10160" b="952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4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7" name="Chart 7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8" name="Chart 8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097B5572" id="Group 3" o:spid="_x0000_s1026" style="position:absolute;margin-left:0;margin-top:0;width:407.25pt;height:162.75pt;z-index:251659264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kMYrJAIAAF0GAAAOAAAAZHJzL2Uyb0RvYy54bWzslc2O&#10;2yAUhfeV+g6IfWObOP5TnFk0zahS1Y7U9gEoxj+qbRCQcebte42xGyWRZpT1bJwA4XLPOR/O9uHU&#10;teiZK92IPsfByseI90wUTV/l+Pevw6cEI21oX9BW9DzHL1zjh93HD9tBZpyIWrQFVwiK9DobZI5r&#10;Y2TmeZrVvKN6JSTvYbEUqqMGhqryCkUHqN61HvH9yBuEKqQSjGsNs/tpEe9s/bLkzPwoS80NanMM&#10;vRn7VPb5Z3x6uy3NKkVl3TDXBr2ji442PRy6lNpTQ9FRNVeluoYpoUVpVkx0nijLhnGrAdQE/oWa&#10;RyWO0mqpsqGSi01g7YVPd5dl35+fFGqKHEcY9bSDiOypaD1aM8gqg188KvlTPik3UU2jUe2pVN34&#10;CTrQyZr6spjKTwYxmNwEMfHjECMGa8SPopRsJttZDdlc7WP1l3kniaMkBIDsTpJs0jQdd3rzwd7Y&#10;39LONLBJHhQoWdp3AuNZ4OeaKoPiM4EHtai7KSkISRJNTc+ySLIO/XU6NxcHcWAtsz3NRRxYbwHj&#10;ddLZ2DbQwDL7zdHArlh4ayVXAC7DBUw3Ckyg7gU7drw3081TvKUGrr2uG6kxUtlIkfpaBC4jJ368&#10;CjazxQwX22VSbv1mdgDBBOeUXXKR3ZnBdvs3wf7qkRQH8JjvhMOcjCMWYo19ssbomlsS+mkCqDr6&#10;4iiMLbfvAZM7ArauwTvsnISbZPz/V9j9AwAA//8DAFBLAwQUAAYACAAAACEAaB305t0AAAAFAQAA&#10;DwAAAGRycy9kb3ducmV2LnhtbEyPQWvCQBCF70L/wzKF3nQTbYqk2YhI25MUqoXS25gdk2B2NmTX&#10;JP77rl7qZeDxHu99k61G04ieOldbVhDPIhDEhdU1lwq+9+/TJQjnkTU2lknBhRys8odJhqm2A39R&#10;v/OlCCXsUlRQed+mUrqiIoNuZlvi4B1tZ9AH2ZVSdziEctPIeRS9SIM1h4UKW9pUVJx2Z6PgY8Bh&#10;vYjf+u3puLn87pPPn21MSj09jutXEJ5G/x+GK35AhzwwHeyZtRONgvCIv93gLePnBMRBwWKeJCDz&#10;TN7T538AAAD//wMAUEsDBBQABgAIAAAAIQB633SzwgAAAKcBAAAZAAAAZHJzL19yZWxzL2Uyb0Rv&#10;Yy54bWwucmVsc7yQywrCQAxF94L/MGRvp+1CRJx2I0K3oh8QpukDOw8mo+jfOyiCguDO5U3IuYds&#10;6quZxIUCj84qKLIcBFnt2tH2Co6H3WIFgiPaFidnScGNGOpqPtvsacKYjngYPYtEsaxgiNGvpWQ9&#10;kEHOnCebNp0LBmOKoZce9Ql7kmWeL2V4Z0D1wRRNqyA0bQnicPOp+Tfbdd2oaev02ZCNXyqkHjDE&#10;BMTQU1TwiPycllkyBfldoviTRPGSkB/vre4AAAD//wMAUEsDBBQABgAIAAAAIQB4QeWgYwEAAKYC&#10;AAAgAAAAZHJzL2NoYXJ0cy9fcmVscy9jaGFydDIueG1sLnJlbHOsklFLwzAQx98Fv0MJ+Lim7UBF&#10;1o2im4xNJ3U+DPqSpdc2Nk1Kcsr2rfwAvrkPZoZMnGz44ttd7vL/3f2T3mDVSO8VjBVaxST0A+KB&#10;4joXqozJ03zUuSSeRaZyJrWCmKzBkkH/9KSXgmToLtlKtNZzKsrGpEJsryi1vIKGWV+3oFyl0KZh&#10;6FJT0pbxmpVAoyA4p+anBunvaXrjPCZmnHeJN1+3jvy3ti4KweFG85cGFB5AUC1htnwGjk6UmRIw&#10;JoWQ4EamWYbLZa7tmtlMWNQGWb0N3JIWRZ11O8liOp6cRUGaPMzSaZJmF77L5h/vNaDgwsUTA7mT&#10;MyILup0oyg7WOovh/ebNdd+myWjzNpkOU38l7Wo30p3O3bbDFYJRTBJ62JboiC2N4EZbXaDPdUO/&#10;HHFOhOG+2ZRXzOC1lto84lrCDh4Tvj2zke/e7Rg7/A/2L6zdTvFNpXu/q/8JAAD//wMAUEsDBBQA&#10;BgAIAAAAIQDpkEMAYwEAAKYCAAAgAAAAZHJzL2NoYXJ0cy9fcmVscy9jaGFydDEueG1sLnJlbHOs&#10;klFLwzAQx98Fv0MJ+Nim7UBF1o2hm4xNJ3U+DPqSpdc1Nk1Kckr3rfwAvrkPZoZMnGz44ttd7vL/&#10;3f2Tbr+tpfcKxgqtEhIFIfFAcZ0LtUrI03zkXxLPIlM5k1pBQtZgSb93etJNQTJ0l2wpGus5FWUT&#10;UiI2V5RaXkLNbKAbUK5SaFMzdKlZ0Ybxiq2AxmF4Ts1PDdLb0/TGeULMOO8Qb75uHPlvbV0UgsON&#10;5i81KDyAoFrCbPkMHJ0oMyvAhBRCghuZZhkul7m2a2YzYVEbZNU2cEtaFFXW8QeL6XhyFofp4GGW&#10;TgdpdhG4bP7xXgEKLlw8MZA7OSOysOPHcXaw5i+G95s3132bDkabt8l0mAattO1upDudu22HLYJR&#10;TBJ62Jb4iC214EZbXWDAdU2/HHFORNG+2ZSXzOC1lto84lrCDp4Qvj2zUeDe7Rg7+g/2L6zdTvFN&#10;pXu/q/cJAAD//wMAUEsDBBQABgAIAAAAIQB/DvemowAAAN4AAAAWAAAAZHJzL2NoYXJ0cy9jb2xv&#10;cnMyLnhtbGTPMQ7CMAwF0KtUPkDdIsRQNV1Y2TiB5SZNpCSuEovC7akqGBDrH97/f+Q6sEQpd31F&#10;2zxTzHtQDXjVdUCs7G2i2qbARao4bVkSinOBLc6FtpAXPHX9CdlT0UOBD0N/iqw27xVOSiKtrZTl&#10;a6S4K90FE4UMTbLqDWxBfci3kC0VaMJsoD/DNNJwjLLXWJoHRQPEbLP2gNOIP3emNwAAAP//AwBQ&#10;SwMEFAAGAAgAAAAhANQ2mkz8BgAAKBgAABUAAABkcnMvY2hhcnRzL2NoYXJ0Mi54bWzsWFlz2zYQ&#10;fu9M/wPL9KktJd6HJnLGouypJ07jsZy8QyQkcQyCDAjaVjL9LX3sa/sbmv6vLg5KlK/YOWbSaZ2J&#10;DQKLxV7Y/RZPn12VxLjArCkqOjadgW0amGZVXtDl2Hx1dmjFptFwRHNEKorH5ho35rO9b795mo2y&#10;FWJ8VqMMG8CENqNsbK44r0fDYZOtcImaQVVjCmuLipWIwydbDnOGLoF5SYaubYdDycTUDNBHMChR&#10;Qbv97CH7q8WiyPC0ytoSU66kYJggDhZoVkXddNwyJ2TuDY5lkbGqqRZ8kFXlUDHrlAJmTjDcaLUH&#10;RsoRx05i+8YFImPTNodikiC6VBOYWq9mapJVLc1xnlaMgjt69GU22iccMwqs0opykFrbq3yQxUvE&#10;ztvaAnFrUHJekIKvpdrm3lPgna4qsIdxit+0BcPN2Mwcf2sC/7EGsKNhPHS1X0FZxx81fE2wUsix&#10;PaHtcHOuFOEQETJH2bmwTY94Q7pdFxuvG0PskmEkBqjl1VnBCZ5igjnO9bHKxDWp+D7DSBAStK5a&#10;LkYloi0ix5tvtXKG2BJztb2g4BLF4upFlWtdcL7EanJ92+SV2usO/Ci0Q8eJId4j37WDA8vV2xSF&#10;P4hhuffjbiguFYUNFEnoh0nguG4Q+4nnKw6rbh1WvDiOoyTyIs/xHHnC8LpuMLFVuy5wKm6wMMEF&#10;Yuu0IlUXd45i32AmVotc66LDt2I5ZvpkRZifSDbXCeftfE6wN92hbeoT4IpGTUWK/LAgRH6IhIFT&#10;otmiLIModyBAgW6FOouHgW1LGYYw3e2AaLrGjFDjEnJZYge24nDPSQROEQG5wwK+CBVn48UCZ/y4&#10;4YIEYlOKno3wlZgTpoGR0bJibL5LPS+209S3gml4YPl2klqTA8+1DiJ36oJbAi9Nf93eq/Cx98rx&#10;e3cqHLW0eNPiIx3f78Au4sexpgeTyPIn04k1Sd3YipJw6kztwyjeh9OVFiCz1KbTAhTT/rvuRh0G&#10;n+zGGwYW9v2v+sj7vD7SueSTfSTCnRdQWmSh+v+mMQ65AyDAHTct+EQvHs9JIxJIDoPbcuw2T18v&#10;TzoXW+4gCqFwQElwwsj1obJuysZaOdEfOKEfw38/jIMYikZXWO4vDM2qujzGS0zz51hz0olfrLxG&#10;gBcFlulqBMyliP+Cyq7E69oB8zPMtvM9HieYifx+g89E1otZ8Vaz0lu6RLWTbg/CwIv2IeGFh6nl&#10;L8LASqaJY0Wu66d+4gfxZNJLt8Gj020fwgS9snndHZsS7bqO7bge2Dvy4yRxImWHTYl27dj14b8L&#10;fkj8MEx0Ot5lOMyc7WngJ5msdxT/V9cZHe0dBqCVAABQHrqCu5n4UAnmVwpFzKt8fcIMVnGBro2m&#10;zg4L1vBj1PATxKChcEzR3vCX8GtBKsAFmBAA+QXAfDEPcVGxt6ZxyVA9Nps3LWLYNBDNYBqgMGfd&#10;R8rhW8Y8yNrwmcC0UvBaSK8xTY4XpyBN83ZsJoBUjLkUCuABjNuxSaGFEu0UK86hlaLVTI5M4xzA&#10;PTAHgAhbUINJIVqtD4MXfnULeAHxAOZTg69rvIDmbGzuswIR06gRrRrB17Undmj78Lf7B4C/Lni2&#10;OkRlQdZjE/ClISB1g6VZpZ4Y9Vj+WFILIxHBaJQ1vYXPcRb4XhlS4jJtWkhHwqHCvKJ9GpucWWen&#10;8g6B+SWgUTEBMO1rS2BKIICx7Bg8q3s7nT8J3syLOtDdDIWPksANwBMiNBfgVRiWdQ5hSpcQlmQJ&#10;QSMiVDjhPjQtwkResbaERkVlXa+D0hAubflysVDTD6z7slcF599/SyF9XdPuq8nkQnadXNVfiedh&#10;KOqxLMwZkgAfLuspXgjPLPZmK4y58933P3+fjOCX4wgecg2oUgQNiaCreQqdvC5usoUVcwb0RupK&#10;Q7e1d4b+/u39n9wQDC6kKLU8raMT/hIrzyva8ruIXE30/o8VL9bor9+NH3ZJgflWMPUhdYGh1g4K&#10;uTiItuUNJY+Ekkd9JYFqo6R60UmhF9578tOTJ7a0hHzlkXMPNINjD6LIjaLAswN3V/atzTpbuHEw&#10;CB0viOwkjiJodry7dnSG8b144NphFAP3MLy5A+yw1Ul9dPbRhrk1Xr+GAhx+JPzUHf0myh+YKnvY&#10;7QtjvbtTJThoI/ZC1PgZgXer/e4lTYoINP1njS6ZblDFI2GGYNd7MhLj10XzkhINi3UKz4umnkBR&#10;Om/2dW5folqhP6HOVKQUgT9eoP47CjDfvFp1gt6XxefL24u9bKS/XKFwbi8UcTcNJeCep5iHFYps&#10;tAvnJKz4AMh6SNFTFWrHqF8GG311EAgSl3gwJlPEkcHgBW9ssqPckxVDPJG+qsXDtKr53c3p75E1&#10;SYanfODf+wcAAP//AwBQSwMEFAAGAAgAAAAhAH8O96ajAAAA3gAAABYAAABkcnMvY2hhcnRzL2Nv&#10;bG9yczEueG1sZM8xDsIwDAXQq1Q+QN0ixFA1XVjZOIHlJk2kJK4Si8LtqSoYEOsf3v9/5DqwRCl3&#10;fUXbPFPMe1ANeNV1QKzsbaLapsBFqjhtWRKKc4EtzoW2kBc8df0J2VPRQ4EPQ3+KrDbvFU5KIq2t&#10;lOVrpLgr3QUThQxNsuoNbEF9yLeQLRVowmygP8M00nCMstdYmgdFA8Rss/aA04g/d6Y3AAAA//8D&#10;AFBLAwQUAAYACAAAACEAkOjPp9wEAADRJgAAFQAAAGRycy9jaGFydHMvc3R5bGUxLnhtbOxa4XLa&#10;OBB+FY8eIAZSEsKEzOSS6czNkGum7Ux/C1sGXWXJJ4kS8vRdybawbANJCRTS+xevia399tO3q11f&#10;R2oYzbDUX/SSkeApZRwMaoRmWmfDMFTRjKRYnaU0kkKJRJ9FIg1FktCIhLHEC8qnYa/T7YWrp6Di&#10;MbjxFJERDq9IhEyxVmdCTstnpAye0rkIU0w5Cmg8Qr1+F91cw/LwE1VfqWbEXjH+mSTwg6cR6qDQ&#10;mhLKWMNIkoREumFOBF8ZU8qFhJfgoXWT3DEZ/MBshPSTeTcesnn6IOLcdtHvdOwbrflTkuTm89Ic&#10;Vp5ycx3Cwot32TXGJPn8KAP1PEJd85zgO5Ec/ganjRfm576fEdZkKuTyFrw/ZcdV9igtlDxYjNBV&#10;v9dHQYSzEUoY1vBnmkGsFZ+iALMpIBLpIiKC0fgjRPaF4emWcfDDMyjNtfBAsKovkGLOYxMH+G+e&#10;hyNfOMSlErqr9sg1YmX3wq0kOEhFDJsJMyYW/wjjzqcfREoaE3DX2saUk9KW8/1gDC94V6VpGS0P&#10;nNrmmEy7lrI1CNl7DrBRSBPPfC9jjcd4QoCaQI+DhasuSJcltX3G90pzjfHrBWkNq2PPTXd1Z4g7&#10;14fzPf7+1mL8EpYzvYblVo+q2lHbHm3LdTHxQ+UiWAuVt7NeL0kQ6YmIl5BupNAmTQYqiz5SqfQY&#10;K/2IJSTmLgpAiLRRngR0CHSX0QwFMyGf6zbzO8jkcAcFC2mkW/03x5KggP3NQdzOL/qXFyjQ9qI7&#10;6A0GKJDVO5PqHcwjeFSu80F+cafhOo+xym7nGnRSF9qU+5ELcisDjfFRUP4yPhYVhTK1jkv2GN5Y&#10;5uCilLDk3rmC2KCvuVh2rzr9Tl5/bCBUKxMbrDAVhA+Guzq/f9FmPTJwev0PkG237bZfAKeAw8Fj&#10;MnATIGtZTxSr+vY3+6k+t3KnN+hflqWU5PFWoLIZEL4tb68tfTxGOZAcbA9YQg37VsAdGflsnbqN&#10;e2sg3bw1K7DVoBzjJeTVQC3TiYAzSERlxEBkFX0mI9Q3oatu8W9UkkTi9ASpWzkEHIC5PlAG8694&#10;ctqHybJ+4fZEAcQwp5b3e7zyYxaLBf8LtwhPvkEOLsebjkpttaAr+vxa0JWIm2rB/cf5lV0Or1LF&#10;w825pBK4WIrMpZSDnaC2JtWKMr1xe8K1ifyoO7g3R30zrlUsobkg5DFtj30Lk0PQB9bhvQOwHpZw&#10;ShLHIzqe8hv9d4bW6mO1+Cn0nhgUvA/43yNyZ98k2VNz0FTITUCdxXSXm/Xxb0pT+4a47Dr52/Cq&#10;NO+wDZt4zuhY/FHZw6DYMntw5h3Q9bEkOCbyj4LWJQqfuC6t7AAtq6FJpoTHhxUEezTYxxBrTc+Y&#10;rXzMmLAt85MagRhFLxduI1VenN+frB9Fv0sRSYk69XHi9mFczc/88n9JG6G3kLQamvo9jeVNuzmY&#10;2HlJZThvZifWNsGKmMq5+O7AKMXKfS1B2s3dprxbyxE3kvMhRD6T36kdl8GA6R6rWf5dhFqqe6GL&#10;hrM/U7fQeYA5+I5grOq2iV8QuDqhVhAADaoD9O361OLrPDumE/umhlbruAWA2nP38ZUxeU1XaoU9&#10;fPkzJ+8/P/puLmCa39Ss33RGdU0Mw6jtXY187UZNVt+e3fwEAAD//wMAUEsDBBQABgAIAAAAIQAz&#10;X9wMwAYAALgXAAAVAAAAZHJzL2NoYXJ0cy9jaGFydDEueG1s7FjbbttGEH0v0H9gmTy1pcS7RCFy&#10;IFESasRpDMvJ+4pcSYSXlyyXtpUg39LHvrbf0PS/OrNcSpRvsXMBjLYyYCyHs8O57cyZffb8MmXa&#10;OeVlkmdD3eqYukazKI+TbDXUX5/OjL6ulYJkMWF5Rof6hpb684Pvv3sWDaI14WJekIhqICQrB9FQ&#10;XwtRDLrdMlrTlJSdvKAZvFvmPCUCHvmqG3NyAcJT1rVN0+9KIboSQD5DQEqSrNnP77M/Xy6TiE7y&#10;qEppJmotOGVEgAfKdVKUjbTI8rl9TWKaRDwv86XoRHnarYU1RoEwy+turToAJ8VEUCswXe2csKFu&#10;6l0kMpKtagLNjNfzmsjzKotpHOY8g3C0+NNoMGKC8gxEhXkmQGvlr/ReHk8JP6sKA9QtwMhFwhKx&#10;kWbrB89AdrjOwR/aCX1bJZyWQz2y3J0L3Ic6wOx1+11bxRWMtdxBKTaM1gZZpoPWdrfflSrMCGML&#10;Ep2hb1rMW9bde9x41Rm4S6YRLkgl8tNEMDqhjAoaq8/WLi5YLkacEmRkZJNXAlcpySrCjrbP9ZtT&#10;wldU1NuTDEJSi7h8mcfKFhqvaE3c3ES8rPfaHbfnm75l9SHfe65telPDVtsaDrPvtH/2luOi5jA7&#10;fc/2Hde0XSvwbM9ye7WEdfM+6AWW3/rVrrtqW7dtdpHQEE8wuuCc8E2Ys7zJO6sWX1KOb5NY2aLS&#10;N+cx5erLNWN8LMVcZVxUiwWjzmSPtyyOQSoZlDlL4lnCmHzAgkFDpsSSKIIstyBBgW9NGo/7nmlK&#10;HbpAbnZANl0RxjLtAmpZYHpmLeGOLzH4Cibkngh4Yhl+my6XNBJHpUAWyE2pejSgl0hD18BKq3gy&#10;1N+HjtM3w9A1vIk/NVwzCI3x1LGNac+e2EHP8Zww/LA7V/5Dz5Xlts6UP6iy5G1FD1V+vwe/4M8y&#10;ptbMMlxnNDWCqWsaYzscT/0JLEezD9JQqbO0prECDFPxuxpGlQZfHMZrDkb//ldj5HzdGKla8sUx&#10;wnQXCbQW2aj+P2lcQO0ACHDLSfO+MIpHC1ZiAYlhcVONvb09qVps9DpBz+ubbs/te67r+EF/2zY2&#10;dRCdTt8K3Nav4YATv9/09hpDuc4vjuiKZvELqiSpwo9v3hDAi4hlmh4BtJCIX0natHjVO4A+p3xH&#10;b8k4phzr+zU5Y9kv5sk7JUptaQrVXrmd+p7TG1nGxJ+Fhrv0PSOYBJbRs203dAPX64/HrXLrPbjc&#10;tiGMp9BC3QVAnX9T6VcJ2LTlLMeeDJY2PXBL+FRXFJd1Y1/k8eaYazwXCHi1sohmCS/FESnFMeGA&#10;8S0dJw7xCv4tWQ6tmjIGuDsB5I10CFXO3+naBSfFUC/fVoRTXSNZBGRAp4I3D6GAZ5mGoGsp5ggz&#10;peIFaq9gRkyXJ6BN+W6oBwAetIVUCjo2rKuhnsFUgxMOT85gusnyuVzp2hngbRAOmA22kJKyBKef&#10;T+MJcXkDngD1AHlnmtgUdAnz0lAf8YQwXStIlpco1zbHpm8CwNv+AQYvEhGtZyRN2GaoO0BAlFtS&#10;6VZpJyUtkT+lmUEJHj4yiMrWi6/xLYh97UgJlZRroUJgQNG9ONEMdcGN0xMFpyAGUFXqnADk9Nhq&#10;Sq0QIEt+BJFV45YqaYxu6XjQm5NRQxbE3xAJTM0lRBWWaRFDmmYrSEu2gqTBDMUg3AVwMU3kEatS&#10;mB1UuW7QLaRLlb5aLmvyPVuxHB8h+HefUiz0+9Y9xuIKWjZqwRJbpOyVEZGFFw7rCV1iZJYH8zWl&#10;wvrh6S9PvQH862HOyVfAFBIYEZCtECHM1qrdyMkIaRpMK/WJhvnn4JT8/dvHP4WGAs5l6hbyYw0f&#10;hgvfvMizStzGZCumj3+sRbIhf/2u/bjPCsJ3itUP0hRYKuOgteKHsiq9ZuMh2njYshGYtjbWVywh&#10;DKcHT35+8sSUjpDXLpJ2Ty84HduHGdWxbd/a13znscYTtt8BzGE6lu30fRw+7Nt2NG4JzA4gFse3&#10;ggCAC44r+zvACzuT6ofGO8otTVbsIYHHMHj5nwkH1YS9TfF71skWlvrG2Ov2OgkB2qq9xAY/Z3CP&#10;NGputqSKwNO+Zmgq6RZSPBBjoLjWFQ6u3yTlq4wpmKrqd5yUxRg60lk5UoV9RYodKp1gPUHw8ZK0&#10;7zVA+PYWqVH0rhK+WN3c6eVg++26hHVzl+g3ZKj/d1yN3K9LNH2bDGosJzHFJxDWfTpe3Z72nPpt&#10;gNGjwz9QuPACl02IIBqHG7Whzg9jR/YLvLJ8XeBFcd3wm5PT3iM7kkxPeeF+8A8AAAD//wMAUEsD&#10;BBQABgAIAAAAIQCQ6M+n3AQAANEmAAAVAAAAZHJzL2NoYXJ0cy9zdHlsZTIueG1s7Frhcto4EH4V&#10;jx4gBlISwoTM5JLpzM2Qa6btTH8LWwZdZckniRLy9F3JtrBsA0kJFNL7F6+Jrf3207erXV9HahjN&#10;sNRf9JKR4CllHAxqhGZaZ8MwVNGMpFidpTSSQolEn0UiDUWS0IiEscQLyqdhr9PthaunoOIxuPEU&#10;kREOr0iETLFWZ0JOy2ekDJ7SuQhTTDkKaDxCvX4X3VzD8vATVV+pZsReMf6ZJPCDpxHqoNCaEspY&#10;w0iShES6YU4EXxlTyoWEl+ChdZPcMRn8wGyE9JN5Nx6yefog4tx20e907But+VOS5Obz0hxWnnJz&#10;HcLCi3fZNcYk+fwoA/U8Ql3znOA7kRz+BqeNF+bnvp8R1mQq5PIWvD9lx1X2KC2UPFiM0FW/10dB&#10;hLMRShjW8GeaQawVn6IAsykgEukiIoLR+CNE9oXh6ZZx8MMzKM218ECwqi+QYs5jEwf4b56HI184&#10;xKUSuqv2yDViZffCrSQ4SEUMmwkzJhb/COPOpx9EShoTcNfaxpST0pbz/WAML3hXpWkZLQ+c2uaY&#10;TLuWsjUI2XsOsFFIE898L2ONx3hCgJpAj4OFqy5IlyW1fcb3SnON8esFaQ2rY89Nd3VniDvXh/M9&#10;/v7WYvwSljO9huVWj6raUdsebct1MfFD5SJYC5W3s14vSRDpiYiXkG6k0CZNBiqLPlKp9Bgr/Ygl&#10;JOYuCkCItFGeBHQIdJfRDAUzIZ/rNvM7yORwBwULaaRb/TfHkqCA/c1B3M4v+pcXKND2ojvoDQYo&#10;kNU7k+odzCN4VK7zQX5xp+E6j7HKbucadFIX2pT7kQtyKwON8VFQ/jI+FhWFMrWOS/YY3ljm4KKU&#10;sOTeuYLYoK+5WHavOv1OXn9sIFQrExusMBWED4a7Or9/0WY9MnB6/Q+Qbbfttl8Ap4DDwWMycBMg&#10;a1lPFKv69jf7qT63cqc36F+WpZTk8VagshkQvi1vry19PEY5kBxsD1hCDftWwB0Z+Wyduo17ayDd&#10;vDUrsNWgHOMl5NVALdOJgDNIRGXEQGQVfSYj1Dehq27xb1SSROL0BKlbOQQcgLk+UAbzr3hy2ofJ&#10;sn7h9kQBxDCnlvd7vPJjFosF/wu3CE++QQ4ux5uOSm21oCv6/FrQlYibasH9x/mVXQ6vUsXDzbmk&#10;ErhYisyllIOdoLYm1YoyvXF7wrWJ/Kg7uDdHfTOuVSyhuSDkMW2PfQuTQ9AH1uG9A7AelnBKEscj&#10;Op7yG/13htbqY7X4KfSeGBS8D/jfI3Jn3yTZU3PQVMhNQJ3FdJeb9fFvSlP7hrjsOvnb8Ko077AN&#10;m3jO6Fj8UdnDoNgye3DmHdD1sSQ4JvKPgtYlCp+4Lq3sAC2roUmmhMeHFQR7NNjHEGtNz5itfMyY&#10;sC3zkxqBGEUvF24jVV6c35+sH0W/SxFJiTr1ceL2YVzNz/zyf0kbobeQtBqa+j2N5U27OZjYeUll&#10;OG9mJ9Y2wYqYyrn47sAoxcp9LUHazd2mvFvLETeS8yFEPpPfqR2XwYDpHqtZ/l2EWqp7oYuGsz9T&#10;t9B5gDn4jmCs6raJXxC4OqFWEAANqgP07frU4us8O6YT+6aGVuu4BYDac/fxlTF5TVdqhT18+TMn&#10;7z8/+m4uYJrf1KzfdEZ1TQzDqO1djXztRk1W357d/AQAAP//AwBQSwECLQAUAAYACAAAACEA4/w4&#10;xkwBAAB3BAAAEwAAAAAAAAAAAAAAAAAAAAAAW0NvbnRlbnRfVHlwZXNdLnhtbFBLAQItABQABgAI&#10;AAAAIQA4/SH/1gAAAJQBAAALAAAAAAAAAAAAAAAAAH0BAABfcmVscy8ucmVsc1BLAQItABQABgAI&#10;AAAAIQDJkMYrJAIAAF0GAAAOAAAAAAAAAAAAAAAAAHwCAABkcnMvZTJvRG9jLnhtbFBLAQItABQA&#10;BgAIAAAAIQBoHfTm3QAAAAUBAAAPAAAAAAAAAAAAAAAAAMwEAABkcnMvZG93bnJldi54bWxQSwEC&#10;LQAUAAYACAAAACEAet90s8IAAACnAQAAGQAAAAAAAAAAAAAAAADWBQAAZHJzL19yZWxzL2Uyb0Rv&#10;Yy54bWwucmVsc1BLAQItABQABgAIAAAAIQB4QeWgYwEAAKYCAAAgAAAAAAAAAAAAAAAAAM8GAABk&#10;cnMvY2hhcnRzL19yZWxzL2NoYXJ0Mi54bWwucmVsc1BLAQItABQABgAIAAAAIQDpkEMAYwEAAKYC&#10;AAAgAAAAAAAAAAAAAAAAAHAIAABkcnMvY2hhcnRzL19yZWxzL2NoYXJ0MS54bWwucmVsc1BLAQIt&#10;ABQABgAIAAAAIQB/DvemowAAAN4AAAAWAAAAAAAAAAAAAAAAABEKAABkcnMvY2hhcnRzL2NvbG9y&#10;czIueG1sUEsBAi0AFAAGAAgAAAAhANQ2mkz8BgAAKBgAABUAAAAAAAAAAAAAAAAA6AoAAGRycy9j&#10;aGFydHMvY2hhcnQyLnhtbFBLAQItABQABgAIAAAAIQB/DvemowAAAN4AAAAWAAAAAAAAAAAAAAAA&#10;ABcSAABkcnMvY2hhcnRzL2NvbG9yczEueG1sUEsBAi0AFAAGAAgAAAAhAJDoz6fcBAAA0SYAABUA&#10;AAAAAAAAAAAAAAAA7hIAAGRycy9jaGFydHMvc3R5bGUxLnhtbFBLAQItABQABgAIAAAAIQAzX9wM&#10;wAYAALgXAAAVAAAAAAAAAAAAAAAAAP0XAABkcnMvY2hhcnRzL2NoYXJ0MS54bWxQSwECLQAUAAYA&#10;CAAAACEAkOjPp9wEAADRJgAAFQAAAAAAAAAAAAAAAADwHgAAZHJzL2NoYXJ0cy9zdHlsZTIueG1s&#10;UEsFBgAAAAANAA0AagMAAP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7" o:spid="_x0000_s1027" type="#_x0000_t75" style="position:absolute;left:-62;top:67;width:28485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SRwgAAANoAAAAPAAAAZHJzL2Rvd25yZXYueG1sRI9Ba8JA&#10;FITvQv/D8gredKNQDamrFKHYoxqR9vbIvmbTZt+G7JrEf+8KgsdhZr5hVpvB1qKj1leOFcymCQji&#10;wumKSwWn/HOSgvABWWPtmBRcycNm/TJaYaZdzwfqjqEUEcI+QwUmhCaT0heGLPqpa4ij9+taiyHK&#10;tpS6xT7CbS3nSbKQFiuOCwYb2hoq/o8XqyCv3/JhZxzNuu9tSn8/+8s57ZUavw4f7yACDeEZfrS/&#10;tIIl3K/EGyDXNwAAAP//AwBQSwECLQAUAAYACAAAACEA2+H2y+4AAACFAQAAEwAAAAAAAAAAAAAA&#10;AAAAAAAAW0NvbnRlbnRfVHlwZXNdLnhtbFBLAQItABQABgAIAAAAIQBa9CxbvwAAABUBAAALAAAA&#10;AAAAAAAAAAAAAB8BAABfcmVscy8ucmVsc1BLAQItABQABgAIAAAAIQAEevSRwgAAANoAAAAPAAAA&#10;AAAAAAAAAAAAAAcCAABkcnMvZG93bnJldi54bWxQSwUGAAAAAAMAAwC3AAAA9gIAAAAA&#10;">
                  <v:imagedata r:id="rId10" o:title=""/>
                  <o:lock v:ext="edit" aspectratio="f"/>
                </v:shape>
                <v:shape id="Chart 8" o:spid="_x0000_s1028" type="#_x0000_t75" style="position:absolute;left:28609;top:-67;width:24194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zYUvwAAANoAAAAPAAAAZHJzL2Rvd25yZXYueG1sRE/LisIw&#10;FN0L/kO4A+40HRF1OkZRUXDjwgcMs7vT3GmKzU1Jota/NwvB5eG8Z4vW1uJGPlSOFXwOMhDEhdMV&#10;lwrOp21/CiJEZI21Y1LwoACLebczw1y7Ox/odoylSCEcclRgYmxyKUNhyGIYuIY4cf/OW4wJ+lJq&#10;j/cUbms5zLKxtFhxajDY0NpQcTlerYLNV8PD0U+xcu5yNet9/ffLE69U76NdfoOI1Ma3+OXeaQVp&#10;a7qSboCcPwEAAP//AwBQSwECLQAUAAYACAAAACEA2+H2y+4AAACFAQAAEwAAAAAAAAAAAAAAAAAA&#10;AAAAW0NvbnRlbnRfVHlwZXNdLnhtbFBLAQItABQABgAIAAAAIQBa9CxbvwAAABUBAAALAAAAAAAA&#10;AAAAAAAAAB8BAABfcmVscy8ucmVsc1BLAQItABQABgAIAAAAIQCW/zYUvwAAANoAAAAPAAAAAAAA&#10;AAAAAAAAAAcCAABkcnMvZG93bnJldi54bWxQSwUGAAAAAAMAAwC3AAAA8wIAAAAA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</w:t>
      </w:r>
      <w:r w:rsidR="00486816">
        <w:rPr>
          <w:rFonts w:ascii="Arial" w:hAnsi="Arial" w:cs="Arial"/>
          <w:sz w:val="22"/>
          <w:szCs w:val="22"/>
        </w:rPr>
        <w:t xml:space="preserve">taşıt kredileri yüzde </w:t>
      </w:r>
      <w:r w:rsidR="00D37BD5">
        <w:rPr>
          <w:rFonts w:ascii="Arial" w:hAnsi="Arial" w:cs="Arial"/>
          <w:sz w:val="22"/>
          <w:szCs w:val="22"/>
        </w:rPr>
        <w:t>2</w:t>
      </w:r>
      <w:r w:rsidR="00486816">
        <w:rPr>
          <w:rFonts w:ascii="Arial" w:hAnsi="Arial" w:cs="Arial"/>
          <w:sz w:val="22"/>
          <w:szCs w:val="22"/>
        </w:rPr>
        <w:t xml:space="preserve">,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B80CAF">
        <w:rPr>
          <w:rFonts w:ascii="Arial" w:hAnsi="Arial" w:cs="Arial"/>
          <w:sz w:val="22"/>
          <w:szCs w:val="22"/>
        </w:rPr>
        <w:t>1</w:t>
      </w:r>
      <w:r w:rsidR="00D37BD5">
        <w:rPr>
          <w:rFonts w:ascii="Arial" w:hAnsi="Arial" w:cs="Arial"/>
          <w:sz w:val="22"/>
          <w:szCs w:val="22"/>
        </w:rPr>
        <w:t>28</w:t>
      </w:r>
      <w:r w:rsidR="00486816">
        <w:rPr>
          <w:rFonts w:ascii="Arial" w:hAnsi="Arial" w:cs="Arial"/>
          <w:sz w:val="22"/>
          <w:szCs w:val="22"/>
        </w:rPr>
        <w:t xml:space="preserve"> oranında</w:t>
      </w:r>
      <w:r w:rsidR="000C5067">
        <w:rPr>
          <w:rFonts w:ascii="Arial" w:hAnsi="Arial" w:cs="Arial"/>
          <w:sz w:val="22"/>
          <w:szCs w:val="22"/>
        </w:rPr>
        <w:t xml:space="preserve">, </w:t>
      </w:r>
      <w:r w:rsidR="00486816" w:rsidRPr="00B41D83">
        <w:rPr>
          <w:rFonts w:ascii="Arial" w:hAnsi="Arial" w:cs="Arial"/>
          <w:sz w:val="22"/>
          <w:szCs w:val="22"/>
        </w:rPr>
        <w:t xml:space="preserve">ihtiyaç kredileri </w:t>
      </w:r>
      <w:r w:rsidR="00486816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D37BD5">
        <w:rPr>
          <w:rFonts w:ascii="Arial" w:hAnsi="Arial" w:cs="Arial"/>
          <w:sz w:val="22"/>
          <w:szCs w:val="22"/>
        </w:rPr>
        <w:t>37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D37BD5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Pr="00D37BD5">
        <w:rPr>
          <w:rFonts w:ascii="Arial" w:hAnsi="Arial" w:cs="Arial"/>
          <w:sz w:val="22"/>
          <w:szCs w:val="22"/>
        </w:rPr>
        <w:t xml:space="preserve"> dönemi içinde kullandırılan tüketici kredileri ve konut kredilerinde yüzde 26 pay ile en fazla tercih edilen vade dilimi 19-24 aydır. Bunu yüzde 21 pay ile 25-36 ay ve yüzde 16 pay ile 73 ay ve üzeri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B81CE7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4A5057" w:rsidRPr="004A5057">
        <w:rPr>
          <w:rFonts w:ascii="Arial" w:hAnsi="Arial" w:cs="Arial"/>
          <w:sz w:val="22"/>
          <w:szCs w:val="22"/>
        </w:rPr>
        <w:t xml:space="preserve"> </w:t>
      </w:r>
      <w:r w:rsidR="007C68B8">
        <w:rPr>
          <w:rFonts w:ascii="Arial" w:hAnsi="Arial" w:cs="Arial"/>
          <w:sz w:val="22"/>
          <w:szCs w:val="22"/>
        </w:rPr>
        <w:t>dönemi itibar</w:t>
      </w:r>
      <w:r>
        <w:rPr>
          <w:rFonts w:ascii="Arial" w:hAnsi="Arial" w:cs="Arial"/>
          <w:sz w:val="22"/>
          <w:szCs w:val="22"/>
        </w:rPr>
        <w:t>ıyla yaklaşık 21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FB4474">
        <w:rPr>
          <w:rFonts w:ascii="Arial" w:hAnsi="Arial" w:cs="Arial"/>
          <w:sz w:val="22"/>
          <w:szCs w:val="22"/>
        </w:rPr>
        <w:t>2</w:t>
      </w:r>
      <w:r w:rsidR="005E17F8" w:rsidRPr="00B41D83">
        <w:rPr>
          <w:rFonts w:ascii="Arial" w:hAnsi="Arial" w:cs="Arial"/>
          <w:sz w:val="22"/>
          <w:szCs w:val="22"/>
        </w:rPr>
        <w:t>,</w:t>
      </w:r>
      <w:r w:rsidR="00E95339">
        <w:rPr>
          <w:rFonts w:ascii="Arial" w:hAnsi="Arial" w:cs="Arial"/>
          <w:sz w:val="22"/>
          <w:szCs w:val="22"/>
        </w:rPr>
        <w:t xml:space="preserve">8’ini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50D3" w:rsidRDefault="004250D3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B80CAF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49603334" wp14:editId="02829936">
            <wp:extent cx="5086350" cy="2157095"/>
            <wp:effectExtent l="0" t="0" r="0" b="1460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A84FE4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Ocak-Mart 2022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</w:t>
      </w:r>
      <w:r w:rsidR="004A22A5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125B80" w:rsidRPr="00B41D83">
        <w:rPr>
          <w:rFonts w:ascii="Arial" w:hAnsi="Arial" w:cs="Arial"/>
          <w:sz w:val="22"/>
          <w:szCs w:val="22"/>
        </w:rPr>
        <w:t xml:space="preserve">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>kredi miktarı</w:t>
      </w:r>
      <w:r w:rsidR="00C64177">
        <w:rPr>
          <w:rFonts w:ascii="Arial" w:hAnsi="Arial" w:cs="Arial"/>
          <w:sz w:val="22"/>
          <w:szCs w:val="22"/>
        </w:rPr>
        <w:t xml:space="preserve"> </w:t>
      </w:r>
      <w:r w:rsidR="009063C9">
        <w:rPr>
          <w:rFonts w:ascii="Arial" w:hAnsi="Arial" w:cs="Arial"/>
          <w:sz w:val="22"/>
          <w:szCs w:val="22"/>
        </w:rPr>
        <w:t>2</w:t>
      </w:r>
      <w:r w:rsidR="00B80CAF">
        <w:rPr>
          <w:rFonts w:ascii="Arial" w:hAnsi="Arial" w:cs="Arial"/>
          <w:sz w:val="22"/>
          <w:szCs w:val="22"/>
        </w:rPr>
        <w:t xml:space="preserve"> </w:t>
      </w:r>
      <w:r w:rsidR="004A22A5">
        <w:rPr>
          <w:rFonts w:ascii="Arial" w:hAnsi="Arial" w:cs="Arial"/>
          <w:sz w:val="22"/>
          <w:szCs w:val="22"/>
        </w:rPr>
        <w:t xml:space="preserve">milyar </w:t>
      </w:r>
      <w:r w:rsidR="009063C9">
        <w:rPr>
          <w:rFonts w:ascii="Arial" w:hAnsi="Arial" w:cs="Arial"/>
          <w:sz w:val="22"/>
          <w:szCs w:val="22"/>
        </w:rPr>
        <w:t>335</w:t>
      </w:r>
      <w:r w:rsidR="004A22A5">
        <w:rPr>
          <w:rFonts w:ascii="Arial" w:hAnsi="Arial" w:cs="Arial"/>
          <w:sz w:val="22"/>
          <w:szCs w:val="22"/>
        </w:rPr>
        <w:t xml:space="preserve"> 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 w:rsidR="00B80CAF">
        <w:rPr>
          <w:rFonts w:ascii="Arial" w:hAnsi="Arial" w:cs="Arial"/>
          <w:sz w:val="22"/>
          <w:szCs w:val="22"/>
        </w:rPr>
        <w:t>2</w:t>
      </w:r>
      <w:r w:rsidR="004A22A5">
        <w:rPr>
          <w:rFonts w:ascii="Arial" w:hAnsi="Arial" w:cs="Arial"/>
          <w:sz w:val="22"/>
          <w:szCs w:val="22"/>
        </w:rPr>
        <w:t>,</w:t>
      </w:r>
      <w:r w:rsidR="007E7FAD">
        <w:rPr>
          <w:rFonts w:ascii="Arial" w:hAnsi="Arial" w:cs="Arial"/>
          <w:sz w:val="22"/>
          <w:szCs w:val="22"/>
        </w:rPr>
        <w:t>6’sı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9063C9">
        <w:rPr>
          <w:rFonts w:ascii="Arial" w:hAnsi="Arial" w:cs="Arial"/>
          <w:sz w:val="22"/>
          <w:szCs w:val="22"/>
        </w:rPr>
        <w:t>3</w:t>
      </w:r>
      <w:r w:rsidR="004F65B8">
        <w:rPr>
          <w:rFonts w:ascii="Arial" w:hAnsi="Arial" w:cs="Arial"/>
          <w:sz w:val="22"/>
          <w:szCs w:val="22"/>
        </w:rPr>
        <w:t>’</w:t>
      </w:r>
      <w:r w:rsidR="009063C9">
        <w:rPr>
          <w:rFonts w:ascii="Arial" w:hAnsi="Arial" w:cs="Arial"/>
          <w:sz w:val="22"/>
          <w:szCs w:val="22"/>
        </w:rPr>
        <w:t>ünü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9B4AD8">
        <w:rPr>
          <w:rFonts w:ascii="Arial" w:hAnsi="Arial" w:cs="Arial"/>
          <w:sz w:val="22"/>
          <w:szCs w:val="22"/>
        </w:rPr>
        <w:t>9</w:t>
      </w:r>
      <w:r w:rsidR="009063C9">
        <w:rPr>
          <w:rFonts w:ascii="Arial" w:hAnsi="Arial" w:cs="Arial"/>
          <w:sz w:val="22"/>
          <w:szCs w:val="22"/>
        </w:rPr>
        <w:t>7</w:t>
      </w:r>
      <w:r w:rsidR="00D71116" w:rsidRPr="00B41D83">
        <w:rPr>
          <w:rFonts w:ascii="Arial" w:hAnsi="Arial" w:cs="Arial"/>
          <w:sz w:val="22"/>
          <w:szCs w:val="22"/>
        </w:rPr>
        <w:t>’</w:t>
      </w:r>
      <w:r w:rsidR="009063C9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B80CAF">
        <w:rPr>
          <w:rFonts w:ascii="Arial" w:hAnsi="Arial" w:cs="Arial"/>
          <w:sz w:val="22"/>
          <w:szCs w:val="22"/>
        </w:rPr>
        <w:t>ini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E50778" w:rsidRDefault="005A0906" w:rsidP="00171A17">
      <w:pPr>
        <w:jc w:val="both"/>
        <w:rPr>
          <w:strike/>
          <w:color w:val="FF0000"/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</w:p>
    <w:sectPr w:rsidR="005A0906" w:rsidRPr="00E50778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6D" w:rsidRDefault="00CA7D6D">
      <w:r>
        <w:separator/>
      </w:r>
    </w:p>
  </w:endnote>
  <w:endnote w:type="continuationSeparator" w:id="0">
    <w:p w:rsidR="00CA7D6D" w:rsidRDefault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063C9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E95339">
      <w:rPr>
        <w:rFonts w:ascii="Arial" w:hAnsi="Arial" w:cs="Arial"/>
        <w:sz w:val="18"/>
        <w:szCs w:val="18"/>
      </w:rPr>
      <w:t>Mart 2022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E95339">
      <w:rPr>
        <w:rFonts w:ascii="Arial" w:hAnsi="Arial" w:cs="Arial"/>
        <w:sz w:val="18"/>
        <w:szCs w:val="18"/>
      </w:rPr>
      <w:t>Mart 2022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6D" w:rsidRDefault="00CA7D6D">
      <w:r>
        <w:separator/>
      </w:r>
    </w:p>
  </w:footnote>
  <w:footnote w:type="continuationSeparator" w:id="0">
    <w:p w:rsidR="00CA7D6D" w:rsidRDefault="00CA7D6D">
      <w:r>
        <w:continuationSeparator/>
      </w:r>
    </w:p>
  </w:footnote>
  <w:footnote w:id="1">
    <w:p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Yıllık </w:t>
      </w:r>
      <w:proofErr w:type="gramStart"/>
      <w:r w:rsidRPr="003B0202">
        <w:rPr>
          <w:rFonts w:ascii="Arial" w:hAnsi="Arial" w:cs="Arial"/>
          <w:color w:val="000000" w:themeColor="text1"/>
          <w:sz w:val="16"/>
          <w:szCs w:val="16"/>
        </w:rPr>
        <w:t>bazda</w:t>
      </w:r>
      <w:proofErr w:type="gramEnd"/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4A22A5" w:rsidRPr="00EB05EE" w:rsidRDefault="004A22A5" w:rsidP="00FE0BC0">
      <w:pPr>
        <w:rPr>
          <w:rFonts w:ascii="Arial" w:hAnsi="Arial" w:cs="Arial"/>
          <w:color w:val="000000"/>
          <w:sz w:val="16"/>
          <w:szCs w:val="16"/>
        </w:rPr>
      </w:pPr>
      <w:r w:rsidRPr="004A22A5">
        <w:rPr>
          <w:rStyle w:val="FootnoteReference"/>
          <w:rFonts w:ascii="Arial" w:hAnsi="Arial" w:cs="Arial"/>
          <w:sz w:val="16"/>
          <w:szCs w:val="16"/>
        </w:rPr>
        <w:footnoteRef/>
      </w:r>
      <w:r w:rsidRPr="004A22A5">
        <w:rPr>
          <w:rFonts w:ascii="Arial" w:hAnsi="Arial" w:cs="Arial"/>
          <w:sz w:val="16"/>
          <w:szCs w:val="16"/>
        </w:rPr>
        <w:t xml:space="preserve"> </w:t>
      </w:r>
      <w:r w:rsidR="00FE0BC0" w:rsidRPr="00EB05EE">
        <w:rPr>
          <w:rFonts w:ascii="Arial" w:hAnsi="Arial" w:cs="Arial"/>
          <w:color w:val="000000"/>
          <w:sz w:val="16"/>
          <w:szCs w:val="16"/>
        </w:rPr>
        <w:t>Tüketici kredisi ve konut kredisi bilgisi ileten bir banka</w:t>
      </w:r>
      <w:r w:rsidR="00FE0BC0" w:rsidRPr="00EB05EE">
        <w:rPr>
          <w:rFonts w:ascii="Arial" w:hAnsi="Arial" w:cs="Arial"/>
          <w:sz w:val="16"/>
          <w:szCs w:val="16"/>
        </w:rPr>
        <w:t xml:space="preserve"> “Kullandırılan Kanuni Takipteki Kredi” verisini Haziran 2021 itibarıyla raporlamaya başlamıştır.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A3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08EC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792C"/>
    <w:rsid w:val="002D24BA"/>
    <w:rsid w:val="002D4A7B"/>
    <w:rsid w:val="002D4BD4"/>
    <w:rsid w:val="002D5E94"/>
    <w:rsid w:val="002D7DB3"/>
    <w:rsid w:val="002E0ACC"/>
    <w:rsid w:val="002E48B0"/>
    <w:rsid w:val="002F0D60"/>
    <w:rsid w:val="002F1719"/>
    <w:rsid w:val="002F40FC"/>
    <w:rsid w:val="002F4748"/>
    <w:rsid w:val="002F55F0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6299"/>
    <w:rsid w:val="003D7C22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B82"/>
    <w:rsid w:val="007E7FAD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5F28"/>
    <w:rsid w:val="00970C1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2956"/>
    <w:rsid w:val="009B337B"/>
    <w:rsid w:val="009B4608"/>
    <w:rsid w:val="009B472C"/>
    <w:rsid w:val="009B4AD8"/>
    <w:rsid w:val="009B59BA"/>
    <w:rsid w:val="009C1268"/>
    <w:rsid w:val="009C6A62"/>
    <w:rsid w:val="009C7C55"/>
    <w:rsid w:val="009D04B1"/>
    <w:rsid w:val="009D086F"/>
    <w:rsid w:val="009D17D2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84FE4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2832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7285"/>
    <w:rsid w:val="00B8035B"/>
    <w:rsid w:val="00B80CAF"/>
    <w:rsid w:val="00B81CE7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9B8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1743BCA"/>
  <w15:docId w15:val="{661E39F9-EA95-45A2-801E-C9335A4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2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2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2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1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Mar-21</c:v>
                </c:pt>
                <c:pt idx="1">
                  <c:v>Haz-21</c:v>
                </c:pt>
                <c:pt idx="2">
                  <c:v>Eyl-21</c:v>
                </c:pt>
                <c:pt idx="3">
                  <c:v>Ara-21</c:v>
                </c:pt>
                <c:pt idx="4">
                  <c:v>Mar-22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10.146596451999999</c:v>
                </c:pt>
                <c:pt idx="1">
                  <c:v>11.180777012999998</c:v>
                </c:pt>
                <c:pt idx="2">
                  <c:v>10.641320955599999</c:v>
                </c:pt>
                <c:pt idx="3">
                  <c:v>9.5266071523000004</c:v>
                </c:pt>
                <c:pt idx="4">
                  <c:v>10.7727753052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E-4FD8-BA43-3013A0A5B71A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Mar-21</c:v>
                </c:pt>
                <c:pt idx="1">
                  <c:v>Haz-21</c:v>
                </c:pt>
                <c:pt idx="2">
                  <c:v>Eyl-21</c:v>
                </c:pt>
                <c:pt idx="3">
                  <c:v>Ara-21</c:v>
                </c:pt>
                <c:pt idx="4">
                  <c:v>Mar-22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256.95196704599999</c:v>
                </c:pt>
                <c:pt idx="1">
                  <c:v>258.15234355439998</c:v>
                </c:pt>
                <c:pt idx="2">
                  <c:v>263.56482227790002</c:v>
                </c:pt>
                <c:pt idx="3">
                  <c:v>274.25274812010002</c:v>
                </c:pt>
                <c:pt idx="4">
                  <c:v>285.61357098770003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BE-4FD8-BA43-3013A0A5B71A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Mar-21</c:v>
                </c:pt>
                <c:pt idx="1">
                  <c:v>Haz-21</c:v>
                </c:pt>
                <c:pt idx="2">
                  <c:v>Eyl-21</c:v>
                </c:pt>
                <c:pt idx="3">
                  <c:v>Ara-21</c:v>
                </c:pt>
                <c:pt idx="4">
                  <c:v>Mar-22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374.7350846965</c:v>
                </c:pt>
                <c:pt idx="1">
                  <c:v>386.32322676370001</c:v>
                </c:pt>
                <c:pt idx="2">
                  <c:v>407.32695925680002</c:v>
                </c:pt>
                <c:pt idx="3">
                  <c:v>442.05660711590002</c:v>
                </c:pt>
                <c:pt idx="4">
                  <c:v>438.20678052660003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BE-4FD8-BA43-3013A0A5B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Mar-21</c:v>
                </c:pt>
                <c:pt idx="1">
                  <c:v>Haz-21</c:v>
                </c:pt>
                <c:pt idx="2">
                  <c:v>Eyl-21</c:v>
                </c:pt>
                <c:pt idx="3">
                  <c:v>Ara-21</c:v>
                </c:pt>
                <c:pt idx="4">
                  <c:v>Mar-22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25.182352999999999</c:v>
                </c:pt>
                <c:pt idx="1">
                  <c:v>25.528555999999998</c:v>
                </c:pt>
                <c:pt idx="2">
                  <c:v>25.656679</c:v>
                </c:pt>
                <c:pt idx="3">
                  <c:v>26.101512</c:v>
                </c:pt>
                <c:pt idx="4">
                  <c:v>26.101512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DBE-4FD8-BA43-3013A0A5B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28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F1-43AE-9E40-B2CBE6DE40A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F1-43AE-9E40-B2CBE6DE40AF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F1-43AE-9E40-B2CBE6DE40AF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1F1-43AE-9E40-B2CBE6DE40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3.2674232261</c:v>
                </c:pt>
                <c:pt idx="1">
                  <c:v>26.698031238600002</c:v>
                </c:pt>
                <c:pt idx="2">
                  <c:v>90.758361995800001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F1-43AE-9E40-B2CBE6DE40A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B7-4BDB-BC28-796D1D0F78A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B7-4BDB-BC28-796D1D0F78AC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B7-4BDB-BC28-796D1D0F78AC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EB7-4BDB-BC28-796D1D0F78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10.7727753052</c:v>
                </c:pt>
                <c:pt idx="1">
                  <c:v>285.61357098770003</c:v>
                </c:pt>
                <c:pt idx="2">
                  <c:v>438.20678052660003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B7-4BDB-BC28-796D1D0F78A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2020</c:v>
                </c:pt>
                <c:pt idx="1">
                  <c:v>Temmuz-Eylül 2021</c:v>
                </c:pt>
                <c:pt idx="2">
                  <c:v>Ekim-Aralık 2021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9.7889740744015699E-2</c:v>
                </c:pt>
                <c:pt idx="1">
                  <c:v>0.17501458893802985</c:v>
                </c:pt>
                <c:pt idx="2">
                  <c:v>0.26662337471529862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E1-471A-9534-8FF00D78F30D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2020</c:v>
                </c:pt>
                <c:pt idx="1">
                  <c:v>Temmuz-Eylül 2021</c:v>
                </c:pt>
                <c:pt idx="2">
                  <c:v>Ekim-Aralık 2021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1.7766212211054617</c:v>
                </c:pt>
                <c:pt idx="1">
                  <c:v>1.9108420125617234</c:v>
                </c:pt>
                <c:pt idx="2">
                  <c:v>2.3732569669847785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E1-471A-9534-8FF00D78F3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991552"/>
        <c:axId val="149989632"/>
      </c:barChart>
      <c:catAx>
        <c:axId val="1439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989632"/>
        <c:crossesAt val="0"/>
        <c:auto val="1"/>
        <c:lblAlgn val="ctr"/>
        <c:lblOffset val="100"/>
        <c:noMultiLvlLbl val="0"/>
      </c:catAx>
      <c:valAx>
        <c:axId val="1499896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91552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688D-4F55-4083-9991-700A91C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641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21</cp:revision>
  <cp:lastPrinted>2022-06-28T10:28:00Z</cp:lastPrinted>
  <dcterms:created xsi:type="dcterms:W3CDTF">2021-12-14T07:13:00Z</dcterms:created>
  <dcterms:modified xsi:type="dcterms:W3CDTF">2022-06-28T10:54:00Z</dcterms:modified>
</cp:coreProperties>
</file>