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63057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0D5521">
        <w:rPr>
          <w:rFonts w:ascii="Arial" w:hAnsi="Arial" w:cs="Arial"/>
          <w:bCs/>
          <w:szCs w:val="24"/>
        </w:rPr>
        <w:t xml:space="preserve"> 2022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7A63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2110C8" w:rsidRDefault="00B16366" w:rsidP="00D62579">
      <w:pPr>
        <w:jc w:val="both"/>
        <w:rPr>
          <w:rFonts w:ascii="Arial" w:hAnsi="Arial"/>
          <w:sz w:val="16"/>
          <w:szCs w:val="16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77C12">
        <w:rPr>
          <w:rFonts w:ascii="Arial" w:hAnsi="Arial" w:cs="Arial"/>
          <w:b/>
          <w:color w:val="000000"/>
          <w:sz w:val="22"/>
          <w:szCs w:val="22"/>
        </w:rPr>
        <w:t>94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63057C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277C12">
        <w:rPr>
          <w:rFonts w:ascii="Arial" w:hAnsi="Arial" w:cs="Arial"/>
          <w:sz w:val="22"/>
          <w:szCs w:val="22"/>
        </w:rPr>
        <w:t>94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277C12">
        <w:rPr>
          <w:rFonts w:ascii="Arial" w:hAnsi="Arial" w:cs="Arial"/>
          <w:sz w:val="22"/>
          <w:szCs w:val="22"/>
        </w:rPr>
        <w:t>390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624212">
        <w:rPr>
          <w:rFonts w:ascii="Arial" w:hAnsi="Arial" w:cs="Arial"/>
          <w:sz w:val="22"/>
          <w:szCs w:val="22"/>
        </w:rPr>
        <w:t xml:space="preserve">. </w:t>
      </w:r>
      <w:r w:rsidR="00394B5A">
        <w:rPr>
          <w:rFonts w:ascii="Arial" w:hAnsi="Arial" w:cs="Arial"/>
          <w:sz w:val="22"/>
          <w:szCs w:val="22"/>
        </w:rPr>
        <w:t>(</w:t>
      </w:r>
      <w:r w:rsidR="00394B5A" w:rsidRPr="00394B5A">
        <w:rPr>
          <w:rFonts w:ascii="Arial" w:hAnsi="Arial" w:cs="Arial"/>
          <w:sz w:val="22"/>
          <w:szCs w:val="22"/>
        </w:rPr>
        <w:t xml:space="preserve">Bankaların verisi toplulaştırılırken </w:t>
      </w:r>
      <w:r w:rsidR="00CE0B4E" w:rsidRPr="00CE0B4E">
        <w:rPr>
          <w:rFonts w:ascii="Arial" w:hAnsi="Arial" w:cs="Arial"/>
          <w:sz w:val="22"/>
          <w:szCs w:val="22"/>
        </w:rPr>
        <w:t xml:space="preserve">bankalar arasında </w:t>
      </w:r>
      <w:r w:rsidR="00394B5A" w:rsidRPr="00394B5A">
        <w:rPr>
          <w:rFonts w:ascii="Arial" w:hAnsi="Arial" w:cs="Arial"/>
          <w:sz w:val="22"/>
          <w:szCs w:val="22"/>
        </w:rPr>
        <w:t>müşteri</w:t>
      </w:r>
      <w:r w:rsidR="00624212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394B5A">
        <w:rPr>
          <w:rFonts w:ascii="Arial" w:hAnsi="Arial" w:cs="Arial"/>
          <w:sz w:val="22"/>
          <w:szCs w:val="22"/>
        </w:rPr>
        <w:t>)</w:t>
      </w:r>
      <w:r w:rsidR="00624212">
        <w:rPr>
          <w:rFonts w:ascii="Arial" w:hAnsi="Arial" w:cs="Arial"/>
          <w:sz w:val="22"/>
          <w:szCs w:val="22"/>
        </w:rPr>
        <w:t>.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Bu sayının 2 milyon </w:t>
      </w:r>
      <w:r w:rsidR="00277C12">
        <w:rPr>
          <w:rFonts w:ascii="Arial" w:hAnsi="Arial" w:cs="Arial"/>
          <w:sz w:val="22"/>
          <w:szCs w:val="22"/>
        </w:rPr>
        <w:t>301</w:t>
      </w:r>
      <w:r w:rsidR="00471B63">
        <w:rPr>
          <w:rFonts w:ascii="Arial" w:hAnsi="Arial" w:cs="Arial"/>
          <w:sz w:val="22"/>
          <w:szCs w:val="22"/>
        </w:rPr>
        <w:t xml:space="preserve"> bin kişisi “sadece internet </w:t>
      </w:r>
      <w:r w:rsidR="00277C12">
        <w:rPr>
          <w:rFonts w:ascii="Arial" w:hAnsi="Arial" w:cs="Arial"/>
          <w:sz w:val="22"/>
          <w:szCs w:val="22"/>
        </w:rPr>
        <w:t>bankacılığı” işlemi yaparken, 82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277C12">
        <w:rPr>
          <w:rFonts w:ascii="Arial" w:hAnsi="Arial" w:cs="Arial"/>
          <w:sz w:val="22"/>
          <w:szCs w:val="22"/>
        </w:rPr>
        <w:t>304</w:t>
      </w:r>
      <w:r w:rsidR="003654C5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bin kişisi  “sadece mobil bankacılık” </w:t>
      </w:r>
      <w:r w:rsidR="00471B63" w:rsidRPr="00D84197">
        <w:rPr>
          <w:rFonts w:ascii="Arial" w:hAnsi="Arial" w:cs="Arial"/>
          <w:sz w:val="22"/>
          <w:szCs w:val="22"/>
        </w:rPr>
        <w:t>işlemi</w:t>
      </w:r>
      <w:r w:rsidR="00471B63">
        <w:rPr>
          <w:rFonts w:ascii="Arial" w:hAnsi="Arial" w:cs="Arial"/>
          <w:sz w:val="22"/>
          <w:szCs w:val="22"/>
        </w:rPr>
        <w:t xml:space="preserve"> yapmıştır. Hem internet hem mobil bankacılık işl</w:t>
      </w:r>
      <w:r w:rsidR="003654C5">
        <w:rPr>
          <w:rFonts w:ascii="Arial" w:hAnsi="Arial" w:cs="Arial"/>
          <w:sz w:val="22"/>
          <w:szCs w:val="22"/>
        </w:rPr>
        <w:t>emi yapan kullanıcı sayısı ise 9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277C12">
        <w:rPr>
          <w:rFonts w:ascii="Arial" w:hAnsi="Arial" w:cs="Arial"/>
          <w:sz w:val="22"/>
          <w:szCs w:val="22"/>
        </w:rPr>
        <w:t>786</w:t>
      </w:r>
      <w:r w:rsidR="00471B63">
        <w:rPr>
          <w:rFonts w:ascii="Arial" w:hAnsi="Arial" w:cs="Arial"/>
          <w:sz w:val="22"/>
          <w:szCs w:val="22"/>
        </w:rPr>
        <w:t xml:space="preserve"> bin kişidir.</w:t>
      </w:r>
    </w:p>
    <w:p w:rsidR="00B13BDF" w:rsidRPr="002110C8" w:rsidRDefault="00B13BDF" w:rsidP="000B0C1A">
      <w:pPr>
        <w:pStyle w:val="BodyText"/>
        <w:rPr>
          <w:rFonts w:ascii="Arial" w:hAnsi="Arial" w:cs="Arial"/>
          <w:sz w:val="16"/>
          <w:szCs w:val="16"/>
        </w:rPr>
      </w:pPr>
    </w:p>
    <w:p w:rsidR="00B56504" w:rsidRDefault="00277C12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2F0D3C2C" wp14:editId="4ACA4654">
            <wp:extent cx="5619750" cy="21240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3DE7" w:rsidRPr="002110C8" w:rsidRDefault="00E13DE7" w:rsidP="00B13BDF">
      <w:pPr>
        <w:pStyle w:val="BodyText"/>
        <w:rPr>
          <w:rFonts w:ascii="Arial" w:hAnsi="Arial" w:cs="Arial"/>
          <w:sz w:val="16"/>
          <w:szCs w:val="16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0D300F">
        <w:rPr>
          <w:rFonts w:ascii="Arial" w:hAnsi="Arial" w:cs="Arial"/>
          <w:sz w:val="22"/>
          <w:szCs w:val="22"/>
        </w:rPr>
        <w:t>1</w:t>
      </w:r>
      <w:r w:rsidR="00277C12">
        <w:rPr>
          <w:rFonts w:ascii="Arial" w:hAnsi="Arial" w:cs="Arial"/>
          <w:sz w:val="22"/>
          <w:szCs w:val="22"/>
        </w:rPr>
        <w:t>6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277C12">
        <w:rPr>
          <w:rFonts w:ascii="Arial" w:hAnsi="Arial" w:cs="Arial"/>
          <w:sz w:val="22"/>
          <w:szCs w:val="22"/>
        </w:rPr>
        <w:t>45</w:t>
      </w:r>
      <w:r w:rsidR="003654C5">
        <w:rPr>
          <w:rFonts w:ascii="Arial" w:hAnsi="Arial" w:cs="Arial"/>
          <w:sz w:val="22"/>
          <w:szCs w:val="22"/>
        </w:rPr>
        <w:t>9</w:t>
      </w:r>
      <w:r w:rsidR="00D009BE">
        <w:rPr>
          <w:rFonts w:ascii="Arial" w:hAnsi="Arial" w:cs="Arial"/>
          <w:sz w:val="22"/>
          <w:szCs w:val="22"/>
        </w:rPr>
        <w:t xml:space="preserve">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A93BF8" w:rsidRPr="006A047C" w:rsidTr="007A6381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63057C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63057C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63057C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6B5BF8" w:rsidRPr="006A047C" w:rsidTr="007A6381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5BF8" w:rsidRPr="00147096" w:rsidRDefault="006B5BF8" w:rsidP="006B5BF8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6B5BF8">
              <w:rPr>
                <w:rFonts w:ascii="Arial" w:hAnsi="Arial" w:cs="Arial"/>
                <w:b/>
                <w:sz w:val="20"/>
              </w:rPr>
              <w:t>77.932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B5BF8">
              <w:rPr>
                <w:rFonts w:ascii="Arial" w:hAnsi="Arial" w:cs="Arial"/>
                <w:b/>
                <w:sz w:val="20"/>
              </w:rPr>
              <w:t>90.579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B5BF8">
              <w:rPr>
                <w:rFonts w:ascii="Arial" w:hAnsi="Arial" w:cs="Arial"/>
                <w:b/>
                <w:sz w:val="20"/>
              </w:rPr>
              <w:t>94.390</w:t>
            </w:r>
          </w:p>
        </w:tc>
      </w:tr>
      <w:tr w:rsidR="006B5BF8" w:rsidRPr="006A047C" w:rsidTr="007A6381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6B5BF8" w:rsidRPr="00147096" w:rsidRDefault="006B5BF8" w:rsidP="006B5BF8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3.411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3.862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4.065</w:t>
            </w:r>
          </w:p>
        </w:tc>
      </w:tr>
      <w:tr w:rsidR="006B5BF8" w:rsidRPr="006A047C" w:rsidTr="007A6381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BF8" w:rsidRPr="003C1A27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74.521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86.717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90.325</w:t>
            </w:r>
          </w:p>
        </w:tc>
      </w:tr>
    </w:tbl>
    <w:p w:rsidR="00147096" w:rsidRPr="007A6381" w:rsidRDefault="00EC5451" w:rsidP="00B13BDF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A93BF8" w:rsidRDefault="0063057C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(log-in)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776D19">
        <w:rPr>
          <w:rFonts w:ascii="Arial" w:hAnsi="Arial" w:cs="Arial"/>
          <w:sz w:val="22"/>
          <w:szCs w:val="22"/>
        </w:rPr>
        <w:t>90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776D19">
        <w:rPr>
          <w:rFonts w:ascii="Arial" w:hAnsi="Arial" w:cs="Arial"/>
          <w:sz w:val="22"/>
          <w:szCs w:val="22"/>
        </w:rPr>
        <w:t>325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776D19">
        <w:rPr>
          <w:rFonts w:ascii="Arial" w:hAnsi="Arial" w:cs="Arial"/>
          <w:sz w:val="22"/>
          <w:szCs w:val="22"/>
        </w:rPr>
        <w:t>1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776D19">
        <w:rPr>
          <w:rFonts w:ascii="Arial" w:hAnsi="Arial" w:cs="Arial"/>
          <w:sz w:val="22"/>
          <w:szCs w:val="22"/>
        </w:rPr>
        <w:t>678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776D19">
        <w:rPr>
          <w:rFonts w:ascii="Arial" w:hAnsi="Arial" w:cs="Arial"/>
          <w:sz w:val="22"/>
          <w:szCs w:val="22"/>
        </w:rPr>
        <w:t>79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776D19">
        <w:rPr>
          <w:rFonts w:ascii="Arial" w:hAnsi="Arial" w:cs="Arial"/>
          <w:sz w:val="22"/>
          <w:szCs w:val="22"/>
        </w:rPr>
        <w:t>780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005D37">
        <w:rPr>
          <w:rFonts w:ascii="Arial" w:hAnsi="Arial" w:cs="Arial"/>
          <w:sz w:val="22"/>
          <w:szCs w:val="22"/>
        </w:rPr>
        <w:t>8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776D19">
        <w:rPr>
          <w:rFonts w:ascii="Arial" w:hAnsi="Arial" w:cs="Arial"/>
          <w:sz w:val="22"/>
          <w:szCs w:val="22"/>
        </w:rPr>
        <w:t>867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7843B7" w:rsidRDefault="00BC5F0D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1A2AD632" wp14:editId="4830036E">
            <wp:extent cx="1828800" cy="181927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E29E3">
        <w:rPr>
          <w:noProof/>
          <w:lang w:val="en-US" w:eastAsia="ko-KR"/>
        </w:rPr>
        <w:drawing>
          <wp:inline distT="0" distB="0" distL="0" distR="0" wp14:anchorId="7E8ACA7E" wp14:editId="3AC8CE3D">
            <wp:extent cx="3819525" cy="15621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63057C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EA771B">
        <w:rPr>
          <w:rFonts w:ascii="Arial" w:hAnsi="Arial" w:cs="Arial"/>
          <w:sz w:val="22"/>
          <w:szCs w:val="22"/>
        </w:rPr>
        <w:t xml:space="preserve"> 2022</w:t>
      </w:r>
      <w:r w:rsidR="00EA771B" w:rsidRPr="00D84197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dönemi içinde </w:t>
      </w:r>
      <w:r w:rsidR="00EA771B" w:rsidRPr="00D84197">
        <w:rPr>
          <w:rFonts w:ascii="Arial" w:hAnsi="Arial" w:cs="Arial"/>
          <w:sz w:val="22"/>
          <w:szCs w:val="22"/>
        </w:rPr>
        <w:t>az bir kez giriş</w:t>
      </w:r>
      <w:r w:rsidR="00EA771B">
        <w:rPr>
          <w:rFonts w:ascii="Arial" w:hAnsi="Arial" w:cs="Arial"/>
          <w:sz w:val="22"/>
          <w:szCs w:val="22"/>
        </w:rPr>
        <w:t xml:space="preserve"> (log-in)</w:t>
      </w:r>
      <w:r w:rsidR="00EA771B" w:rsidRPr="00D84197">
        <w:rPr>
          <w:rFonts w:ascii="Arial" w:hAnsi="Arial" w:cs="Arial"/>
          <w:sz w:val="22"/>
          <w:szCs w:val="22"/>
        </w:rPr>
        <w:t xml:space="preserve"> işlemi </w:t>
      </w:r>
      <w:r w:rsidR="00EA771B">
        <w:rPr>
          <w:rFonts w:ascii="Arial" w:hAnsi="Arial" w:cs="Arial"/>
          <w:sz w:val="22"/>
          <w:szCs w:val="22"/>
        </w:rPr>
        <w:t>yapmış aktif kurumsal dij</w:t>
      </w:r>
      <w:r w:rsidR="00776D19">
        <w:rPr>
          <w:rFonts w:ascii="Arial" w:hAnsi="Arial" w:cs="Arial"/>
          <w:sz w:val="22"/>
          <w:szCs w:val="22"/>
        </w:rPr>
        <w:t>ital bankacılık müşteri sayısı 4</w:t>
      </w:r>
      <w:r w:rsidR="00EA771B">
        <w:rPr>
          <w:rFonts w:ascii="Arial" w:hAnsi="Arial" w:cs="Arial"/>
          <w:sz w:val="22"/>
          <w:szCs w:val="22"/>
        </w:rPr>
        <w:t xml:space="preserve"> milyon </w:t>
      </w:r>
      <w:r w:rsidR="00776D19">
        <w:rPr>
          <w:rFonts w:ascii="Arial" w:hAnsi="Arial" w:cs="Arial"/>
          <w:sz w:val="22"/>
          <w:szCs w:val="22"/>
        </w:rPr>
        <w:t>65</w:t>
      </w:r>
      <w:r w:rsidR="004C041B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EE29E3">
        <w:rPr>
          <w:rFonts w:ascii="Arial" w:hAnsi="Arial" w:cs="Arial"/>
          <w:sz w:val="22"/>
          <w:szCs w:val="22"/>
        </w:rPr>
        <w:t xml:space="preserve"> yaklaşık</w:t>
      </w:r>
      <w:r w:rsidR="00225C3C">
        <w:rPr>
          <w:rFonts w:ascii="Arial" w:hAnsi="Arial" w:cs="Arial"/>
          <w:sz w:val="22"/>
          <w:szCs w:val="22"/>
        </w:rPr>
        <w:t xml:space="preserve"> </w:t>
      </w:r>
      <w:r w:rsidR="00EE29E3">
        <w:rPr>
          <w:rFonts w:ascii="Arial" w:hAnsi="Arial" w:cs="Arial"/>
          <w:sz w:val="22"/>
          <w:szCs w:val="22"/>
        </w:rPr>
        <w:t>60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005D37">
        <w:rPr>
          <w:rFonts w:ascii="Arial" w:hAnsi="Arial" w:cs="Arial"/>
          <w:sz w:val="22"/>
          <w:szCs w:val="22"/>
        </w:rPr>
        <w:t>6</w:t>
      </w:r>
      <w:r w:rsidR="00B069DF">
        <w:rPr>
          <w:rFonts w:ascii="Arial" w:hAnsi="Arial" w:cs="Arial"/>
          <w:sz w:val="22"/>
          <w:szCs w:val="22"/>
        </w:rPr>
        <w:t xml:space="preserve">), </w:t>
      </w:r>
      <w:r w:rsidR="00EE29E3">
        <w:rPr>
          <w:rFonts w:ascii="Arial" w:hAnsi="Arial" w:cs="Arial"/>
          <w:sz w:val="22"/>
          <w:szCs w:val="22"/>
        </w:rPr>
        <w:t>yaklaşık 31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005D37">
        <w:rPr>
          <w:rFonts w:ascii="Arial" w:hAnsi="Arial" w:cs="Arial"/>
          <w:sz w:val="22"/>
          <w:szCs w:val="22"/>
        </w:rPr>
        <w:t>4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63057C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</w:t>
      </w:r>
      <w:r w:rsidR="001578E3">
        <w:rPr>
          <w:rFonts w:ascii="Arial" w:hAnsi="Arial" w:cs="Arial"/>
          <w:sz w:val="22"/>
          <w:szCs w:val="22"/>
        </w:rPr>
        <w:t>in</w:t>
      </w:r>
      <w:bookmarkStart w:id="0" w:name="_GoBack"/>
      <w:bookmarkEnd w:id="0"/>
      <w:r w:rsidR="00B13BDF">
        <w:rPr>
          <w:rFonts w:ascii="Arial" w:hAnsi="Arial" w:cs="Arial"/>
          <w:sz w:val="22"/>
          <w:szCs w:val="22"/>
        </w:rPr>
        <w:t xml:space="preserve">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EE29E3">
        <w:rPr>
          <w:rFonts w:ascii="Arial" w:hAnsi="Arial" w:cs="Arial"/>
          <w:sz w:val="22"/>
          <w:szCs w:val="22"/>
        </w:rPr>
        <w:t>35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EE29E3">
        <w:rPr>
          <w:rFonts w:ascii="Arial" w:hAnsi="Arial" w:cs="Arial"/>
          <w:sz w:val="22"/>
          <w:szCs w:val="22"/>
        </w:rPr>
        <w:t>623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EE29E3">
        <w:rPr>
          <w:rFonts w:ascii="Arial" w:hAnsi="Arial" w:cs="Arial"/>
          <w:sz w:val="22"/>
          <w:szCs w:val="22"/>
        </w:rPr>
        <w:t>4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EE29E3">
        <w:rPr>
          <w:rFonts w:ascii="Arial" w:hAnsi="Arial" w:cs="Arial"/>
          <w:sz w:val="22"/>
          <w:szCs w:val="22"/>
        </w:rPr>
        <w:t>402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EE29E3">
        <w:rPr>
          <w:rFonts w:ascii="Arial" w:hAnsi="Arial" w:cs="Arial"/>
          <w:sz w:val="22"/>
          <w:szCs w:val="22"/>
        </w:rPr>
        <w:t>, 17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EE29E3">
        <w:rPr>
          <w:rFonts w:ascii="Arial" w:hAnsi="Arial" w:cs="Arial"/>
          <w:sz w:val="22"/>
          <w:szCs w:val="22"/>
        </w:rPr>
        <w:t>17</w:t>
      </w:r>
      <w:r w:rsidR="00005D37">
        <w:rPr>
          <w:rFonts w:ascii="Arial" w:hAnsi="Arial" w:cs="Arial"/>
          <w:sz w:val="22"/>
          <w:szCs w:val="22"/>
        </w:rPr>
        <w:t>6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63057C">
        <w:rPr>
          <w:rFonts w:ascii="Arial" w:hAnsi="Arial" w:cs="Arial"/>
          <w:sz w:val="22"/>
          <w:szCs w:val="22"/>
        </w:rPr>
        <w:t>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>itibariyle,</w:t>
      </w:r>
      <w:r w:rsidR="00CC626D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91</w:t>
      </w:r>
      <w:r w:rsidR="004660D7">
        <w:rPr>
          <w:rFonts w:ascii="Arial" w:hAnsi="Arial" w:cs="Arial"/>
          <w:sz w:val="22"/>
          <w:szCs w:val="22"/>
        </w:rPr>
        <w:t xml:space="preserve"> milyon</w:t>
      </w:r>
      <w:r w:rsidR="00E823BD">
        <w:rPr>
          <w:rFonts w:ascii="Arial" w:hAnsi="Arial" w:cs="Arial"/>
          <w:sz w:val="22"/>
          <w:szCs w:val="22"/>
        </w:rPr>
        <w:t xml:space="preserve"> 137 bin</w:t>
      </w:r>
      <w:r w:rsidR="006063F2">
        <w:rPr>
          <w:rFonts w:ascii="Arial" w:hAnsi="Arial" w:cs="Arial"/>
          <w:sz w:val="22"/>
          <w:szCs w:val="22"/>
        </w:rPr>
        <w:t xml:space="preserve">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>ise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042AFC">
        <w:rPr>
          <w:rFonts w:ascii="Arial" w:hAnsi="Arial" w:cs="Arial"/>
          <w:sz w:val="22"/>
          <w:szCs w:val="22"/>
        </w:rPr>
        <w:t>2</w:t>
      </w:r>
      <w:r w:rsidR="0068204B">
        <w:rPr>
          <w:rFonts w:ascii="Arial" w:hAnsi="Arial" w:cs="Arial"/>
          <w:sz w:val="22"/>
          <w:szCs w:val="22"/>
        </w:rPr>
        <w:t>5</w:t>
      </w:r>
      <w:r w:rsidR="006C57C3">
        <w:rPr>
          <w:rFonts w:ascii="Arial" w:hAnsi="Arial" w:cs="Arial"/>
          <w:sz w:val="22"/>
          <w:szCs w:val="22"/>
        </w:rPr>
        <w:t xml:space="preserve"> milyon </w:t>
      </w:r>
      <w:r w:rsidR="0068204B">
        <w:rPr>
          <w:rFonts w:ascii="Arial" w:hAnsi="Arial" w:cs="Arial"/>
          <w:sz w:val="22"/>
          <w:szCs w:val="22"/>
        </w:rPr>
        <w:t>147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 xml:space="preserve">bin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63057C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63057C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63057C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6B5BF8">
              <w:rPr>
                <w:rFonts w:ascii="Arial" w:hAnsi="Arial" w:cs="Arial"/>
                <w:sz w:val="20"/>
              </w:rPr>
              <w:t>10.525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10.787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10.545</w:t>
            </w:r>
          </w:p>
        </w:tc>
      </w:tr>
      <w:tr w:rsidR="006B5BF8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81.689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89.074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91.137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24.405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23.962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25.147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  <w:tr w:rsidR="006B5BF8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sz w:val="20"/>
              </w:rPr>
            </w:pP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147096" w:rsidRDefault="006B5BF8" w:rsidP="006B5BF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</w:tr>
      <w:tr w:rsidR="006B5BF8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1.452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1.498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1.541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5.185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5.720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6.069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2.276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2.147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2.199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6B5BF8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rPr>
                <w:sz w:val="20"/>
              </w:rPr>
            </w:pP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11.977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12.285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12.086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86.873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94.794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97.206</w:t>
            </w:r>
          </w:p>
        </w:tc>
      </w:tr>
      <w:tr w:rsidR="006B5BF8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26.681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26.109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27.346</w:t>
            </w:r>
          </w:p>
        </w:tc>
      </w:tr>
      <w:tr w:rsidR="006B5BF8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F8" w:rsidRPr="00AE4B3A" w:rsidRDefault="006B5BF8" w:rsidP="006B5BF8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</w:tbl>
    <w:p w:rsidR="002E3B04" w:rsidRDefault="002E3B04" w:rsidP="00ED6942">
      <w:pPr>
        <w:pStyle w:val="BodyText"/>
        <w:rPr>
          <w:rFonts w:ascii="Arial" w:hAnsi="Arial" w:cs="Arial"/>
          <w:bCs/>
          <w:sz w:val="16"/>
          <w:szCs w:val="16"/>
        </w:rPr>
      </w:pPr>
    </w:p>
    <w:p w:rsidR="007843B7" w:rsidRDefault="007843B7" w:rsidP="00ED6942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63057C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 xml:space="preserve">sayısı </w:t>
      </w:r>
      <w:r w:rsidR="00005D37">
        <w:rPr>
          <w:rFonts w:ascii="Arial" w:hAnsi="Arial" w:cs="Arial"/>
          <w:sz w:val="22"/>
          <w:szCs w:val="22"/>
        </w:rPr>
        <w:t>10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545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005D37">
        <w:rPr>
          <w:rFonts w:ascii="Arial" w:hAnsi="Arial" w:cs="Arial"/>
          <w:sz w:val="22"/>
          <w:szCs w:val="22"/>
        </w:rPr>
        <w:t>12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005D37">
        <w:rPr>
          <w:rFonts w:ascii="Arial" w:hAnsi="Arial" w:cs="Arial"/>
          <w:sz w:val="22"/>
          <w:szCs w:val="22"/>
        </w:rPr>
        <w:t>s</w:t>
      </w:r>
      <w:r w:rsidR="00EC207B">
        <w:rPr>
          <w:rFonts w:ascii="Arial" w:hAnsi="Arial" w:cs="Arial"/>
          <w:sz w:val="22"/>
          <w:szCs w:val="22"/>
        </w:rPr>
        <w:t>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63057C">
        <w:rPr>
          <w:rFonts w:ascii="Arial" w:hAnsi="Arial" w:cs="Arial"/>
          <w:sz w:val="22"/>
          <w:szCs w:val="22"/>
        </w:rPr>
        <w:t>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6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69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68204B">
        <w:rPr>
          <w:rFonts w:ascii="Arial" w:hAnsi="Arial" w:cs="Arial"/>
          <w:sz w:val="22"/>
          <w:szCs w:val="22"/>
        </w:rPr>
        <w:t>541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68204B">
        <w:rPr>
          <w:rFonts w:ascii="Arial" w:hAnsi="Arial" w:cs="Arial"/>
          <w:sz w:val="22"/>
          <w:szCs w:val="22"/>
        </w:rPr>
        <w:t>25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63057C"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199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</w:t>
      </w:r>
      <w:r w:rsidR="0068204B">
        <w:rPr>
          <w:rFonts w:ascii="Arial" w:hAnsi="Arial" w:cs="Arial"/>
          <w:sz w:val="22"/>
          <w:szCs w:val="22"/>
        </w:rPr>
        <w:t>2</w:t>
      </w:r>
      <w:r w:rsidR="000A1811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si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63057C"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68204B">
        <w:rPr>
          <w:rFonts w:ascii="Arial" w:hAnsi="Arial" w:cs="Arial"/>
          <w:sz w:val="22"/>
          <w:szCs w:val="22"/>
        </w:rPr>
        <w:t>198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</w:t>
      </w:r>
      <w:r w:rsidR="0068204B">
        <w:rPr>
          <w:rFonts w:ascii="Arial" w:hAnsi="Arial" w:cs="Arial"/>
          <w:sz w:val="22"/>
          <w:szCs w:val="22"/>
        </w:rPr>
        <w:t xml:space="preserve"> azalırken</w:t>
      </w:r>
      <w:r w:rsidR="000300A1">
        <w:rPr>
          <w:rFonts w:ascii="Arial" w:hAnsi="Arial" w:cs="Arial"/>
          <w:sz w:val="22"/>
          <w:szCs w:val="22"/>
        </w:rPr>
        <w:t>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109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076BBE">
        <w:rPr>
          <w:rFonts w:ascii="Arial" w:hAnsi="Arial" w:cs="Arial"/>
          <w:sz w:val="22"/>
          <w:szCs w:val="22"/>
        </w:rPr>
        <w:t>art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63057C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</w:t>
      </w:r>
      <w:r w:rsidR="0068204B">
        <w:rPr>
          <w:rFonts w:ascii="Arial" w:hAnsi="Arial" w:cs="Arial"/>
          <w:sz w:val="22"/>
          <w:szCs w:val="22"/>
        </w:rPr>
        <w:t>34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C041B">
        <w:rPr>
          <w:rFonts w:ascii="Arial" w:hAnsi="Arial" w:cs="Arial"/>
          <w:sz w:val="22"/>
          <w:szCs w:val="22"/>
        </w:rPr>
        <w:t xml:space="preserve">yaklaşık </w:t>
      </w:r>
      <w:r w:rsidR="0068204B">
        <w:rPr>
          <w:rFonts w:ascii="Arial" w:hAnsi="Arial" w:cs="Arial"/>
          <w:sz w:val="22"/>
          <w:szCs w:val="22"/>
        </w:rPr>
        <w:t>6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68204B">
        <w:rPr>
          <w:rFonts w:ascii="Arial" w:hAnsi="Arial" w:cs="Arial"/>
          <w:sz w:val="22"/>
          <w:szCs w:val="22"/>
        </w:rPr>
        <w:t>4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35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68204B"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68204B">
        <w:rPr>
          <w:rFonts w:ascii="Arial" w:hAnsi="Arial" w:cs="Arial"/>
          <w:sz w:val="22"/>
          <w:szCs w:val="22"/>
        </w:rPr>
        <w:t>70</w:t>
      </w:r>
      <w:r w:rsidR="008D4376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 xml:space="preserve">1 trilyon </w:t>
      </w:r>
      <w:r w:rsidR="0068204B">
        <w:rPr>
          <w:rFonts w:ascii="Arial" w:hAnsi="Arial" w:cs="Arial"/>
          <w:sz w:val="22"/>
          <w:szCs w:val="22"/>
        </w:rPr>
        <w:t>234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68204B">
        <w:rPr>
          <w:rFonts w:ascii="Arial" w:hAnsi="Arial" w:cs="Arial"/>
          <w:sz w:val="22"/>
          <w:szCs w:val="22"/>
        </w:rPr>
        <w:t>26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6305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6305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6305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B5BF8" w:rsidRPr="008706D2" w:rsidRDefault="006B5BF8" w:rsidP="006B5BF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2.073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3.242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4.035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8706D2" w:rsidRDefault="006B5BF8" w:rsidP="006B5BF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B67FED" w:rsidRDefault="006B5BF8" w:rsidP="006B5BF8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1.073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1.234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D84197" w:rsidRDefault="006B5BF8" w:rsidP="006B5BF8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5BF8" w:rsidRPr="00D84197" w:rsidRDefault="006B5BF8" w:rsidP="006B5BF8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</w:tr>
      <w:tr w:rsidR="006B5BF8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F8" w:rsidRPr="002136C9" w:rsidRDefault="006B5BF8" w:rsidP="006B5BF8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123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2.995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127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4.699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134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5.758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milyon</w:t>
      </w:r>
      <w:r w:rsidR="00394C84">
        <w:rPr>
          <w:rFonts w:ascii="Arial" w:hAnsi="Arial" w:cs="Arial"/>
          <w:sz w:val="22"/>
          <w:szCs w:val="22"/>
        </w:rPr>
        <w:t xml:space="preserve"> adet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076BBE">
        <w:rPr>
          <w:rFonts w:ascii="Arial" w:hAnsi="Arial" w:cs="Arial"/>
          <w:sz w:val="22"/>
          <w:szCs w:val="22"/>
        </w:rPr>
        <w:t>1</w:t>
      </w:r>
      <w:r w:rsidR="0068204B">
        <w:rPr>
          <w:rFonts w:ascii="Arial" w:hAnsi="Arial" w:cs="Arial"/>
          <w:sz w:val="22"/>
          <w:szCs w:val="22"/>
        </w:rPr>
        <w:t>1</w:t>
      </w:r>
      <w:r w:rsidR="004A217C">
        <w:rPr>
          <w:rFonts w:ascii="Arial" w:hAnsi="Arial" w:cs="Arial"/>
          <w:sz w:val="22"/>
          <w:szCs w:val="22"/>
        </w:rPr>
        <w:t xml:space="preserve"> milyon adet art</w:t>
      </w:r>
      <w:r w:rsidR="00EC207B">
        <w:rPr>
          <w:rFonts w:ascii="Arial" w:hAnsi="Arial" w:cs="Arial"/>
          <w:sz w:val="22"/>
          <w:szCs w:val="22"/>
        </w:rPr>
        <w:t>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>bir önceki döneme göre</w:t>
      </w:r>
      <w:r w:rsidR="0068204B">
        <w:rPr>
          <w:rFonts w:ascii="Arial" w:hAnsi="Arial" w:cs="Arial"/>
          <w:sz w:val="22"/>
          <w:szCs w:val="22"/>
        </w:rPr>
        <w:t xml:space="preserve"> 1 trilyon</w:t>
      </w:r>
      <w:r w:rsidR="002208EF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59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4A217C">
        <w:rPr>
          <w:rFonts w:ascii="Arial" w:hAnsi="Arial" w:cs="Arial"/>
          <w:sz w:val="22"/>
          <w:szCs w:val="22"/>
        </w:rPr>
        <w:t>2</w:t>
      </w:r>
      <w:r w:rsidR="00AD7412">
        <w:rPr>
          <w:rFonts w:ascii="Arial" w:hAnsi="Arial" w:cs="Arial"/>
          <w:sz w:val="22"/>
          <w:szCs w:val="22"/>
        </w:rPr>
        <w:t xml:space="preserve"> trilyon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762</w:t>
      </w:r>
      <w:r w:rsidR="00076BBE">
        <w:rPr>
          <w:rFonts w:ascii="Arial" w:hAnsi="Arial" w:cs="Arial"/>
          <w:sz w:val="22"/>
          <w:szCs w:val="22"/>
        </w:rPr>
        <w:t xml:space="preserve"> milyar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63057C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E83547">
        <w:rPr>
          <w:rFonts w:ascii="Arial" w:hAnsi="Arial" w:cs="Arial"/>
          <w:sz w:val="22"/>
          <w:szCs w:val="22"/>
        </w:rPr>
        <w:t>601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mil</w:t>
      </w:r>
      <w:r w:rsidR="00E83547">
        <w:rPr>
          <w:rFonts w:ascii="Arial" w:hAnsi="Arial" w:cs="Arial"/>
          <w:sz w:val="22"/>
          <w:szCs w:val="22"/>
        </w:rPr>
        <w:t>yar TL ve 20</w:t>
      </w:r>
      <w:r w:rsidR="00056DB1">
        <w:rPr>
          <w:rFonts w:ascii="Arial" w:hAnsi="Arial" w:cs="Arial"/>
          <w:sz w:val="22"/>
          <w:szCs w:val="22"/>
        </w:rPr>
        <w:t>,</w:t>
      </w:r>
      <w:r w:rsidR="00E83547">
        <w:rPr>
          <w:rFonts w:ascii="Arial" w:hAnsi="Arial" w:cs="Arial"/>
          <w:sz w:val="22"/>
          <w:szCs w:val="22"/>
        </w:rPr>
        <w:t>7</w:t>
      </w:r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hisse senedi işlemleri</w:t>
      </w:r>
      <w:r w:rsidR="004A217C" w:rsidRPr="00D81C22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E83547">
        <w:rPr>
          <w:rFonts w:ascii="Arial" w:hAnsi="Arial" w:cs="Arial"/>
          <w:sz w:val="22"/>
          <w:szCs w:val="22"/>
        </w:rPr>
        <w:t>2</w:t>
      </w:r>
      <w:r w:rsidR="00025632">
        <w:rPr>
          <w:rFonts w:ascii="Arial" w:hAnsi="Arial" w:cs="Arial"/>
          <w:sz w:val="22"/>
          <w:szCs w:val="22"/>
        </w:rPr>
        <w:t>9</w:t>
      </w:r>
      <w:r w:rsidR="00E83547">
        <w:rPr>
          <w:rFonts w:ascii="Arial" w:hAnsi="Arial" w:cs="Arial"/>
          <w:sz w:val="22"/>
          <w:szCs w:val="22"/>
        </w:rPr>
        <w:t>0</w:t>
      </w:r>
      <w:r w:rsidR="00432510">
        <w:rPr>
          <w:rFonts w:ascii="Arial" w:hAnsi="Arial" w:cs="Arial"/>
          <w:sz w:val="22"/>
          <w:szCs w:val="22"/>
        </w:rPr>
        <w:t xml:space="preserve"> milyar TL ve</w:t>
      </w:r>
      <w:r w:rsidR="00E83547">
        <w:rPr>
          <w:rFonts w:ascii="Arial" w:hAnsi="Arial" w:cs="Arial"/>
          <w:sz w:val="22"/>
          <w:szCs w:val="22"/>
        </w:rPr>
        <w:t xml:space="preserve"> yaklaşık </w:t>
      </w:r>
      <w:r w:rsidR="004A217C">
        <w:rPr>
          <w:rFonts w:ascii="Arial" w:hAnsi="Arial" w:cs="Arial"/>
          <w:sz w:val="22"/>
          <w:szCs w:val="22"/>
        </w:rPr>
        <w:t>2</w:t>
      </w:r>
      <w:r w:rsidR="00270906">
        <w:rPr>
          <w:rFonts w:ascii="Arial" w:hAnsi="Arial" w:cs="Arial"/>
          <w:sz w:val="22"/>
          <w:szCs w:val="22"/>
        </w:rPr>
        <w:t xml:space="preserve"> milyon </w:t>
      </w:r>
      <w:r w:rsidR="00A072F7">
        <w:rPr>
          <w:rFonts w:ascii="Arial" w:hAnsi="Arial" w:cs="Arial"/>
          <w:sz w:val="22"/>
          <w:szCs w:val="22"/>
        </w:rPr>
        <w:t xml:space="preserve">işlem </w:t>
      </w:r>
      <w:r w:rsidR="00270906">
        <w:rPr>
          <w:rFonts w:ascii="Arial" w:hAnsi="Arial" w:cs="Arial"/>
          <w:sz w:val="22"/>
          <w:szCs w:val="22"/>
        </w:rPr>
        <w:t>adet</w:t>
      </w:r>
      <w:r w:rsidR="00A072F7">
        <w:rPr>
          <w:rFonts w:ascii="Arial" w:hAnsi="Arial" w:cs="Arial"/>
          <w:sz w:val="22"/>
          <w:szCs w:val="22"/>
        </w:rPr>
        <w:t>i</w:t>
      </w:r>
      <w:r w:rsidR="00270906">
        <w:rPr>
          <w:rFonts w:ascii="Arial" w:hAnsi="Arial" w:cs="Arial"/>
          <w:sz w:val="22"/>
          <w:szCs w:val="22"/>
        </w:rPr>
        <w:t xml:space="preserve"> ile </w:t>
      </w:r>
      <w:r w:rsidR="00E83547">
        <w:rPr>
          <w:rFonts w:ascii="Arial" w:hAnsi="Arial" w:cs="Arial"/>
          <w:sz w:val="22"/>
          <w:szCs w:val="22"/>
        </w:rPr>
        <w:t>yatırım fonları</w:t>
      </w:r>
      <w:r w:rsidR="00757D92">
        <w:rPr>
          <w:rFonts w:ascii="Arial" w:hAnsi="Arial" w:cs="Arial"/>
          <w:sz w:val="22"/>
          <w:szCs w:val="22"/>
        </w:rPr>
        <w:t xml:space="preserve"> işlemleri</w:t>
      </w:r>
      <w:r w:rsidR="00D6150F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yüksek ortalama işlem hacimleri</w:t>
      </w:r>
      <w:r w:rsidR="002208EF" w:rsidRPr="00684E31">
        <w:rPr>
          <w:rFonts w:ascii="Arial" w:hAnsi="Arial" w:cs="Arial"/>
          <w:sz w:val="22"/>
          <w:szCs w:val="22"/>
        </w:rPr>
        <w:t xml:space="preserve"> </w:t>
      </w:r>
      <w:r w:rsidR="00DD6D86">
        <w:rPr>
          <w:rFonts w:ascii="Arial" w:hAnsi="Arial" w:cs="Arial"/>
          <w:sz w:val="22"/>
          <w:szCs w:val="22"/>
        </w:rPr>
        <w:t>229</w:t>
      </w:r>
      <w:r w:rsidR="002208EF">
        <w:rPr>
          <w:rFonts w:ascii="Arial" w:hAnsi="Arial" w:cs="Arial"/>
          <w:sz w:val="22"/>
          <w:szCs w:val="22"/>
        </w:rPr>
        <w:t xml:space="preserve"> </w:t>
      </w:r>
      <w:r w:rsidR="002208EF" w:rsidRPr="00684E31">
        <w:rPr>
          <w:rFonts w:ascii="Arial" w:hAnsi="Arial" w:cs="Arial"/>
          <w:sz w:val="22"/>
          <w:szCs w:val="22"/>
        </w:rPr>
        <w:t xml:space="preserve">bin TL ile </w:t>
      </w:r>
      <w:r w:rsidR="00DD6D86">
        <w:rPr>
          <w:rFonts w:ascii="Arial" w:hAnsi="Arial" w:cs="Arial"/>
          <w:sz w:val="22"/>
          <w:szCs w:val="22"/>
        </w:rPr>
        <w:t>VİOP</w:t>
      </w:r>
      <w:r>
        <w:rPr>
          <w:rFonts w:ascii="Arial" w:hAnsi="Arial" w:cs="Arial"/>
          <w:sz w:val="22"/>
          <w:szCs w:val="22"/>
        </w:rPr>
        <w:t xml:space="preserve"> işlemlerinde </w:t>
      </w:r>
      <w:r w:rsidR="002208EF" w:rsidRPr="00684E31">
        <w:rPr>
          <w:rFonts w:ascii="Arial" w:hAnsi="Arial" w:cs="Arial"/>
          <w:sz w:val="22"/>
          <w:szCs w:val="22"/>
        </w:rPr>
        <w:t>gerçekleşmiştir.</w:t>
      </w:r>
      <w:r w:rsidR="002208EF"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>
        <w:rPr>
          <w:rFonts w:ascii="Arial" w:hAnsi="Arial" w:cs="Arial"/>
          <w:color w:val="000000"/>
          <w:sz w:val="22"/>
          <w:szCs w:val="22"/>
        </w:rPr>
        <w:t>Bu</w:t>
      </w:r>
      <w:r w:rsidR="00DD6D86">
        <w:rPr>
          <w:rFonts w:ascii="Arial" w:hAnsi="Arial" w:cs="Arial"/>
          <w:color w:val="000000"/>
          <w:sz w:val="22"/>
          <w:szCs w:val="22"/>
        </w:rPr>
        <w:t>nu</w:t>
      </w:r>
      <w:r w:rsidR="00643502">
        <w:rPr>
          <w:rFonts w:ascii="Arial" w:hAnsi="Arial" w:cs="Arial"/>
          <w:color w:val="000000"/>
          <w:sz w:val="22"/>
          <w:szCs w:val="22"/>
        </w:rPr>
        <w:t>,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 w:rsidR="00DD6D86">
        <w:rPr>
          <w:rFonts w:ascii="Arial" w:hAnsi="Arial" w:cs="Arial"/>
          <w:color w:val="000000"/>
          <w:sz w:val="22"/>
          <w:szCs w:val="22"/>
        </w:rPr>
        <w:t>163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63057C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63057C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Temmuz-Eylül</w:t>
            </w:r>
            <w:r w:rsidR="008362B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63057C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63057C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6B5BF8"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1.433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1.774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163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2.721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1.746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1.651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-1.070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89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-333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134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72304F" w:rsidRDefault="006B5BF8" w:rsidP="006B5BF8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11.510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16.207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20.666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9.156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29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136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121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-315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22</w:t>
            </w:r>
          </w:p>
        </w:tc>
      </w:tr>
      <w:tr w:rsidR="006B5BF8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0C50E1" w:rsidRDefault="006B5BF8" w:rsidP="006B5BF8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2.083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-358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sz w:val="20"/>
              </w:rPr>
            </w:pPr>
            <w:r w:rsidRPr="006B5BF8">
              <w:rPr>
                <w:rFonts w:ascii="Arial" w:hAnsi="Arial" w:cs="Arial"/>
                <w:sz w:val="20"/>
              </w:rPr>
              <w:t>229</w:t>
            </w:r>
          </w:p>
        </w:tc>
      </w:tr>
      <w:tr w:rsidR="006B5BF8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72304F" w:rsidRDefault="006B5BF8" w:rsidP="006B5BF8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18.423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22.492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1.073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25.551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1.234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7.129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B5BF8">
              <w:rPr>
                <w:rFonts w:ascii="Arial" w:hAnsi="Arial" w:cs="Arial"/>
                <w:b/>
                <w:bCs/>
                <w:sz w:val="20"/>
              </w:rPr>
              <w:t>561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8" w:rsidRPr="006B5BF8" w:rsidRDefault="006B5BF8" w:rsidP="006B5BF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B5BF8">
              <w:rPr>
                <w:rFonts w:ascii="Arial" w:hAnsi="Arial" w:cs="Arial"/>
                <w:b/>
                <w:sz w:val="20"/>
              </w:rPr>
              <w:t>48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63057C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DD6D86">
        <w:rPr>
          <w:rFonts w:ascii="Arial" w:hAnsi="Arial" w:cs="Arial"/>
          <w:sz w:val="22"/>
          <w:szCs w:val="22"/>
        </w:rPr>
        <w:t>122</w:t>
      </w:r>
      <w:r w:rsidR="0073292E">
        <w:rPr>
          <w:rFonts w:ascii="Arial" w:hAnsi="Arial" w:cs="Arial"/>
          <w:sz w:val="22"/>
          <w:szCs w:val="22"/>
        </w:rPr>
        <w:t xml:space="preserve"> bin, hacmi </w:t>
      </w:r>
      <w:r w:rsidR="00DD6D86">
        <w:rPr>
          <w:rFonts w:ascii="Arial" w:hAnsi="Arial" w:cs="Arial"/>
          <w:sz w:val="22"/>
          <w:szCs w:val="22"/>
        </w:rPr>
        <w:t>8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DD6D86">
        <w:rPr>
          <w:rFonts w:ascii="Arial" w:hAnsi="Arial" w:cs="Arial"/>
          <w:sz w:val="22"/>
          <w:szCs w:val="22"/>
        </w:rPr>
        <w:t>6</w:t>
      </w:r>
      <w:r w:rsidR="004A217C">
        <w:rPr>
          <w:rFonts w:ascii="Arial" w:hAnsi="Arial" w:cs="Arial"/>
          <w:sz w:val="22"/>
          <w:szCs w:val="22"/>
        </w:rPr>
        <w:t>1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63057C">
        <w:rPr>
          <w:rFonts w:ascii="Arial" w:hAnsi="Arial" w:cs="Arial"/>
          <w:sz w:val="22"/>
          <w:szCs w:val="22"/>
        </w:rPr>
        <w:t>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921BD2">
        <w:rPr>
          <w:rFonts w:ascii="Arial" w:hAnsi="Arial" w:cs="Arial"/>
          <w:sz w:val="22"/>
          <w:szCs w:val="22"/>
        </w:rPr>
        <w:t>142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921BD2">
        <w:rPr>
          <w:rFonts w:ascii="Arial" w:hAnsi="Arial" w:cs="Arial"/>
          <w:sz w:val="22"/>
          <w:szCs w:val="22"/>
        </w:rPr>
        <w:t>629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921BD2">
        <w:rPr>
          <w:rFonts w:ascii="Arial" w:hAnsi="Arial" w:cs="Arial"/>
          <w:sz w:val="22"/>
          <w:szCs w:val="22"/>
        </w:rPr>
        <w:t>92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921BD2">
        <w:rPr>
          <w:rFonts w:ascii="Arial" w:hAnsi="Arial" w:cs="Arial"/>
          <w:sz w:val="22"/>
          <w:szCs w:val="22"/>
        </w:rPr>
        <w:t>90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157B12">
        <w:rPr>
          <w:rFonts w:ascii="Arial" w:hAnsi="Arial" w:cs="Arial"/>
          <w:sz w:val="22"/>
          <w:szCs w:val="22"/>
        </w:rPr>
        <w:t>5</w:t>
      </w:r>
      <w:r w:rsidR="00A127DC">
        <w:rPr>
          <w:rFonts w:ascii="Arial" w:hAnsi="Arial" w:cs="Arial"/>
          <w:sz w:val="22"/>
          <w:szCs w:val="22"/>
        </w:rPr>
        <w:t>’</w:t>
      </w:r>
      <w:r w:rsidR="00157B12">
        <w:rPr>
          <w:rFonts w:ascii="Arial" w:hAnsi="Arial" w:cs="Arial"/>
          <w:sz w:val="22"/>
          <w:szCs w:val="22"/>
        </w:rPr>
        <w:t>i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63057C"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63057C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63057C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63057C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96151">
              <w:rPr>
                <w:rFonts w:ascii="Arial" w:hAnsi="Arial" w:cs="Arial"/>
                <w:sz w:val="20"/>
              </w:rPr>
              <w:t>72.405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84.498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88.647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112.106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129.773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136.095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83.692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97.846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103.182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  <w:tr w:rsidR="00B96151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147096" w:rsidRDefault="00B96151" w:rsidP="00B96151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2.763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3.236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3.443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5.121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6.132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6.534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3.461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3.954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4.152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</w:tr>
      <w:tr w:rsidR="00B96151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sz w:val="20"/>
              </w:rPr>
            </w:pP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147096" w:rsidRDefault="00B96151" w:rsidP="00B96151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rPr>
                <w:sz w:val="20"/>
              </w:rPr>
            </w:pP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75.168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87.734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92.090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117.226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135.905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142.629</w:t>
            </w:r>
          </w:p>
        </w:tc>
      </w:tr>
      <w:tr w:rsidR="00B96151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87.152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101.800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sz w:val="20"/>
              </w:rPr>
            </w:pPr>
            <w:r w:rsidRPr="00B96151">
              <w:rPr>
                <w:rFonts w:ascii="Arial" w:hAnsi="Arial" w:cs="Arial"/>
                <w:sz w:val="20"/>
              </w:rPr>
              <w:t>107.334</w:t>
            </w:r>
          </w:p>
        </w:tc>
      </w:tr>
      <w:tr w:rsidR="00B96151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151" w:rsidRPr="00D84197" w:rsidRDefault="00B96151" w:rsidP="00B96151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6151" w:rsidRPr="00B96151" w:rsidRDefault="00B96151" w:rsidP="00B961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151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B96151">
        <w:rPr>
          <w:rFonts w:ascii="Arial" w:hAnsi="Arial" w:cs="Arial"/>
          <w:sz w:val="22"/>
          <w:szCs w:val="22"/>
        </w:rPr>
        <w:t>4</w:t>
      </w:r>
      <w:r w:rsidR="004A21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B96151">
        <w:rPr>
          <w:rFonts w:ascii="Arial" w:hAnsi="Arial" w:cs="Arial"/>
          <w:sz w:val="22"/>
          <w:szCs w:val="22"/>
        </w:rPr>
        <w:t>356</w:t>
      </w:r>
      <w:r w:rsidR="00157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157B12">
        <w:rPr>
          <w:rFonts w:ascii="Arial" w:hAnsi="Arial" w:cs="Arial"/>
          <w:sz w:val="22"/>
          <w:szCs w:val="22"/>
        </w:rPr>
        <w:t>1</w:t>
      </w:r>
      <w:r w:rsidR="00B96151">
        <w:rPr>
          <w:rFonts w:ascii="Arial" w:hAnsi="Arial" w:cs="Arial"/>
          <w:sz w:val="22"/>
          <w:szCs w:val="22"/>
        </w:rPr>
        <w:t>6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B96151">
        <w:rPr>
          <w:rFonts w:ascii="Arial" w:hAnsi="Arial" w:cs="Arial"/>
          <w:sz w:val="22"/>
          <w:szCs w:val="22"/>
        </w:rPr>
        <w:t>922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63057C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0C1048">
        <w:rPr>
          <w:rFonts w:ascii="Arial" w:hAnsi="Arial" w:cs="Arial"/>
          <w:sz w:val="22"/>
          <w:szCs w:val="22"/>
        </w:rPr>
        <w:t>1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</w:t>
      </w:r>
      <w:r w:rsidR="00D60EB8">
        <w:rPr>
          <w:rFonts w:ascii="Arial" w:hAnsi="Arial" w:cs="Arial"/>
          <w:sz w:val="22"/>
          <w:szCs w:val="22"/>
        </w:rPr>
        <w:t xml:space="preserve"> </w:t>
      </w:r>
      <w:r w:rsidR="00B96151">
        <w:rPr>
          <w:rFonts w:ascii="Arial" w:hAnsi="Arial" w:cs="Arial"/>
          <w:sz w:val="22"/>
          <w:szCs w:val="22"/>
        </w:rPr>
        <w:t>816</w:t>
      </w:r>
      <w:r w:rsidR="00D60EB8">
        <w:rPr>
          <w:rFonts w:ascii="Arial" w:hAnsi="Arial" w:cs="Arial"/>
          <w:sz w:val="22"/>
          <w:szCs w:val="22"/>
        </w:rPr>
        <w:t xml:space="preserve"> milyon</w:t>
      </w:r>
      <w:r w:rsidR="00EB7049">
        <w:rPr>
          <w:rFonts w:ascii="Arial" w:hAnsi="Arial" w:cs="Arial"/>
          <w:sz w:val="22"/>
          <w:szCs w:val="22"/>
        </w:rPr>
        <w:t>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B96151">
        <w:rPr>
          <w:rFonts w:ascii="Arial" w:hAnsi="Arial" w:cs="Arial"/>
          <w:sz w:val="22"/>
          <w:szCs w:val="22"/>
        </w:rPr>
        <w:t>11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B96151">
        <w:rPr>
          <w:rFonts w:ascii="Arial" w:hAnsi="Arial" w:cs="Arial"/>
          <w:sz w:val="22"/>
          <w:szCs w:val="22"/>
        </w:rPr>
        <w:t xml:space="preserve"> 307</w:t>
      </w:r>
      <w:r w:rsidR="00D60EB8">
        <w:rPr>
          <w:rFonts w:ascii="Arial" w:hAnsi="Arial" w:cs="Arial"/>
          <w:sz w:val="22"/>
          <w:szCs w:val="22"/>
        </w:rPr>
        <w:t xml:space="preserve"> milyar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>. 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4A217C">
        <w:rPr>
          <w:rFonts w:ascii="Arial" w:hAnsi="Arial" w:cs="Arial"/>
          <w:sz w:val="22"/>
          <w:szCs w:val="22"/>
        </w:rPr>
        <w:t>6</w:t>
      </w:r>
      <w:r w:rsidR="00B96151">
        <w:rPr>
          <w:rFonts w:ascii="Arial" w:hAnsi="Arial" w:cs="Arial"/>
          <w:sz w:val="22"/>
          <w:szCs w:val="22"/>
        </w:rPr>
        <w:t>1</w:t>
      </w:r>
      <w:r w:rsidR="008F2527">
        <w:rPr>
          <w:rFonts w:ascii="Arial" w:hAnsi="Arial" w:cs="Arial"/>
          <w:sz w:val="22"/>
          <w:szCs w:val="22"/>
        </w:rPr>
        <w:t>’</w:t>
      </w:r>
      <w:r w:rsidR="00B96151">
        <w:rPr>
          <w:rFonts w:ascii="Arial" w:hAnsi="Arial" w:cs="Arial"/>
          <w:sz w:val="22"/>
          <w:szCs w:val="22"/>
        </w:rPr>
        <w:t>ini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B96151">
        <w:rPr>
          <w:rFonts w:ascii="Arial" w:hAnsi="Arial" w:cs="Arial"/>
          <w:sz w:val="22"/>
          <w:szCs w:val="22"/>
        </w:rPr>
        <w:t>27</w:t>
      </w:r>
      <w:r w:rsidR="0087134A">
        <w:rPr>
          <w:rFonts w:ascii="Arial" w:hAnsi="Arial" w:cs="Arial"/>
          <w:sz w:val="22"/>
          <w:szCs w:val="22"/>
        </w:rPr>
        <w:t>’</w:t>
      </w:r>
      <w:r w:rsidR="00B96151">
        <w:rPr>
          <w:rFonts w:ascii="Arial" w:hAnsi="Arial" w:cs="Arial"/>
          <w:sz w:val="22"/>
          <w:szCs w:val="22"/>
        </w:rPr>
        <w:t>s</w:t>
      </w:r>
      <w:r w:rsidR="00157B12">
        <w:rPr>
          <w:rFonts w:ascii="Arial" w:hAnsi="Arial" w:cs="Arial"/>
          <w:sz w:val="22"/>
          <w:szCs w:val="22"/>
        </w:rPr>
        <w:t>ini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2208EF" w:rsidRDefault="002208E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7E093E" w:rsidRDefault="0063057C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B96151">
        <w:rPr>
          <w:rFonts w:ascii="Arial" w:hAnsi="Arial" w:cs="Arial"/>
          <w:sz w:val="22"/>
          <w:szCs w:val="22"/>
        </w:rPr>
        <w:t>5</w:t>
      </w:r>
      <w:r w:rsidR="003F2E26">
        <w:rPr>
          <w:rFonts w:ascii="Arial" w:hAnsi="Arial" w:cs="Arial"/>
          <w:sz w:val="22"/>
          <w:szCs w:val="22"/>
        </w:rPr>
        <w:t xml:space="preserve"> milyon</w:t>
      </w:r>
      <w:r w:rsidR="00157B12">
        <w:rPr>
          <w:rFonts w:ascii="Arial" w:hAnsi="Arial" w:cs="Arial"/>
          <w:sz w:val="22"/>
          <w:szCs w:val="22"/>
        </w:rPr>
        <w:t xml:space="preserve"> </w:t>
      </w:r>
      <w:r w:rsidR="00B96151">
        <w:rPr>
          <w:rFonts w:ascii="Arial" w:hAnsi="Arial" w:cs="Arial"/>
          <w:sz w:val="22"/>
          <w:szCs w:val="22"/>
        </w:rPr>
        <w:t>388</w:t>
      </w:r>
      <w:r w:rsidR="00157B12">
        <w:rPr>
          <w:rFonts w:ascii="Arial" w:hAnsi="Arial" w:cs="Arial"/>
          <w:sz w:val="22"/>
          <w:szCs w:val="22"/>
        </w:rPr>
        <w:t xml:space="preserve"> bin</w:t>
      </w:r>
      <w:r w:rsidR="00601F2D">
        <w:rPr>
          <w:rFonts w:ascii="Arial" w:hAnsi="Arial" w:cs="Arial"/>
          <w:sz w:val="22"/>
          <w:szCs w:val="22"/>
        </w:rPr>
        <w:t xml:space="preserve">, hacmi </w:t>
      </w:r>
      <w:r w:rsidR="00B96151">
        <w:rPr>
          <w:rFonts w:ascii="Arial" w:hAnsi="Arial" w:cs="Arial"/>
          <w:sz w:val="22"/>
          <w:szCs w:val="22"/>
        </w:rPr>
        <w:t>yaklaşık 162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B96151">
        <w:rPr>
          <w:rFonts w:ascii="Arial" w:hAnsi="Arial" w:cs="Arial"/>
          <w:sz w:val="22"/>
          <w:szCs w:val="22"/>
        </w:rPr>
        <w:t>4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B96151">
        <w:rPr>
          <w:rFonts w:ascii="Arial" w:hAnsi="Arial" w:cs="Arial"/>
          <w:sz w:val="22"/>
          <w:szCs w:val="22"/>
        </w:rPr>
        <w:t>14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4B" w:rsidRDefault="0068204B">
      <w:r>
        <w:separator/>
      </w:r>
    </w:p>
  </w:endnote>
  <w:endnote w:type="continuationSeparator" w:id="0">
    <w:p w:rsidR="0068204B" w:rsidRDefault="006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4B" w:rsidRDefault="006820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204B" w:rsidRDefault="006820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4B" w:rsidRPr="004A3CA1" w:rsidRDefault="0068204B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Aralık 2022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73232F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:rsidR="0068204B" w:rsidRDefault="0068204B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4B" w:rsidRPr="00325942" w:rsidRDefault="0068204B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68204B" w:rsidRDefault="0068204B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/Aralık 2022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68204B" w:rsidRPr="00371F55" w:rsidRDefault="0068204B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4B" w:rsidRDefault="0068204B">
      <w:r>
        <w:separator/>
      </w:r>
    </w:p>
  </w:footnote>
  <w:footnote w:type="continuationSeparator" w:id="0">
    <w:p w:rsidR="0068204B" w:rsidRDefault="0068204B">
      <w:r>
        <w:continuationSeparator/>
      </w:r>
    </w:p>
  </w:footnote>
  <w:footnote w:id="1">
    <w:p w:rsidR="0068204B" w:rsidRPr="00147096" w:rsidRDefault="0068204B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68204B" w:rsidRDefault="0068204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68204B" w:rsidRPr="00F06EBF" w:rsidRDefault="0068204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4B" w:rsidRDefault="0068204B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C12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654C5"/>
    <w:rsid w:val="00371121"/>
    <w:rsid w:val="00371F55"/>
    <w:rsid w:val="0037359B"/>
    <w:rsid w:val="00374138"/>
    <w:rsid w:val="003752B6"/>
    <w:rsid w:val="003759DA"/>
    <w:rsid w:val="00376B60"/>
    <w:rsid w:val="00377157"/>
    <w:rsid w:val="0037718B"/>
    <w:rsid w:val="00377BDA"/>
    <w:rsid w:val="0038023C"/>
    <w:rsid w:val="003807C3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06BDC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5BF8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CC5"/>
    <w:rsid w:val="00BC5F0D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3E79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42D8"/>
    <w:rsid w:val="00C95AD7"/>
    <w:rsid w:val="00C97F73"/>
    <w:rsid w:val="00CA0E1A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F7E"/>
    <w:rsid w:val="00D1665F"/>
    <w:rsid w:val="00D1692B"/>
    <w:rsid w:val="00D21AE6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4:docId w14:val="5FA27113"/>
  <w15:docId w15:val="{D4945C5A-C684-40F2-9396-CC0ECEC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12-22\1&#304;nternet%20Bankac&#305;l&#305;&#287;&#305;%20Raporu-Aral&#305;k%202022(toplula&#351;t&#305;r&#305;lm&#305;&#351;)-YEN&#304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data!$B$101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</c:strCache>
            </c:strRef>
          </c:cat>
          <c:val>
            <c:numRef>
              <c:f>data!$B$102:$B$107</c:f>
              <c:numCache>
                <c:formatCode>#,##0</c:formatCode>
                <c:ptCount val="6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2.3006929999999999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05-4881-99DC-4666160E56E5}"/>
            </c:ext>
          </c:extLst>
        </c:ser>
        <c:ser>
          <c:idx val="1"/>
          <c:order val="1"/>
          <c:tx>
            <c:strRef>
              <c:f>data!$C$101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</c:strCache>
            </c:strRef>
          </c:cat>
          <c:val>
            <c:numRef>
              <c:f>data!$C$102:$C$107</c:f>
              <c:numCache>
                <c:formatCode>#,##0</c:formatCode>
                <c:ptCount val="6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9.7856120000000004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05-4881-99DC-4666160E56E5}"/>
            </c:ext>
          </c:extLst>
        </c:ser>
        <c:ser>
          <c:idx val="2"/>
          <c:order val="2"/>
          <c:tx>
            <c:strRef>
              <c:f>data!$D$101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</c:strCache>
            </c:strRef>
          </c:cat>
          <c:val>
            <c:numRef>
              <c:f>data!$D$102:$D$107</c:f>
              <c:numCache>
                <c:formatCode>#,##0</c:formatCode>
                <c:ptCount val="6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82.303898000000004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05-4881-99DC-4666160E5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3860192"/>
        <c:axId val="1"/>
      </c:barChart>
      <c:lineChart>
        <c:grouping val="standard"/>
        <c:varyColors val="0"/>
        <c:ser>
          <c:idx val="3"/>
          <c:order val="3"/>
          <c:tx>
            <c:strRef>
              <c:f>data!$E$101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</c:strCache>
            </c:strRef>
          </c:cat>
          <c:val>
            <c:numRef>
              <c:f>data!$E$102:$E$107</c:f>
              <c:numCache>
                <c:formatCode>#,##0</c:formatCode>
                <c:ptCount val="6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94.390203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705-4881-99DC-4666160E5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3860192"/>
        <c:axId val="1"/>
      </c:lineChart>
      <c:catAx>
        <c:axId val="48386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6337470528E-2"/>
              <c:y val="4.107670397702529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838601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4479291783441E-3"/>
          <c:y val="0.759830985252404"/>
          <c:w val="0.99721055207082165"/>
          <c:h val="0.2401690147475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data!$B$77</c:f>
              <c:strCache>
                <c:ptCount val="1"/>
                <c:pt idx="0">
                  <c:v>Aralık 2022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8D-487F-B3EA-88D676C3DD32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8D-487F-B3EA-88D676C3DD32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A8D-487F-B3EA-88D676C3DD32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A8D-487F-B3EA-88D676C3DD3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data!$A$78:$A$79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data!$B$78:$B$79</c:f>
              <c:numCache>
                <c:formatCode>#,##0</c:formatCode>
                <c:ptCount val="2"/>
                <c:pt idx="0">
                  <c:v>30642.180326599999</c:v>
                </c:pt>
                <c:pt idx="1">
                  <c:v>59683.0106734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8D-487F-B3EA-88D676C3DD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data!$B$82</c:f>
              <c:strCache>
                <c:ptCount val="1"/>
                <c:pt idx="0">
                  <c:v>Aralık 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data!$A$83:$A$88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data!$B$83:$B$88</c:f>
              <c:numCache>
                <c:formatCode>#,##0</c:formatCode>
                <c:ptCount val="6"/>
                <c:pt idx="0">
                  <c:v>587.2897193</c:v>
                </c:pt>
                <c:pt idx="1">
                  <c:v>17175.7375985</c:v>
                </c:pt>
                <c:pt idx="2">
                  <c:v>24401.777732800001</c:v>
                </c:pt>
                <c:pt idx="3">
                  <c:v>35623.073375500004</c:v>
                </c:pt>
                <c:pt idx="4">
                  <c:v>8257.9008739000001</c:v>
                </c:pt>
                <c:pt idx="5">
                  <c:v>4279.4117000000006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18-4D75-A482-EE09FD845A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0488304"/>
        <c:axId val="1"/>
      </c:barChart>
      <c:catAx>
        <c:axId val="63048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0310302123E-2"/>
              <c:y val="2.4178843316227262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30488304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88B8-D5BA-4E47-B24F-B3496AF5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43</cp:revision>
  <cp:lastPrinted>2022-11-04T08:08:00Z</cp:lastPrinted>
  <dcterms:created xsi:type="dcterms:W3CDTF">2022-05-16T14:06:00Z</dcterms:created>
  <dcterms:modified xsi:type="dcterms:W3CDTF">2023-02-10T12:51:00Z</dcterms:modified>
</cp:coreProperties>
</file>