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06161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Ocak 2023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061614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Mayıs 2021</w:t>
      </w:r>
      <w:r w:rsidRPr="00E763AF">
        <w:rPr>
          <w:rFonts w:ascii="Arial" w:hAnsi="Arial" w:cs="Arial"/>
          <w:sz w:val="22"/>
          <w:szCs w:val="22"/>
        </w:rPr>
        <w:t xml:space="preserve"> döneminde</w:t>
      </w:r>
      <w:r>
        <w:rPr>
          <w:rFonts w:ascii="Arial" w:hAnsi="Arial" w:cs="Arial"/>
          <w:sz w:val="22"/>
          <w:szCs w:val="22"/>
        </w:rPr>
        <w:t>n</w:t>
      </w:r>
      <w:r w:rsidRPr="00E763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itibaren </w:t>
      </w:r>
      <w:r w:rsidRPr="00E763AF">
        <w:rPr>
          <w:rFonts w:ascii="Arial" w:hAnsi="Arial" w:cs="Arial"/>
          <w:sz w:val="22"/>
          <w:szCs w:val="22"/>
        </w:rPr>
        <w:t xml:space="preserve">aylık dönemlerde </w:t>
      </w:r>
      <w:r>
        <w:rPr>
          <w:rFonts w:ascii="Arial" w:hAnsi="Arial" w:cs="Arial"/>
          <w:sz w:val="22"/>
          <w:szCs w:val="22"/>
        </w:rPr>
        <w:t>toplanan raporda yer alan tanımlar</w:t>
      </w:r>
      <w:r w:rsidR="00010D52">
        <w:rPr>
          <w:rFonts w:ascii="Arial" w:hAnsi="Arial" w:cs="Arial"/>
          <w:sz w:val="22"/>
          <w:szCs w:val="22"/>
        </w:rPr>
        <w:t xml:space="preserve">, </w:t>
      </w:r>
      <w:r w:rsidR="00010D52" w:rsidRPr="003F6898">
        <w:rPr>
          <w:rFonts w:ascii="Arial" w:hAnsi="Arial" w:cs="Arial"/>
          <w:sz w:val="22"/>
          <w:szCs w:val="22"/>
        </w:rPr>
        <w:t>bu hizmeti veren bankalar ile birlikte yapılan toplantılar neticesinde ve</w:t>
      </w:r>
      <w:r w:rsidR="00010D52">
        <w:rPr>
          <w:rFonts w:ascii="Arial" w:hAnsi="Arial" w:cs="Arial"/>
          <w:sz w:val="22"/>
          <w:szCs w:val="22"/>
        </w:rPr>
        <w:t xml:space="preserve"> </w:t>
      </w:r>
      <w:r w:rsidR="003308CC">
        <w:rPr>
          <w:rFonts w:ascii="Arial" w:hAnsi="Arial" w:cs="Arial"/>
          <w:sz w:val="22"/>
          <w:szCs w:val="22"/>
        </w:rPr>
        <w:t>“</w:t>
      </w:r>
      <w:r w:rsidR="002107BD"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</w:t>
      </w:r>
      <w:r w:rsidR="00010D52">
        <w:rPr>
          <w:rFonts w:ascii="Arial" w:hAnsi="Arial" w:cs="Arial"/>
          <w:sz w:val="22"/>
          <w:szCs w:val="22"/>
        </w:rPr>
        <w:t xml:space="preserve"> gözden geçirilmiş, yapılan değişikliklerin Ocak 2023 itibarıyla uygulanmasına karar verilmiştir. Önceki dönemlerle karşılaştırma yapılamaması nedeniyle aşağıda</w:t>
      </w:r>
      <w:r>
        <w:rPr>
          <w:rFonts w:ascii="Arial" w:hAnsi="Arial" w:cs="Arial"/>
          <w:sz w:val="22"/>
          <w:szCs w:val="22"/>
        </w:rPr>
        <w:t xml:space="preserve"> sadece Ocak 2023 dönemine ait</w:t>
      </w:r>
      <w:r w:rsidR="00032287" w:rsidRPr="00032287">
        <w:rPr>
          <w:rFonts w:ascii="Arial" w:hAnsi="Arial" w:cs="Arial"/>
          <w:sz w:val="22"/>
          <w:szCs w:val="22"/>
        </w:rPr>
        <w:t xml:space="preserve">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>
        <w:rPr>
          <w:rFonts w:ascii="Arial" w:hAnsi="Arial" w:cs="Arial"/>
          <w:sz w:val="22"/>
          <w:szCs w:val="22"/>
        </w:rPr>
        <w:t>ilişk</w:t>
      </w:r>
      <w:r w:rsidR="00010D52">
        <w:rPr>
          <w:rFonts w:ascii="Arial" w:hAnsi="Arial" w:cs="Arial"/>
          <w:sz w:val="22"/>
          <w:szCs w:val="22"/>
        </w:rPr>
        <w:t>in istatistiki bilgi verilmiştir.</w:t>
      </w:r>
      <w:r w:rsidR="002107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Ocak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7F06B3">
        <w:rPr>
          <w:rFonts w:ascii="Arial" w:hAnsi="Arial" w:cs="Arial"/>
          <w:sz w:val="22"/>
          <w:szCs w:val="22"/>
        </w:rPr>
        <w:t xml:space="preserve">bu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206545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</w:t>
      </w:r>
      <w:r w:rsidR="005A48B7">
        <w:rPr>
          <w:rFonts w:ascii="Arial" w:hAnsi="Arial" w:cs="Arial"/>
          <w:b/>
          <w:sz w:val="22"/>
          <w:szCs w:val="22"/>
        </w:rPr>
        <w:t xml:space="preserve">Ocak 2023*, </w:t>
      </w:r>
      <w:r>
        <w:rPr>
          <w:rFonts w:ascii="Arial" w:hAnsi="Arial" w:cs="Arial"/>
          <w:b/>
          <w:sz w:val="22"/>
          <w:szCs w:val="22"/>
        </w:rPr>
        <w:t>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A07ACD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885FB67" wp14:editId="058F0FDF">
            <wp:extent cx="4583430" cy="2311603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5A48B7" w:rsidRDefault="005A48B7" w:rsidP="005A48B7">
      <w:pPr>
        <w:jc w:val="both"/>
        <w:rPr>
          <w:rFonts w:ascii="Arial" w:hAnsi="Arial" w:cs="Arial"/>
          <w:sz w:val="16"/>
          <w:szCs w:val="22"/>
        </w:rPr>
      </w:pPr>
      <w:r w:rsidRPr="005A48B7">
        <w:rPr>
          <w:rFonts w:ascii="Arial" w:hAnsi="Arial" w:cs="Arial"/>
          <w:sz w:val="16"/>
          <w:szCs w:val="22"/>
        </w:rPr>
        <w:lastRenderedPageBreak/>
        <w:t>*: Yapılan değişiklikler nedeniyle, önceki dönemlerle karşılaştırma yapılamamış ve Ocak 2023 ayı müşteri sayılarına ilişkin istatistiki bilgi verilmiştir.</w:t>
      </w:r>
      <w:r>
        <w:t xml:space="preserve"> </w:t>
      </w:r>
      <w:r w:rsidRPr="005A48B7">
        <w:rPr>
          <w:rFonts w:ascii="Arial" w:hAnsi="Arial" w:cs="Arial"/>
          <w:sz w:val="16"/>
          <w:szCs w:val="22"/>
        </w:rPr>
        <w:t xml:space="preserve">İlerleyen </w:t>
      </w:r>
      <w:r>
        <w:rPr>
          <w:rFonts w:ascii="Arial" w:hAnsi="Arial" w:cs="Arial"/>
          <w:sz w:val="16"/>
          <w:szCs w:val="22"/>
        </w:rPr>
        <w:t>dönemlerde</w:t>
      </w:r>
      <w:r w:rsidRPr="005A48B7">
        <w:rPr>
          <w:rFonts w:ascii="Arial" w:hAnsi="Arial" w:cs="Arial"/>
          <w:sz w:val="16"/>
          <w:szCs w:val="22"/>
        </w:rPr>
        <w:t xml:space="preserve"> karşılaştırmalı bilgi sunulmasına devam edilecektir.</w:t>
      </w:r>
    </w:p>
    <w:p w:rsidR="005A48B7" w:rsidRPr="005A48B7" w:rsidRDefault="005A48B7" w:rsidP="005A48B7">
      <w:pPr>
        <w:jc w:val="both"/>
        <w:rPr>
          <w:rFonts w:ascii="Arial" w:hAnsi="Arial" w:cs="Arial"/>
          <w:sz w:val="18"/>
          <w:szCs w:val="22"/>
        </w:rPr>
      </w:pPr>
    </w:p>
    <w:p w:rsidR="0007306D" w:rsidRDefault="00A07ACD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04331D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206B46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376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A07AC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84</w:t>
      </w:r>
      <w:r w:rsidR="001A42FC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6083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9"/>
        <w:gridCol w:w="1134"/>
      </w:tblGrid>
      <w:tr w:rsidR="00A07ACD" w:rsidRPr="000C305F" w:rsidTr="005A48B7">
        <w:trPr>
          <w:trHeight w:val="315"/>
        </w:trPr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7ACD" w:rsidRPr="000C305F" w:rsidRDefault="00A07ACD" w:rsidP="00DA65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07ACD" w:rsidRPr="000C305F" w:rsidRDefault="005A48B7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Ocak </w:t>
            </w:r>
            <w:r w:rsidR="00A07ACD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A07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</w:tr>
      <w:tr w:rsidR="00A07ACD" w:rsidRPr="000C305F" w:rsidTr="005A48B7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7ACD" w:rsidRPr="000C305F" w:rsidRDefault="00A07ACD" w:rsidP="001A42FC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7ACD" w:rsidRPr="000C305F" w:rsidRDefault="00A07ACD" w:rsidP="00E3045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117</w:t>
            </w:r>
          </w:p>
        </w:tc>
      </w:tr>
      <w:tr w:rsidR="00A07ACD" w:rsidRPr="000C305F" w:rsidTr="005A48B7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7ACD" w:rsidRPr="000C305F" w:rsidRDefault="00A07ACD" w:rsidP="001A42FC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7ACD" w:rsidRPr="000C305F" w:rsidRDefault="00A07ACD" w:rsidP="00E3045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</w:tr>
      <w:tr w:rsidR="00A07ACD" w:rsidRPr="000C305F" w:rsidTr="005A48B7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7ACD" w:rsidRPr="000C305F" w:rsidRDefault="00A07ACD" w:rsidP="001A42FC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7ACD" w:rsidRPr="000C305F" w:rsidRDefault="00A07ACD" w:rsidP="00E3045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635</w:t>
            </w:r>
          </w:p>
        </w:tc>
      </w:tr>
      <w:tr w:rsidR="00A07ACD" w:rsidRPr="001E6F92" w:rsidTr="005A48B7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07ACD" w:rsidRPr="000C305F" w:rsidRDefault="00A07ACD" w:rsidP="001A42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07ACD" w:rsidRPr="000C305F" w:rsidRDefault="00A07ACD" w:rsidP="001A42F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848</w:t>
            </w:r>
          </w:p>
        </w:tc>
      </w:tr>
    </w:tbl>
    <w:p w:rsidR="00736E67" w:rsidRPr="00736E67" w:rsidRDefault="00736E67" w:rsidP="00736E67">
      <w:pPr>
        <w:jc w:val="both"/>
        <w:rPr>
          <w:rFonts w:ascii="Arial" w:hAnsi="Arial" w:cs="Arial"/>
          <w:i/>
          <w:sz w:val="16"/>
          <w:szCs w:val="16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F8" w:rsidRDefault="00A342F8">
      <w:r>
        <w:separator/>
      </w:r>
    </w:p>
  </w:endnote>
  <w:endnote w:type="continuationSeparator" w:id="0">
    <w:p w:rsidR="00A342F8" w:rsidRDefault="00A3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F06B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061614">
      <w:rPr>
        <w:rFonts w:ascii="Arial" w:hAnsi="Arial" w:cs="Arial"/>
        <w:sz w:val="18"/>
        <w:szCs w:val="18"/>
      </w:rPr>
      <w:t>Ocak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61614">
      <w:rPr>
        <w:rFonts w:ascii="Arial" w:hAnsi="Arial" w:cs="Arial"/>
        <w:sz w:val="18"/>
        <w:szCs w:val="18"/>
      </w:rPr>
      <w:t>3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  </w:t>
    </w:r>
    <w:r w:rsidR="0004331D">
      <w:rPr>
        <w:rFonts w:ascii="Arial" w:hAnsi="Arial" w:cs="Arial"/>
        <w:sz w:val="18"/>
        <w:szCs w:val="18"/>
      </w:rPr>
      <w:t xml:space="preserve"> </w:t>
    </w:r>
    <w:r w:rsidR="001A42FC">
      <w:rPr>
        <w:rFonts w:ascii="Arial" w:hAnsi="Arial" w:cs="Arial"/>
        <w:sz w:val="18"/>
        <w:szCs w:val="18"/>
      </w:rPr>
      <w:t xml:space="preserve"> 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F8" w:rsidRDefault="00A342F8">
      <w:r>
        <w:separator/>
      </w:r>
    </w:p>
  </w:footnote>
  <w:footnote w:type="continuationSeparator" w:id="0">
    <w:p w:rsidR="00A342F8" w:rsidRDefault="00A3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7A6C"/>
    <w:rsid w:val="0014155E"/>
    <w:rsid w:val="00144EDF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4C6741E0-1ED6-4625-B3C2-60145FA2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1-23\Uzaktan%20ve%20&#350;ubeden%20M&#252;&#351;teri%20Edinimi%20&#304;statistikleri-Ocak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Ocak 2023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1094.4999464</c:v>
                </c:pt>
                <c:pt idx="1">
                  <c:v>376.16399999999999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C9-49D7-A820-3B17C8C3B7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'tablo-grafik'!$A$14</c15:sqref>
                        </c15:formulaRef>
                      </c:ext>
                    </c:extLst>
                    <c:strCache>
                      <c:ptCount val="1"/>
                      <c:pt idx="0">
                        <c:v>Şubat 2023</c:v>
                      </c:pt>
                    </c:strCache>
                  </c:strRef>
                </c:tx>
                <c:spPr>
                  <a:solidFill>
                    <a:srgbClr val="FF0000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tr-TR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'tablo-grafik'!$B$12:$C$12</c15:sqref>
                        </c15:formulaRef>
                      </c:ext>
                    </c:extLst>
                    <c:strCache>
                      <c:ptCount val="2"/>
                      <c:pt idx="0">
                        <c:v>Uzaktan - Başvuru Sayısı</c:v>
                      </c:pt>
                      <c:pt idx="1">
                        <c:v>Uzaktan - Müşteri Temsilcisi ile Sonuçlandırılan Müşteri Sayısı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'tablo-grafik'!$B$14:$C$14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2C9-49D7-A820-3B17C8C3B7A8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'tablo-grafik'!$A$15</c15:sqref>
                        </c15:formulaRef>
                      </c:ext>
                    </c:extLst>
                    <c:strCache>
                      <c:ptCount val="1"/>
                      <c:pt idx="0">
                        <c:v>Mart 2023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'tablo-grafik'!$B$12:$C$12</c15:sqref>
                        </c15:formulaRef>
                      </c:ext>
                    </c:extLst>
                    <c:strCache>
                      <c:ptCount val="2"/>
                      <c:pt idx="0">
                        <c:v>Uzaktan - Başvuru Sayısı</c:v>
                      </c:pt>
                      <c:pt idx="1">
                        <c:v>Uzaktan - Müşteri Temsilcisi ile Sonuçlandırılan Müşteri Sayısı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'tablo-grafik'!$B$15:$C$15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2C9-49D7-A820-3B17C8C3B7A8}"/>
                  </c:ext>
                </c:extLst>
              </c15:ser>
            </c15:filteredBarSeries>
          </c:ext>
        </c:extLst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0799060B-033B-4DF3-B51B-F9248824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2022-09-12T10:35:00Z</cp:lastPrinted>
  <dcterms:created xsi:type="dcterms:W3CDTF">2023-02-21T07:17:00Z</dcterms:created>
  <dcterms:modified xsi:type="dcterms:W3CDTF">2023-02-21T07:17:00Z</dcterms:modified>
</cp:coreProperties>
</file>