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26A" w:rsidRPr="00480D21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:rsidR="0074426A" w:rsidRPr="00480D2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:rsidR="00704B9E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480D21">
        <w:rPr>
          <w:rFonts w:ascii="Arial" w:hAnsi="Arial"/>
          <w:bCs/>
          <w:color w:val="FF0000"/>
          <w:sz w:val="26"/>
          <w:szCs w:val="26"/>
        </w:rPr>
        <w:t xml:space="preserve"> </w:t>
      </w:r>
      <w:r w:rsidRPr="00795BD9">
        <w:rPr>
          <w:rFonts w:ascii="Arial" w:hAnsi="Arial"/>
          <w:bCs/>
          <w:sz w:val="26"/>
          <w:szCs w:val="26"/>
        </w:rPr>
        <w:t>Türkiye’de Bankacılık Sistemi</w:t>
      </w:r>
      <w:r w:rsidR="00847B56" w:rsidRPr="00795BD9">
        <w:rPr>
          <w:rFonts w:ascii="Arial" w:hAnsi="Arial"/>
          <w:bCs/>
          <w:sz w:val="26"/>
          <w:szCs w:val="26"/>
        </w:rPr>
        <w:t xml:space="preserve"> </w:t>
      </w:r>
    </w:p>
    <w:p w:rsidR="00FD6DC2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95BD9">
        <w:rPr>
          <w:rFonts w:ascii="Arial" w:hAnsi="Arial"/>
          <w:bCs/>
          <w:sz w:val="26"/>
          <w:szCs w:val="26"/>
        </w:rPr>
        <w:t xml:space="preserve">Banka, </w:t>
      </w:r>
      <w:r w:rsidR="008B749A" w:rsidRPr="00795BD9">
        <w:rPr>
          <w:rFonts w:ascii="Arial" w:hAnsi="Arial"/>
          <w:bCs/>
          <w:sz w:val="26"/>
          <w:szCs w:val="26"/>
        </w:rPr>
        <w:t>Çalışan ve Şube</w:t>
      </w:r>
      <w:r w:rsidRPr="00795BD9">
        <w:rPr>
          <w:rFonts w:ascii="Arial" w:hAnsi="Arial"/>
          <w:bCs/>
          <w:sz w:val="26"/>
          <w:szCs w:val="26"/>
        </w:rPr>
        <w:t xml:space="preserve"> Bilgileri</w:t>
      </w:r>
      <w:r w:rsidRPr="00795BD9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95BD9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95BD9">
        <w:rPr>
          <w:rFonts w:ascii="Arial" w:hAnsi="Arial"/>
          <w:bCs/>
          <w:sz w:val="26"/>
          <w:szCs w:val="26"/>
        </w:rPr>
        <w:t xml:space="preserve"> </w:t>
      </w:r>
    </w:p>
    <w:p w:rsidR="00FD6DC2" w:rsidRPr="00795BD9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795BD9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795BD9" w:rsidRDefault="00480D21" w:rsidP="00FD6DC2">
      <w:pPr>
        <w:pStyle w:val="Title"/>
        <w:rPr>
          <w:rFonts w:ascii="Arial" w:hAnsi="Arial" w:cs="Arial"/>
          <w:bCs/>
          <w:szCs w:val="24"/>
        </w:rPr>
      </w:pPr>
      <w:r w:rsidRPr="00795BD9">
        <w:rPr>
          <w:rFonts w:ascii="Arial" w:hAnsi="Arial" w:cs="Arial"/>
          <w:bCs/>
          <w:szCs w:val="24"/>
        </w:rPr>
        <w:t>Eylül</w:t>
      </w:r>
      <w:r w:rsidR="00511FF6" w:rsidRPr="00795BD9">
        <w:rPr>
          <w:rFonts w:ascii="Arial" w:hAnsi="Arial" w:cs="Arial"/>
          <w:bCs/>
          <w:szCs w:val="24"/>
        </w:rPr>
        <w:t xml:space="preserve"> 2023</w:t>
      </w:r>
    </w:p>
    <w:p w:rsidR="00342ADD" w:rsidRPr="00795BD9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795BD9" w:rsidRDefault="00823340" w:rsidP="00F607F2">
      <w:pPr>
        <w:pStyle w:val="Subtitle"/>
        <w:rPr>
          <w:rFonts w:cs="Arial"/>
          <w:szCs w:val="22"/>
        </w:rPr>
      </w:pPr>
      <w:r w:rsidRPr="00795BD9">
        <w:rPr>
          <w:rFonts w:cs="Arial"/>
          <w:szCs w:val="22"/>
        </w:rPr>
        <w:t xml:space="preserve">Banka </w:t>
      </w:r>
      <w:r w:rsidR="00F607F2" w:rsidRPr="00795BD9">
        <w:rPr>
          <w:rFonts w:cs="Arial"/>
          <w:szCs w:val="22"/>
        </w:rPr>
        <w:t>Sayısı</w:t>
      </w:r>
    </w:p>
    <w:p w:rsidR="00F607F2" w:rsidRPr="00795BD9" w:rsidRDefault="00F607F2" w:rsidP="0096545B">
      <w:pPr>
        <w:pStyle w:val="Subtitle"/>
        <w:rPr>
          <w:rFonts w:cs="Arial"/>
          <w:sz w:val="10"/>
          <w:szCs w:val="10"/>
        </w:rPr>
      </w:pPr>
    </w:p>
    <w:p w:rsidR="003D3F8D" w:rsidRPr="00AD3B34" w:rsidRDefault="00F607F2" w:rsidP="00AD3B3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95BD9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795BD9">
        <w:rPr>
          <w:rFonts w:ascii="Arial" w:hAnsi="Arial" w:cs="Arial"/>
          <w:sz w:val="22"/>
          <w:szCs w:val="22"/>
        </w:rPr>
        <w:t>5</w:t>
      </w:r>
      <w:r w:rsidR="00F006F9" w:rsidRPr="00795BD9">
        <w:rPr>
          <w:rFonts w:ascii="Arial" w:hAnsi="Arial" w:cs="Arial"/>
          <w:sz w:val="22"/>
          <w:szCs w:val="22"/>
        </w:rPr>
        <w:t>8</w:t>
      </w:r>
      <w:r w:rsidR="00300266" w:rsidRPr="00795BD9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795BD9">
        <w:rPr>
          <w:rFonts w:ascii="Arial" w:hAnsi="Arial" w:cs="Arial"/>
          <w:sz w:val="22"/>
          <w:szCs w:val="22"/>
        </w:rPr>
        <w:t>Mevduat bankaları 3</w:t>
      </w:r>
      <w:r w:rsidR="00BD5935" w:rsidRPr="00795BD9">
        <w:rPr>
          <w:rFonts w:ascii="Arial" w:hAnsi="Arial" w:cs="Arial"/>
          <w:sz w:val="22"/>
          <w:szCs w:val="22"/>
        </w:rPr>
        <w:t>5</w:t>
      </w:r>
      <w:r w:rsidRPr="00795BD9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795BD9">
        <w:rPr>
          <w:rFonts w:ascii="Arial" w:hAnsi="Arial" w:cs="Arial"/>
          <w:sz w:val="22"/>
          <w:szCs w:val="22"/>
        </w:rPr>
        <w:t>1</w:t>
      </w:r>
      <w:r w:rsidR="003D3F8D" w:rsidRPr="00795BD9">
        <w:rPr>
          <w:rFonts w:ascii="Arial" w:hAnsi="Arial" w:cs="Arial"/>
          <w:sz w:val="22"/>
          <w:szCs w:val="22"/>
        </w:rPr>
        <w:t>7</w:t>
      </w:r>
      <w:r w:rsidR="006F374E" w:rsidRPr="00795BD9">
        <w:rPr>
          <w:rFonts w:ascii="Arial" w:hAnsi="Arial" w:cs="Arial"/>
          <w:sz w:val="22"/>
          <w:szCs w:val="22"/>
        </w:rPr>
        <w:t xml:space="preserve">, </w:t>
      </w:r>
      <w:r w:rsidR="00A8116B" w:rsidRPr="00795BD9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795BD9">
        <w:rPr>
          <w:rFonts w:ascii="Arial" w:hAnsi="Arial" w:cs="Arial"/>
          <w:sz w:val="22"/>
          <w:szCs w:val="22"/>
        </w:rPr>
        <w:t>6 tanedir</w:t>
      </w:r>
      <w:r w:rsidR="00D02A17" w:rsidRPr="00795BD9">
        <w:rPr>
          <w:rFonts w:ascii="Arial" w:hAnsi="Arial" w:cs="Arial"/>
          <w:sz w:val="22"/>
          <w:szCs w:val="22"/>
        </w:rPr>
        <w:t>.</w:t>
      </w:r>
      <w:r w:rsidR="00BD6BB5" w:rsidRPr="00795BD9">
        <w:rPr>
          <w:rFonts w:ascii="Arial" w:hAnsi="Arial" w:cs="Arial"/>
          <w:sz w:val="22"/>
          <w:szCs w:val="22"/>
        </w:rPr>
        <w:t xml:space="preserve"> </w:t>
      </w:r>
      <w:r w:rsidR="00421A73" w:rsidRPr="00795BD9">
        <w:rPr>
          <w:rFonts w:ascii="Arial" w:hAnsi="Arial" w:cs="Arial"/>
          <w:sz w:val="22"/>
          <w:szCs w:val="22"/>
        </w:rPr>
        <w:t>Misyon</w:t>
      </w:r>
      <w:r w:rsidR="00BD6BB5" w:rsidRPr="00795BD9">
        <w:rPr>
          <w:rFonts w:ascii="Arial" w:hAnsi="Arial" w:cs="Arial"/>
          <w:sz w:val="22"/>
          <w:szCs w:val="22"/>
        </w:rPr>
        <w:t xml:space="preserve"> Yatırım Bankası A.Ş</w:t>
      </w:r>
      <w:r w:rsidR="00742660" w:rsidRPr="00795BD9">
        <w:rPr>
          <w:rFonts w:ascii="Arial" w:hAnsi="Arial" w:cs="Arial"/>
          <w:sz w:val="22"/>
          <w:szCs w:val="22"/>
        </w:rPr>
        <w:t>.</w:t>
      </w:r>
      <w:r w:rsidR="00BD6BB5" w:rsidRPr="00795BD9">
        <w:rPr>
          <w:rFonts w:ascii="Arial" w:hAnsi="Arial" w:cs="Arial"/>
          <w:sz w:val="22"/>
          <w:szCs w:val="22"/>
        </w:rPr>
        <w:t xml:space="preserve"> </w:t>
      </w:r>
      <w:r w:rsidR="00742660" w:rsidRPr="00795BD9">
        <w:rPr>
          <w:rFonts w:ascii="Arial" w:hAnsi="Arial" w:cs="Arial"/>
          <w:sz w:val="22"/>
          <w:szCs w:val="22"/>
        </w:rPr>
        <w:t xml:space="preserve">14 </w:t>
      </w:r>
      <w:r w:rsidR="00480D21" w:rsidRPr="00795BD9">
        <w:rPr>
          <w:rFonts w:ascii="Arial" w:hAnsi="Arial" w:cs="Arial"/>
          <w:sz w:val="22"/>
          <w:szCs w:val="22"/>
        </w:rPr>
        <w:t>Eylül</w:t>
      </w:r>
      <w:r w:rsidR="00742660" w:rsidRPr="00795BD9">
        <w:rPr>
          <w:rFonts w:ascii="Arial" w:hAnsi="Arial" w:cs="Arial"/>
          <w:sz w:val="22"/>
          <w:szCs w:val="22"/>
        </w:rPr>
        <w:t xml:space="preserve"> 2023 tarihinde </w:t>
      </w:r>
      <w:r w:rsidR="00BD6BB5" w:rsidRPr="00795BD9">
        <w:rPr>
          <w:rFonts w:ascii="Arial" w:hAnsi="Arial" w:cs="Arial"/>
          <w:sz w:val="22"/>
          <w:szCs w:val="22"/>
        </w:rPr>
        <w:t>faaliyet</w:t>
      </w:r>
      <w:r w:rsidR="00742660" w:rsidRPr="00795BD9">
        <w:rPr>
          <w:rFonts w:ascii="Arial" w:hAnsi="Arial" w:cs="Arial"/>
          <w:sz w:val="22"/>
          <w:szCs w:val="22"/>
        </w:rPr>
        <w:t>e geçmiştir.</w:t>
      </w:r>
      <w:r w:rsidR="00421A73" w:rsidRPr="00795BD9">
        <w:rPr>
          <w:rFonts w:ascii="Arial" w:hAnsi="Arial" w:cs="Arial"/>
          <w:sz w:val="22"/>
          <w:szCs w:val="22"/>
        </w:rPr>
        <w:t xml:space="preserve"> </w:t>
      </w:r>
      <w:r w:rsidR="00AD3B34" w:rsidRPr="00AD3B34">
        <w:rPr>
          <w:rFonts w:ascii="Arial" w:hAnsi="Arial" w:cs="Arial"/>
          <w:sz w:val="22"/>
          <w:szCs w:val="22"/>
        </w:rPr>
        <w:t>Ada Bank A.Ş.’nin TMSF’ye ait hissesi, AHL Ahlatcı Finansal Yönetim A.Ş.'ye devredilmiş, banka özel sermayeli mevduat bankaları grubuna geçmiştir. Hedef Yatırım Bankası A.Ş., Q Yatırım Bankası A.Ş.’ye ve Tera Yatırım Bankası A.Ş.'ye faaliyet izni verilmiştir.</w:t>
      </w:r>
    </w:p>
    <w:p w:rsidR="00421A73" w:rsidRPr="00960E9C" w:rsidRDefault="00421A73" w:rsidP="00135947">
      <w:pPr>
        <w:jc w:val="both"/>
        <w:rPr>
          <w:rFonts w:ascii="Arial" w:hAnsi="Arial" w:cs="Arial"/>
          <w:strike/>
          <w:sz w:val="22"/>
          <w:szCs w:val="22"/>
        </w:rPr>
      </w:pPr>
    </w:p>
    <w:p w:rsidR="00791D3A" w:rsidRPr="00960E9C" w:rsidRDefault="00F607F2" w:rsidP="00347492">
      <w:pPr>
        <w:pStyle w:val="Heading9"/>
        <w:rPr>
          <w:rFonts w:ascii="Arial" w:hAnsi="Arial" w:cs="Arial"/>
          <w:szCs w:val="22"/>
        </w:rPr>
      </w:pPr>
      <w:r w:rsidRPr="00960E9C">
        <w:rPr>
          <w:rFonts w:ascii="Arial" w:hAnsi="Arial" w:cs="Arial"/>
          <w:szCs w:val="22"/>
        </w:rPr>
        <w:t xml:space="preserve">Banka </w:t>
      </w:r>
      <w:r w:rsidR="00D6687F" w:rsidRPr="00960E9C">
        <w:rPr>
          <w:rFonts w:ascii="Arial" w:hAnsi="Arial" w:cs="Arial"/>
          <w:szCs w:val="22"/>
        </w:rPr>
        <w:t>Sayısı</w:t>
      </w:r>
    </w:p>
    <w:p w:rsidR="001A7963" w:rsidRPr="00960E9C" w:rsidRDefault="00480D21" w:rsidP="00C51D32">
      <w:pPr>
        <w:jc w:val="center"/>
        <w:rPr>
          <w:lang w:eastAsia="tr-TR"/>
        </w:rPr>
      </w:pPr>
      <w:r w:rsidRPr="00960E9C">
        <w:rPr>
          <w:noProof/>
          <w:lang w:eastAsia="tr-TR"/>
        </w:rPr>
        <w:drawing>
          <wp:inline distT="0" distB="0" distL="0" distR="0" wp14:anchorId="3065191E" wp14:editId="26A4BBD7">
            <wp:extent cx="5058000" cy="1623840"/>
            <wp:effectExtent l="0" t="0" r="9525" b="1460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7EA6" w:rsidRPr="00960E9C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960E9C">
        <w:rPr>
          <w:rFonts w:ascii="Arial" w:hAnsi="Arial" w:cs="Arial"/>
          <w:i/>
          <w:sz w:val="16"/>
          <w:szCs w:val="16"/>
        </w:rPr>
        <w:t xml:space="preserve"> </w:t>
      </w:r>
      <w:r w:rsidR="00D6687F" w:rsidRPr="00960E9C">
        <w:rPr>
          <w:rFonts w:ascii="Arial" w:hAnsi="Arial" w:cs="Arial"/>
          <w:i/>
          <w:sz w:val="16"/>
          <w:szCs w:val="16"/>
        </w:rPr>
        <w:t>*</w:t>
      </w:r>
      <w:r w:rsidR="00A57A7F" w:rsidRPr="00960E9C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135947" w:rsidRPr="00960E9C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4B1D72" w:rsidRPr="00960E9C" w:rsidRDefault="004B1D72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960E9C" w:rsidRDefault="007E18B2" w:rsidP="002D2BBC">
      <w:pPr>
        <w:rPr>
          <w:rFonts w:ascii="Arial" w:hAnsi="Arial" w:cs="Arial"/>
          <w:b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960E9C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960E9C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>Çalışan sayısı</w:t>
      </w:r>
      <w:r w:rsidR="003F4F1F" w:rsidRPr="00960E9C">
        <w:rPr>
          <w:rFonts w:ascii="Arial" w:hAnsi="Arial" w:cs="Arial"/>
          <w:sz w:val="22"/>
          <w:szCs w:val="22"/>
        </w:rPr>
        <w:t>,</w:t>
      </w:r>
      <w:r w:rsidRPr="00960E9C">
        <w:rPr>
          <w:rFonts w:ascii="Arial" w:hAnsi="Arial" w:cs="Arial"/>
          <w:sz w:val="22"/>
          <w:szCs w:val="22"/>
        </w:rPr>
        <w:t xml:space="preserve"> </w:t>
      </w:r>
      <w:r w:rsidR="00480D21" w:rsidRPr="00960E9C">
        <w:rPr>
          <w:rFonts w:ascii="Arial" w:hAnsi="Arial" w:cs="Arial"/>
          <w:sz w:val="22"/>
          <w:szCs w:val="22"/>
        </w:rPr>
        <w:t>Eylül</w:t>
      </w:r>
      <w:r w:rsidR="0078566D" w:rsidRPr="00960E9C">
        <w:rPr>
          <w:rFonts w:ascii="Arial" w:hAnsi="Arial" w:cs="Arial"/>
          <w:sz w:val="22"/>
          <w:szCs w:val="22"/>
        </w:rPr>
        <w:t xml:space="preserve"> 2023</w:t>
      </w:r>
      <w:r w:rsidR="00446707" w:rsidRPr="00960E9C">
        <w:rPr>
          <w:rFonts w:ascii="Arial" w:hAnsi="Arial" w:cs="Arial"/>
          <w:sz w:val="22"/>
          <w:szCs w:val="22"/>
        </w:rPr>
        <w:t xml:space="preserve"> </w:t>
      </w:r>
      <w:r w:rsidR="00853C66" w:rsidRPr="00960E9C">
        <w:rPr>
          <w:rFonts w:ascii="Arial" w:hAnsi="Arial" w:cs="Arial"/>
          <w:sz w:val="22"/>
          <w:szCs w:val="22"/>
        </w:rPr>
        <w:t>itibariyle</w:t>
      </w:r>
      <w:r w:rsidR="00AF5D59" w:rsidRPr="00960E9C">
        <w:rPr>
          <w:rFonts w:ascii="Arial" w:hAnsi="Arial" w:cs="Arial"/>
          <w:sz w:val="22"/>
          <w:szCs w:val="22"/>
        </w:rPr>
        <w:t xml:space="preserve"> </w:t>
      </w:r>
      <w:r w:rsidRPr="00960E9C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B63568" w:rsidRPr="00960E9C">
        <w:rPr>
          <w:rFonts w:ascii="Arial" w:hAnsi="Arial" w:cs="Arial"/>
          <w:sz w:val="22"/>
          <w:szCs w:val="22"/>
        </w:rPr>
        <w:t>18</w:t>
      </w:r>
      <w:r w:rsidR="00960E9C" w:rsidRPr="00960E9C">
        <w:rPr>
          <w:rFonts w:ascii="Arial" w:hAnsi="Arial" w:cs="Arial"/>
          <w:sz w:val="22"/>
          <w:szCs w:val="22"/>
        </w:rPr>
        <w:t>9</w:t>
      </w:r>
      <w:r w:rsidR="00B63568" w:rsidRPr="00960E9C">
        <w:rPr>
          <w:rFonts w:ascii="Arial" w:hAnsi="Arial" w:cs="Arial"/>
          <w:sz w:val="22"/>
          <w:szCs w:val="22"/>
        </w:rPr>
        <w:t>.</w:t>
      </w:r>
      <w:r w:rsidR="00960E9C" w:rsidRPr="00960E9C">
        <w:rPr>
          <w:rFonts w:ascii="Arial" w:hAnsi="Arial" w:cs="Arial"/>
          <w:sz w:val="22"/>
          <w:szCs w:val="22"/>
        </w:rPr>
        <w:t>276</w:t>
      </w:r>
      <w:r w:rsidR="003F4F1F" w:rsidRPr="00960E9C">
        <w:rPr>
          <w:rFonts w:ascii="Arial" w:hAnsi="Arial" w:cs="Arial"/>
          <w:sz w:val="22"/>
          <w:szCs w:val="22"/>
        </w:rPr>
        <w:t xml:space="preserve"> </w:t>
      </w:r>
      <w:r w:rsidRPr="00960E9C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960E9C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960E9C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960E9C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>Çalışan</w:t>
      </w:r>
      <w:r w:rsidR="00887EA6" w:rsidRPr="00960E9C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960E9C">
        <w:rPr>
          <w:rFonts w:ascii="Arial" w:hAnsi="Arial" w:cs="Arial"/>
          <w:b/>
          <w:sz w:val="22"/>
          <w:szCs w:val="22"/>
        </w:rPr>
        <w:t>ı</w:t>
      </w:r>
      <w:r w:rsidR="001443CE" w:rsidRPr="00960E9C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960E9C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276"/>
        <w:gridCol w:w="1559"/>
        <w:gridCol w:w="1559"/>
      </w:tblGrid>
      <w:tr w:rsidR="00960E9C" w:rsidRPr="00960E9C" w:rsidTr="00480FE1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63568" w:rsidRPr="00960E9C" w:rsidRDefault="00B63568" w:rsidP="00B6356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960E9C" w:rsidRDefault="00480D21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60E9C">
              <w:rPr>
                <w:rFonts w:ascii="Arial" w:hAnsi="Arial" w:cs="Arial"/>
                <w:b/>
                <w:bCs/>
                <w:sz w:val="20"/>
              </w:rPr>
              <w:t xml:space="preserve">Eylül </w:t>
            </w:r>
            <w:r w:rsidR="00B63568" w:rsidRPr="00960E9C">
              <w:rPr>
                <w:rFonts w:ascii="Arial" w:hAnsi="Arial" w:cs="Arial"/>
                <w:b/>
                <w:bCs/>
                <w:sz w:val="20"/>
              </w:rPr>
              <w:t>2</w:t>
            </w:r>
            <w:r w:rsidRPr="00960E9C">
              <w:rPr>
                <w:rFonts w:ascii="Arial" w:hAnsi="Arial" w:cs="Arial"/>
                <w:b/>
                <w:bCs/>
                <w:sz w:val="20"/>
              </w:rPr>
              <w:t>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63568" w:rsidRPr="00960E9C" w:rsidRDefault="00480D21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60E9C">
              <w:rPr>
                <w:rFonts w:ascii="Arial" w:hAnsi="Arial" w:cs="Arial"/>
                <w:b/>
                <w:bCs/>
                <w:sz w:val="20"/>
              </w:rPr>
              <w:t>Haziran 202</w:t>
            </w:r>
            <w:r w:rsidR="00DF75AC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568" w:rsidRPr="00960E9C" w:rsidRDefault="004A5055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Eylül</w:t>
            </w:r>
            <w:r w:rsidRPr="00960E9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80D21" w:rsidRPr="00960E9C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960E9C" w:rsidRPr="00960E9C" w:rsidTr="00480FE1">
        <w:trPr>
          <w:trHeight w:val="299"/>
          <w:jc w:val="center"/>
        </w:trPr>
        <w:tc>
          <w:tcPr>
            <w:tcW w:w="28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960E9C">
              <w:rPr>
                <w:rFonts w:ascii="Arial" w:hAnsi="Arial" w:cs="Arial"/>
                <w:sz w:val="20"/>
              </w:rPr>
              <w:t>181.953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182.787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183.149</w:t>
            </w:r>
          </w:p>
        </w:tc>
      </w:tr>
      <w:tr w:rsidR="00960E9C" w:rsidRPr="00960E9C" w:rsidTr="00480FE1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960E9C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5.633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6.063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sz w:val="20"/>
              </w:rPr>
            </w:pPr>
            <w:r w:rsidRPr="00960E9C">
              <w:rPr>
                <w:rFonts w:ascii="Arial" w:hAnsi="Arial" w:cs="Arial"/>
                <w:sz w:val="20"/>
              </w:rPr>
              <w:t>6.127</w:t>
            </w:r>
          </w:p>
        </w:tc>
      </w:tr>
      <w:tr w:rsidR="00960E9C" w:rsidRPr="00960E9C" w:rsidTr="00480FE1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960E9C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60E9C">
              <w:rPr>
                <w:rFonts w:ascii="Arial" w:hAnsi="Arial" w:cs="Arial"/>
                <w:b/>
                <w:bCs/>
                <w:sz w:val="20"/>
              </w:rPr>
              <w:t>187.586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60E9C">
              <w:rPr>
                <w:rFonts w:ascii="Arial" w:hAnsi="Arial" w:cs="Arial"/>
                <w:b/>
                <w:bCs/>
                <w:sz w:val="20"/>
              </w:rPr>
              <w:t>188.850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80D21" w:rsidRPr="00960E9C" w:rsidRDefault="00480D21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60E9C">
              <w:rPr>
                <w:rFonts w:ascii="Arial" w:hAnsi="Arial" w:cs="Arial"/>
                <w:b/>
                <w:bCs/>
                <w:sz w:val="20"/>
              </w:rPr>
              <w:t>189.276</w:t>
            </w:r>
          </w:p>
        </w:tc>
      </w:tr>
    </w:tbl>
    <w:p w:rsidR="00853C66" w:rsidRPr="00960E9C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960E9C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>Çalışan sayısı</w:t>
      </w:r>
      <w:r w:rsidR="00A72DF6" w:rsidRPr="00960E9C">
        <w:rPr>
          <w:rFonts w:ascii="Arial" w:hAnsi="Arial" w:cs="Arial"/>
          <w:sz w:val="22"/>
          <w:szCs w:val="22"/>
        </w:rPr>
        <w:t xml:space="preserve"> </w:t>
      </w:r>
      <w:r w:rsidR="00EF6D07" w:rsidRPr="00960E9C">
        <w:rPr>
          <w:rFonts w:ascii="Arial" w:hAnsi="Arial" w:cs="Arial"/>
          <w:sz w:val="22"/>
          <w:szCs w:val="22"/>
        </w:rPr>
        <w:t xml:space="preserve">bir </w:t>
      </w:r>
      <w:r w:rsidR="00AD13BC" w:rsidRPr="00960E9C">
        <w:rPr>
          <w:rFonts w:ascii="Arial" w:hAnsi="Arial" w:cs="Arial"/>
          <w:sz w:val="22"/>
          <w:szCs w:val="22"/>
        </w:rPr>
        <w:t>önceki</w:t>
      </w:r>
      <w:r w:rsidR="00BD5935" w:rsidRPr="00960E9C">
        <w:rPr>
          <w:rFonts w:ascii="Arial" w:hAnsi="Arial" w:cs="Arial"/>
          <w:sz w:val="22"/>
          <w:szCs w:val="22"/>
        </w:rPr>
        <w:t xml:space="preserve"> çeyreğe göre </w:t>
      </w:r>
      <w:r w:rsidR="00960E9C" w:rsidRPr="00960E9C">
        <w:rPr>
          <w:rFonts w:ascii="Arial" w:hAnsi="Arial" w:cs="Arial"/>
          <w:sz w:val="22"/>
          <w:szCs w:val="22"/>
        </w:rPr>
        <w:t>426</w:t>
      </w:r>
      <w:r w:rsidR="00BD5935" w:rsidRPr="00960E9C">
        <w:rPr>
          <w:rFonts w:ascii="Arial" w:hAnsi="Arial" w:cs="Arial"/>
          <w:sz w:val="22"/>
          <w:szCs w:val="22"/>
        </w:rPr>
        <w:t xml:space="preserve"> kişi,</w:t>
      </w:r>
      <w:r w:rsidR="00AD13BC" w:rsidRPr="00960E9C">
        <w:rPr>
          <w:rFonts w:ascii="Arial" w:hAnsi="Arial" w:cs="Arial"/>
          <w:sz w:val="22"/>
          <w:szCs w:val="22"/>
        </w:rPr>
        <w:t xml:space="preserve"> </w:t>
      </w:r>
      <w:r w:rsidR="001538E9" w:rsidRPr="00960E9C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960E9C">
        <w:rPr>
          <w:rFonts w:ascii="Arial" w:hAnsi="Arial" w:cs="Arial"/>
          <w:sz w:val="22"/>
          <w:szCs w:val="22"/>
        </w:rPr>
        <w:t>göre</w:t>
      </w:r>
      <w:r w:rsidR="00D916E1" w:rsidRPr="00960E9C">
        <w:rPr>
          <w:rFonts w:ascii="Arial" w:hAnsi="Arial" w:cs="Arial"/>
          <w:sz w:val="22"/>
          <w:szCs w:val="22"/>
        </w:rPr>
        <w:t xml:space="preserve"> </w:t>
      </w:r>
      <w:r w:rsidR="001538E9" w:rsidRPr="00960E9C">
        <w:rPr>
          <w:rFonts w:ascii="Arial" w:hAnsi="Arial" w:cs="Arial"/>
          <w:sz w:val="22"/>
          <w:szCs w:val="22"/>
        </w:rPr>
        <w:t xml:space="preserve">ise </w:t>
      </w:r>
      <w:r w:rsidR="00960E9C" w:rsidRPr="00960E9C">
        <w:rPr>
          <w:rFonts w:ascii="Arial" w:hAnsi="Arial" w:cs="Arial"/>
          <w:sz w:val="22"/>
          <w:szCs w:val="22"/>
        </w:rPr>
        <w:t xml:space="preserve">1.690 </w:t>
      </w:r>
      <w:r w:rsidR="00506638" w:rsidRPr="00960E9C">
        <w:rPr>
          <w:rFonts w:ascii="Arial" w:hAnsi="Arial" w:cs="Arial"/>
          <w:sz w:val="22"/>
          <w:szCs w:val="22"/>
        </w:rPr>
        <w:t>kişi</w:t>
      </w:r>
      <w:r w:rsidR="009D43DC" w:rsidRPr="00960E9C">
        <w:rPr>
          <w:rFonts w:ascii="Arial" w:hAnsi="Arial" w:cs="Arial"/>
          <w:sz w:val="22"/>
          <w:szCs w:val="22"/>
        </w:rPr>
        <w:t xml:space="preserve"> </w:t>
      </w:r>
      <w:r w:rsidR="00FE3BB0" w:rsidRPr="00960E9C">
        <w:rPr>
          <w:rFonts w:ascii="Arial" w:hAnsi="Arial" w:cs="Arial"/>
          <w:sz w:val="22"/>
          <w:szCs w:val="22"/>
        </w:rPr>
        <w:t>artmıştır</w:t>
      </w:r>
      <w:r w:rsidR="001A7C41" w:rsidRPr="00960E9C">
        <w:rPr>
          <w:rFonts w:ascii="Arial" w:hAnsi="Arial" w:cs="Arial"/>
          <w:sz w:val="22"/>
          <w:szCs w:val="22"/>
        </w:rPr>
        <w:t xml:space="preserve">. </w:t>
      </w:r>
    </w:p>
    <w:p w:rsidR="00180C8C" w:rsidRPr="00960E9C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960E9C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>Çalışan sayısı geçen y</w:t>
      </w:r>
      <w:r w:rsidR="00180C8C" w:rsidRPr="00960E9C">
        <w:rPr>
          <w:rFonts w:ascii="Arial" w:hAnsi="Arial" w:cs="Arial"/>
          <w:sz w:val="22"/>
          <w:szCs w:val="22"/>
        </w:rPr>
        <w:t>ıl</w:t>
      </w:r>
      <w:r w:rsidR="001538E9" w:rsidRPr="00960E9C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960E9C">
        <w:rPr>
          <w:rFonts w:ascii="Arial" w:hAnsi="Arial" w:cs="Arial"/>
          <w:sz w:val="22"/>
          <w:szCs w:val="22"/>
        </w:rPr>
        <w:t xml:space="preserve">göre mevduat bankalarında </w:t>
      </w:r>
      <w:r w:rsidR="00960E9C" w:rsidRPr="00960E9C">
        <w:rPr>
          <w:rFonts w:ascii="Arial" w:hAnsi="Arial" w:cs="Arial"/>
          <w:sz w:val="22"/>
          <w:szCs w:val="22"/>
        </w:rPr>
        <w:t>1.196</w:t>
      </w:r>
      <w:r w:rsidR="00180C8C" w:rsidRPr="00960E9C">
        <w:rPr>
          <w:rFonts w:ascii="Arial" w:hAnsi="Arial" w:cs="Arial"/>
          <w:sz w:val="22"/>
          <w:szCs w:val="22"/>
        </w:rPr>
        <w:t xml:space="preserve"> </w:t>
      </w:r>
      <w:r w:rsidRPr="00960E9C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960E9C">
        <w:rPr>
          <w:rFonts w:ascii="Arial" w:hAnsi="Arial" w:cs="Arial"/>
          <w:sz w:val="22"/>
          <w:szCs w:val="22"/>
        </w:rPr>
        <w:t xml:space="preserve">yatırım bankalarında ise </w:t>
      </w:r>
      <w:r w:rsidR="00960E9C" w:rsidRPr="00960E9C">
        <w:rPr>
          <w:rFonts w:ascii="Arial" w:hAnsi="Arial" w:cs="Arial"/>
          <w:sz w:val="22"/>
          <w:szCs w:val="22"/>
        </w:rPr>
        <w:t>494</w:t>
      </w:r>
      <w:r w:rsidR="004B1D72" w:rsidRPr="00960E9C">
        <w:rPr>
          <w:rFonts w:ascii="Arial" w:hAnsi="Arial" w:cs="Arial"/>
          <w:sz w:val="22"/>
          <w:szCs w:val="22"/>
        </w:rPr>
        <w:t xml:space="preserve"> </w:t>
      </w:r>
      <w:r w:rsidRPr="00960E9C">
        <w:rPr>
          <w:rFonts w:ascii="Arial" w:hAnsi="Arial" w:cs="Arial"/>
          <w:sz w:val="22"/>
          <w:szCs w:val="22"/>
        </w:rPr>
        <w:t>kişi artmıştır.</w:t>
      </w:r>
    </w:p>
    <w:p w:rsidR="0074426A" w:rsidRPr="00480D2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25F2" w:rsidRPr="00480D21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B6C0B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60E9C" w:rsidRPr="00480D21" w:rsidRDefault="00960E9C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B6C0B" w:rsidRPr="00480D21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01A01" w:rsidRPr="00480D21" w:rsidRDefault="00B800CA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>Çalışan</w:t>
      </w:r>
      <w:r w:rsidR="005E6C7F" w:rsidRPr="00960E9C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960E9C">
        <w:rPr>
          <w:rFonts w:ascii="Arial" w:hAnsi="Arial" w:cs="Arial"/>
          <w:b/>
          <w:sz w:val="22"/>
          <w:szCs w:val="22"/>
        </w:rPr>
        <w:t xml:space="preserve"> </w:t>
      </w:r>
      <w:r w:rsidR="00B22DA8" w:rsidRPr="00960E9C">
        <w:rPr>
          <w:rFonts w:ascii="Arial" w:hAnsi="Arial" w:cs="Arial"/>
          <w:b/>
          <w:sz w:val="22"/>
          <w:szCs w:val="22"/>
        </w:rPr>
        <w:t>(</w:t>
      </w:r>
      <w:r w:rsidR="007D0275" w:rsidRPr="00960E9C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960E9C">
        <w:rPr>
          <w:rFonts w:ascii="Arial" w:hAnsi="Arial" w:cs="Arial"/>
          <w:b/>
          <w:sz w:val="22"/>
          <w:szCs w:val="22"/>
        </w:rPr>
        <w:t>kişi)</w:t>
      </w:r>
    </w:p>
    <w:p w:rsidR="00407F5D" w:rsidRPr="00480D21" w:rsidRDefault="00921C64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4A5792F0" wp14:editId="0E1B41CD">
            <wp:extent cx="4860000" cy="2076180"/>
            <wp:effectExtent l="0" t="0" r="0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480D2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960E9C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960E9C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960E9C">
        <w:rPr>
          <w:rFonts w:ascii="Arial" w:hAnsi="Arial" w:cs="Arial"/>
          <w:b/>
          <w:sz w:val="22"/>
          <w:szCs w:val="22"/>
        </w:rPr>
        <w:t>Çalışan</w:t>
      </w:r>
      <w:r w:rsidR="00DC24FD" w:rsidRPr="00960E9C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960E9C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960E9C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960E9C">
        <w:rPr>
          <w:rFonts w:ascii="Arial" w:hAnsi="Arial" w:cs="Arial"/>
          <w:sz w:val="22"/>
          <w:szCs w:val="22"/>
        </w:rPr>
        <w:t>0,</w:t>
      </w:r>
      <w:r w:rsidR="00F90721" w:rsidRPr="00960E9C">
        <w:rPr>
          <w:rFonts w:ascii="Arial" w:hAnsi="Arial" w:cs="Arial"/>
          <w:sz w:val="22"/>
          <w:szCs w:val="22"/>
        </w:rPr>
        <w:t>7</w:t>
      </w:r>
      <w:r w:rsidRPr="00960E9C">
        <w:rPr>
          <w:rFonts w:ascii="Arial" w:hAnsi="Arial" w:cs="Arial"/>
          <w:sz w:val="22"/>
          <w:szCs w:val="22"/>
        </w:rPr>
        <w:t>, erkek çalışan oranı ise yüzde 49</w:t>
      </w:r>
      <w:r w:rsidR="00A701C7" w:rsidRPr="00960E9C">
        <w:rPr>
          <w:rFonts w:ascii="Arial" w:hAnsi="Arial" w:cs="Arial"/>
          <w:sz w:val="22"/>
          <w:szCs w:val="22"/>
        </w:rPr>
        <w:t>,</w:t>
      </w:r>
      <w:r w:rsidR="00F90721" w:rsidRPr="00960E9C">
        <w:rPr>
          <w:rFonts w:ascii="Arial" w:hAnsi="Arial" w:cs="Arial"/>
          <w:sz w:val="22"/>
          <w:szCs w:val="22"/>
        </w:rPr>
        <w:t>3’tür</w:t>
      </w:r>
      <w:r w:rsidR="007A70DD" w:rsidRPr="00960E9C">
        <w:rPr>
          <w:rFonts w:ascii="Arial" w:hAnsi="Arial" w:cs="Arial"/>
          <w:sz w:val="22"/>
          <w:szCs w:val="22"/>
        </w:rPr>
        <w:t xml:space="preserve">. </w:t>
      </w:r>
    </w:p>
    <w:p w:rsidR="00F21F4F" w:rsidRPr="00480D21" w:rsidRDefault="00F21F4F" w:rsidP="001B24FF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B24FF" w:rsidRPr="00960E9C" w:rsidRDefault="00480D21" w:rsidP="001B24FF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>Eylül</w:t>
      </w:r>
      <w:r w:rsidR="007A70DD" w:rsidRPr="00960E9C">
        <w:rPr>
          <w:rFonts w:ascii="Arial" w:hAnsi="Arial" w:cs="Arial"/>
          <w:sz w:val="22"/>
          <w:szCs w:val="22"/>
        </w:rPr>
        <w:t xml:space="preserve"> 2023</w:t>
      </w:r>
      <w:r w:rsidR="00AD13BC" w:rsidRPr="00960E9C">
        <w:rPr>
          <w:rFonts w:ascii="Arial" w:hAnsi="Arial" w:cs="Arial"/>
          <w:sz w:val="22"/>
          <w:szCs w:val="22"/>
        </w:rPr>
        <w:t xml:space="preserve"> itibariyle</w:t>
      </w:r>
      <w:r w:rsidR="001B24FF" w:rsidRPr="00960E9C">
        <w:rPr>
          <w:rFonts w:ascii="Arial" w:hAnsi="Arial" w:cs="Arial"/>
          <w:sz w:val="22"/>
          <w:szCs w:val="22"/>
        </w:rPr>
        <w:t xml:space="preserve"> çalışanların </w:t>
      </w:r>
      <w:r w:rsidR="0062278D" w:rsidRPr="00960E9C">
        <w:rPr>
          <w:rFonts w:ascii="Arial" w:hAnsi="Arial" w:cs="Arial"/>
          <w:sz w:val="22"/>
          <w:szCs w:val="22"/>
        </w:rPr>
        <w:t xml:space="preserve">yüzde </w:t>
      </w:r>
      <w:r w:rsidR="00F32809" w:rsidRPr="00960E9C">
        <w:rPr>
          <w:rFonts w:ascii="Arial" w:hAnsi="Arial" w:cs="Arial"/>
          <w:sz w:val="22"/>
          <w:szCs w:val="22"/>
        </w:rPr>
        <w:t>79’u</w:t>
      </w:r>
      <w:r w:rsidR="0062278D" w:rsidRPr="00960E9C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960E9C">
        <w:rPr>
          <w:rFonts w:ascii="Arial" w:hAnsi="Arial" w:cs="Arial"/>
          <w:sz w:val="22"/>
          <w:szCs w:val="22"/>
        </w:rPr>
        <w:t xml:space="preserve"> iken</w:t>
      </w:r>
      <w:r w:rsidR="0062278D" w:rsidRPr="00960E9C">
        <w:rPr>
          <w:rFonts w:ascii="Arial" w:hAnsi="Arial" w:cs="Arial"/>
          <w:sz w:val="22"/>
          <w:szCs w:val="22"/>
        </w:rPr>
        <w:t xml:space="preserve">, yüzde </w:t>
      </w:r>
      <w:r w:rsidR="00F32809" w:rsidRPr="00960E9C">
        <w:rPr>
          <w:rFonts w:ascii="Arial" w:hAnsi="Arial" w:cs="Arial"/>
          <w:sz w:val="22"/>
          <w:szCs w:val="22"/>
        </w:rPr>
        <w:t>9’u</w:t>
      </w:r>
      <w:r w:rsidR="0062278D" w:rsidRPr="00960E9C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960E9C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960E9C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960E9C">
        <w:rPr>
          <w:rFonts w:ascii="Arial" w:hAnsi="Arial" w:cs="Arial"/>
          <w:sz w:val="22"/>
          <w:szCs w:val="22"/>
        </w:rPr>
        <w:t xml:space="preserve">yüzde </w:t>
      </w:r>
      <w:r w:rsidR="00F32809" w:rsidRPr="00960E9C">
        <w:rPr>
          <w:rFonts w:ascii="Arial" w:hAnsi="Arial" w:cs="Arial"/>
          <w:sz w:val="22"/>
          <w:szCs w:val="22"/>
        </w:rPr>
        <w:t>11’dir</w:t>
      </w:r>
      <w:r w:rsidR="0062278D" w:rsidRPr="00960E9C">
        <w:rPr>
          <w:rFonts w:ascii="Arial" w:hAnsi="Arial" w:cs="Arial"/>
          <w:sz w:val="22"/>
          <w:szCs w:val="22"/>
        </w:rPr>
        <w:t>.</w:t>
      </w:r>
      <w:r w:rsidR="001B24FF" w:rsidRPr="00960E9C">
        <w:rPr>
          <w:rFonts w:ascii="Arial" w:hAnsi="Arial" w:cs="Arial"/>
          <w:sz w:val="22"/>
          <w:szCs w:val="22"/>
        </w:rPr>
        <w:t xml:space="preserve"> </w:t>
      </w:r>
    </w:p>
    <w:p w:rsidR="00F075B4" w:rsidRPr="00960E9C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960E9C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960E9C">
        <w:rPr>
          <w:rFonts w:ascii="Arial" w:hAnsi="Arial" w:cs="Arial"/>
          <w:b/>
          <w:sz w:val="10"/>
          <w:szCs w:val="10"/>
        </w:rPr>
        <w:tab/>
      </w:r>
    </w:p>
    <w:p w:rsidR="00F32809" w:rsidRPr="00960E9C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960E9C">
        <w:rPr>
          <w:rFonts w:ascii="Arial" w:hAnsi="Arial" w:cs="Arial"/>
          <w:b/>
          <w:sz w:val="22"/>
          <w:szCs w:val="22"/>
        </w:rPr>
        <w:t>Eğitim Durumuna</w:t>
      </w:r>
      <w:r w:rsidR="00013086" w:rsidRPr="00960E9C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960E9C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960E9C">
        <w:rPr>
          <w:rFonts w:ascii="Arial" w:hAnsi="Arial" w:cs="Arial"/>
          <w:b/>
          <w:sz w:val="22"/>
          <w:szCs w:val="22"/>
        </w:rPr>
        <w:t>Sayısı</w:t>
      </w:r>
    </w:p>
    <w:p w:rsidR="00F32809" w:rsidRPr="00480D21" w:rsidRDefault="00F32809" w:rsidP="00F32809">
      <w:pPr>
        <w:tabs>
          <w:tab w:val="left" w:pos="300"/>
        </w:tabs>
        <w:rPr>
          <w:noProof/>
          <w:color w:val="FF0000"/>
          <w:lang w:eastAsia="tr-TR"/>
        </w:rPr>
      </w:pPr>
      <w:r w:rsidRPr="00480D21">
        <w:rPr>
          <w:noProof/>
          <w:color w:val="FF0000"/>
          <w:lang w:eastAsia="tr-TR"/>
        </w:rPr>
        <w:tab/>
      </w:r>
      <w:r w:rsidRPr="00480D21">
        <w:rPr>
          <w:noProof/>
          <w:color w:val="FF0000"/>
          <w:lang w:eastAsia="tr-TR"/>
        </w:rPr>
        <w:drawing>
          <wp:inline distT="0" distB="0" distL="0" distR="0" wp14:anchorId="3BDBF2AF" wp14:editId="65A66A7F">
            <wp:extent cx="2276475" cy="2043289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80D21">
        <w:rPr>
          <w:noProof/>
          <w:color w:val="FF0000"/>
          <w:lang w:eastAsia="tr-TR"/>
        </w:rPr>
        <w:drawing>
          <wp:inline distT="0" distB="0" distL="0" distR="0" wp14:anchorId="66A3AA90" wp14:editId="5899C3E9">
            <wp:extent cx="2276475" cy="192475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2809" w:rsidRPr="00480D21" w:rsidRDefault="00F32809" w:rsidP="00F32809">
      <w:pPr>
        <w:rPr>
          <w:rFonts w:ascii="Arial" w:hAnsi="Arial" w:cs="Arial"/>
          <w:b/>
          <w:color w:val="FF0000"/>
          <w:sz w:val="22"/>
          <w:szCs w:val="22"/>
        </w:rPr>
      </w:pPr>
    </w:p>
    <w:p w:rsidR="00265DD8" w:rsidRPr="00480D21" w:rsidRDefault="00265DD8" w:rsidP="00172211">
      <w:pPr>
        <w:jc w:val="both"/>
        <w:rPr>
          <w:noProof/>
          <w:color w:val="FF0000"/>
          <w:lang w:eastAsia="tr-TR"/>
        </w:rPr>
      </w:pPr>
    </w:p>
    <w:p w:rsidR="00FE3BB0" w:rsidRPr="00960E9C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960E9C">
        <w:rPr>
          <w:rFonts w:ascii="Arial" w:hAnsi="Arial" w:cs="Arial"/>
          <w:sz w:val="22"/>
          <w:szCs w:val="22"/>
        </w:rPr>
        <w:t xml:space="preserve">Türkiye Bankalar Birliği tarafından </w:t>
      </w:r>
      <w:r w:rsidR="00AA4D70" w:rsidRPr="00960E9C">
        <w:rPr>
          <w:rFonts w:ascii="Arial" w:hAnsi="Arial" w:cs="Arial"/>
          <w:sz w:val="22"/>
          <w:szCs w:val="22"/>
        </w:rPr>
        <w:t>Aralık 2022</w:t>
      </w:r>
      <w:r w:rsidRPr="00960E9C">
        <w:rPr>
          <w:rFonts w:ascii="Arial" w:hAnsi="Arial" w:cs="Arial"/>
          <w:sz w:val="22"/>
          <w:szCs w:val="22"/>
        </w:rPr>
        <w:t xml:space="preserve"> tarihinden itibaren bankacılık sektöründe çalışanların yaş dağılımı verileri derlenerek yayımlanmaktadır. Buna göre, bankacılık sektöründe çalışanların yüzde 42’si 36-45 yaş aralığında, </w:t>
      </w:r>
      <w:r w:rsidR="002B2F7F" w:rsidRPr="00960E9C">
        <w:rPr>
          <w:rFonts w:ascii="Arial" w:hAnsi="Arial" w:cs="Arial"/>
          <w:sz w:val="22"/>
          <w:szCs w:val="22"/>
        </w:rPr>
        <w:t>yüzde 3</w:t>
      </w:r>
      <w:r w:rsidR="00C17A89">
        <w:rPr>
          <w:rFonts w:ascii="Arial" w:hAnsi="Arial" w:cs="Arial"/>
          <w:sz w:val="22"/>
          <w:szCs w:val="22"/>
        </w:rPr>
        <w:t>9</w:t>
      </w:r>
      <w:r w:rsidR="002B2F7F" w:rsidRPr="00960E9C">
        <w:rPr>
          <w:rFonts w:ascii="Arial" w:hAnsi="Arial" w:cs="Arial"/>
          <w:sz w:val="22"/>
          <w:szCs w:val="22"/>
        </w:rPr>
        <w:t>’</w:t>
      </w:r>
      <w:r w:rsidR="00C17A89">
        <w:rPr>
          <w:rFonts w:ascii="Arial" w:hAnsi="Arial" w:cs="Arial"/>
          <w:sz w:val="22"/>
          <w:szCs w:val="22"/>
        </w:rPr>
        <w:t>u</w:t>
      </w:r>
      <w:r w:rsidRPr="00960E9C">
        <w:rPr>
          <w:rFonts w:ascii="Arial" w:hAnsi="Arial" w:cs="Arial"/>
          <w:sz w:val="22"/>
          <w:szCs w:val="22"/>
        </w:rPr>
        <w:t xml:space="preserve"> 26-35 yaş aralığındadır. </w:t>
      </w:r>
    </w:p>
    <w:p w:rsidR="007E666B" w:rsidRPr="00480D21" w:rsidRDefault="007E666B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7E666B" w:rsidRPr="00480D21" w:rsidRDefault="007E666B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AF343E" w:rsidRPr="00480D21" w:rsidRDefault="00AF343E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AF343E" w:rsidRPr="00480D21" w:rsidRDefault="00AF343E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84984" w:rsidRPr="00480D21" w:rsidRDefault="00C8498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72211" w:rsidRPr="00960E9C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960E9C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960E9C">
        <w:rPr>
          <w:rFonts w:ascii="Arial" w:hAnsi="Arial" w:cs="Arial"/>
          <w:b/>
          <w:sz w:val="22"/>
          <w:szCs w:val="22"/>
        </w:rPr>
        <w:t>Dağılımına</w:t>
      </w:r>
      <w:r w:rsidRPr="00960E9C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960E9C">
        <w:rPr>
          <w:rFonts w:ascii="Arial" w:hAnsi="Arial" w:cs="Arial"/>
          <w:b/>
          <w:sz w:val="22"/>
          <w:szCs w:val="22"/>
        </w:rPr>
        <w:t>nın Dağılımı</w:t>
      </w:r>
      <w:r w:rsidR="00172211" w:rsidRPr="00960E9C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Pr="00480D21" w:rsidRDefault="007E666B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7D0275" w:rsidRPr="00480D21" w:rsidRDefault="00921C64" w:rsidP="00FE3BB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39F6DB2" wp14:editId="29DB49C5">
            <wp:extent cx="4652645" cy="21717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211" w:rsidRPr="00480D21" w:rsidRDefault="00172211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BF0D3F" w:rsidRDefault="00C0255B" w:rsidP="009A0304">
      <w:pPr>
        <w:rPr>
          <w:rFonts w:ascii="Arial" w:hAnsi="Arial" w:cs="Arial"/>
          <w:b/>
          <w:sz w:val="22"/>
          <w:szCs w:val="22"/>
        </w:rPr>
      </w:pPr>
      <w:r w:rsidRPr="00BF0D3F">
        <w:rPr>
          <w:rFonts w:ascii="Arial" w:hAnsi="Arial" w:cs="Arial"/>
          <w:b/>
          <w:sz w:val="22"/>
          <w:szCs w:val="22"/>
        </w:rPr>
        <w:t>Şube Sayısı</w:t>
      </w:r>
    </w:p>
    <w:p w:rsidR="001135F6" w:rsidRPr="00BF0D3F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BF0D3F" w:rsidRDefault="00480D21" w:rsidP="00F21F4F">
      <w:pPr>
        <w:jc w:val="both"/>
        <w:rPr>
          <w:rFonts w:ascii="Arial" w:hAnsi="Arial" w:cs="Arial"/>
          <w:sz w:val="10"/>
          <w:szCs w:val="10"/>
        </w:rPr>
      </w:pPr>
      <w:r w:rsidRPr="00BF0D3F">
        <w:rPr>
          <w:rFonts w:ascii="Arial" w:hAnsi="Arial" w:cs="Arial"/>
          <w:sz w:val="22"/>
          <w:szCs w:val="22"/>
        </w:rPr>
        <w:t>Eylül</w:t>
      </w:r>
      <w:r w:rsidR="00077B49" w:rsidRPr="00BF0D3F">
        <w:rPr>
          <w:rFonts w:ascii="Arial" w:hAnsi="Arial" w:cs="Arial"/>
          <w:sz w:val="22"/>
          <w:szCs w:val="22"/>
        </w:rPr>
        <w:t xml:space="preserve"> 2023</w:t>
      </w:r>
      <w:r w:rsidR="00F006F9" w:rsidRPr="00BF0D3F">
        <w:rPr>
          <w:rFonts w:ascii="Arial" w:hAnsi="Arial" w:cs="Arial"/>
          <w:sz w:val="22"/>
          <w:szCs w:val="22"/>
        </w:rPr>
        <w:t xml:space="preserve"> yılında</w:t>
      </w:r>
      <w:r w:rsidR="001538E9" w:rsidRPr="00BF0D3F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BF0D3F">
        <w:rPr>
          <w:rFonts w:ascii="Arial" w:hAnsi="Arial" w:cs="Arial"/>
          <w:sz w:val="22"/>
          <w:szCs w:val="22"/>
        </w:rPr>
        <w:t>ube sayısı</w:t>
      </w:r>
      <w:r w:rsidR="001F5A64" w:rsidRPr="00BF0D3F">
        <w:rPr>
          <w:rFonts w:ascii="Arial" w:hAnsi="Arial" w:cs="Arial"/>
          <w:sz w:val="22"/>
          <w:szCs w:val="22"/>
        </w:rPr>
        <w:t xml:space="preserve"> 9.</w:t>
      </w:r>
      <w:r w:rsidR="00617600" w:rsidRPr="00BF0D3F">
        <w:rPr>
          <w:rFonts w:ascii="Arial" w:hAnsi="Arial" w:cs="Arial"/>
          <w:sz w:val="22"/>
          <w:szCs w:val="22"/>
        </w:rPr>
        <w:t>6</w:t>
      </w:r>
      <w:r w:rsidR="00960E9C" w:rsidRPr="00BF0D3F">
        <w:rPr>
          <w:rFonts w:ascii="Arial" w:hAnsi="Arial" w:cs="Arial"/>
          <w:sz w:val="22"/>
          <w:szCs w:val="22"/>
        </w:rPr>
        <w:t>17</w:t>
      </w:r>
      <w:r w:rsidR="00A156C6" w:rsidRPr="00BF0D3F">
        <w:rPr>
          <w:rFonts w:ascii="Arial" w:hAnsi="Arial" w:cs="Arial"/>
          <w:sz w:val="22"/>
          <w:szCs w:val="22"/>
        </w:rPr>
        <w:t>’di</w:t>
      </w:r>
      <w:r w:rsidR="00446707" w:rsidRPr="00BF0D3F">
        <w:rPr>
          <w:rFonts w:ascii="Arial" w:hAnsi="Arial" w:cs="Arial"/>
          <w:sz w:val="22"/>
          <w:szCs w:val="22"/>
        </w:rPr>
        <w:t>r</w:t>
      </w:r>
      <w:r w:rsidR="00F21F4F" w:rsidRPr="00BF0D3F">
        <w:rPr>
          <w:rFonts w:ascii="Arial" w:hAnsi="Arial" w:cs="Arial"/>
          <w:sz w:val="22"/>
          <w:szCs w:val="22"/>
        </w:rPr>
        <w:t>.</w:t>
      </w:r>
      <w:r w:rsidR="00F21F4F" w:rsidRPr="00BF0D3F">
        <w:rPr>
          <w:rFonts w:ascii="Arial" w:hAnsi="Arial" w:cs="Arial"/>
          <w:sz w:val="10"/>
          <w:szCs w:val="10"/>
        </w:rPr>
        <w:t xml:space="preserve"> </w:t>
      </w:r>
    </w:p>
    <w:p w:rsidR="001135F6" w:rsidRPr="00BF0D3F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BF0D3F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BF0D3F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BF0D3F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914"/>
        <w:gridCol w:w="1417"/>
        <w:gridCol w:w="1456"/>
      </w:tblGrid>
      <w:tr w:rsidR="00BF0D3F" w:rsidRPr="00BF0D3F" w:rsidTr="00921C64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F0D3F">
              <w:rPr>
                <w:rFonts w:ascii="Arial" w:hAnsi="Arial" w:cs="Arial"/>
                <w:b/>
                <w:bCs/>
                <w:sz w:val="20"/>
              </w:rPr>
              <w:t>Eylül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F0D3F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C17A89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Eylü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 w:rsidRPr="00BF0D3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21C64" w:rsidRPr="00BF0D3F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</w:tr>
      <w:tr w:rsidR="00BF0D3F" w:rsidRPr="00BF0D3F" w:rsidTr="00921C64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BF0D3F">
              <w:rPr>
                <w:rFonts w:ascii="Arial" w:hAnsi="Arial" w:cs="Arial"/>
                <w:sz w:val="20"/>
              </w:rPr>
              <w:t>9.641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9.567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9.544</w:t>
            </w:r>
          </w:p>
        </w:tc>
      </w:tr>
      <w:tr w:rsidR="00BF0D3F" w:rsidRPr="00BF0D3F" w:rsidTr="00921C64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C64" w:rsidRPr="00BF0D3F" w:rsidRDefault="00921C64" w:rsidP="00921C64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F0D3F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sz w:val="20"/>
              </w:rPr>
            </w:pPr>
            <w:r w:rsidRPr="00BF0D3F">
              <w:rPr>
                <w:rFonts w:ascii="Arial" w:hAnsi="Arial" w:cs="Arial"/>
                <w:sz w:val="20"/>
              </w:rPr>
              <w:t>73</w:t>
            </w:r>
          </w:p>
        </w:tc>
      </w:tr>
      <w:tr w:rsidR="00BF0D3F" w:rsidRPr="00BF0D3F" w:rsidTr="00921C64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F0D3F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F0D3F">
              <w:rPr>
                <w:rFonts w:ascii="Arial" w:hAnsi="Arial" w:cs="Arial"/>
                <w:b/>
                <w:bCs/>
                <w:sz w:val="20"/>
              </w:rPr>
              <w:t>9.712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F0D3F">
              <w:rPr>
                <w:rFonts w:ascii="Arial" w:hAnsi="Arial" w:cs="Arial"/>
                <w:b/>
                <w:bCs/>
                <w:sz w:val="20"/>
              </w:rPr>
              <w:t>9.639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21C64" w:rsidRPr="00BF0D3F" w:rsidRDefault="00921C6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F0D3F">
              <w:rPr>
                <w:rFonts w:ascii="Arial" w:hAnsi="Arial" w:cs="Arial"/>
                <w:b/>
                <w:bCs/>
                <w:sz w:val="20"/>
              </w:rPr>
              <w:t>9.617</w:t>
            </w:r>
          </w:p>
        </w:tc>
      </w:tr>
    </w:tbl>
    <w:p w:rsidR="001135F6" w:rsidRPr="00BF0D3F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BF0D3F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BF0D3F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BF0D3F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BF0D3F">
        <w:rPr>
          <w:rFonts w:ascii="Arial" w:hAnsi="Arial" w:cs="Arial"/>
          <w:i/>
          <w:sz w:val="16"/>
          <w:szCs w:val="16"/>
        </w:rPr>
        <w:t xml:space="preserve">     </w:t>
      </w:r>
    </w:p>
    <w:p w:rsidR="00F075B4" w:rsidRPr="00BF0D3F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Pr="00BF0D3F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BF0D3F">
        <w:rPr>
          <w:rFonts w:ascii="Arial" w:hAnsi="Arial" w:cs="Arial"/>
          <w:sz w:val="22"/>
          <w:szCs w:val="22"/>
        </w:rPr>
        <w:t>Şube sayısı,</w:t>
      </w:r>
      <w:r w:rsidR="00BF0D3F" w:rsidRPr="00BF0D3F">
        <w:rPr>
          <w:rFonts w:ascii="Arial" w:hAnsi="Arial" w:cs="Arial"/>
          <w:sz w:val="22"/>
          <w:szCs w:val="22"/>
        </w:rPr>
        <w:t xml:space="preserve"> bir önceki çeyreğe göre 22</w:t>
      </w:r>
      <w:r w:rsidR="00C17A89">
        <w:rPr>
          <w:rFonts w:ascii="Arial" w:hAnsi="Arial" w:cs="Arial"/>
          <w:sz w:val="22"/>
          <w:szCs w:val="22"/>
        </w:rPr>
        <w:t>,</w:t>
      </w:r>
      <w:r w:rsidR="00A72DF6" w:rsidRPr="00BF0D3F">
        <w:rPr>
          <w:rFonts w:ascii="Arial" w:hAnsi="Arial" w:cs="Arial"/>
          <w:sz w:val="22"/>
          <w:szCs w:val="22"/>
        </w:rPr>
        <w:t xml:space="preserve"> </w:t>
      </w:r>
      <w:r w:rsidR="00BD5935" w:rsidRPr="00BF0D3F">
        <w:rPr>
          <w:rFonts w:ascii="Arial" w:hAnsi="Arial" w:cs="Arial"/>
          <w:sz w:val="22"/>
          <w:szCs w:val="22"/>
        </w:rPr>
        <w:t xml:space="preserve">bir </w:t>
      </w:r>
      <w:r w:rsidR="00904088" w:rsidRPr="00BF0D3F">
        <w:rPr>
          <w:rFonts w:ascii="Arial" w:hAnsi="Arial" w:cs="Arial"/>
          <w:sz w:val="22"/>
          <w:szCs w:val="22"/>
        </w:rPr>
        <w:t>önceki yıl</w:t>
      </w:r>
      <w:r w:rsidR="00C17A89">
        <w:rPr>
          <w:rFonts w:ascii="Arial" w:hAnsi="Arial" w:cs="Arial"/>
          <w:sz w:val="22"/>
          <w:szCs w:val="22"/>
        </w:rPr>
        <w:t>ın</w:t>
      </w:r>
      <w:r w:rsidR="00904088" w:rsidRPr="00BF0D3F">
        <w:rPr>
          <w:rFonts w:ascii="Arial" w:hAnsi="Arial" w:cs="Arial"/>
          <w:sz w:val="22"/>
          <w:szCs w:val="22"/>
        </w:rPr>
        <w:t xml:space="preserve"> aynı</w:t>
      </w:r>
      <w:r w:rsidR="00BD5935" w:rsidRPr="00BF0D3F">
        <w:rPr>
          <w:rFonts w:ascii="Arial" w:hAnsi="Arial" w:cs="Arial"/>
          <w:sz w:val="22"/>
          <w:szCs w:val="22"/>
        </w:rPr>
        <w:t xml:space="preserve"> çeyreğ</w:t>
      </w:r>
      <w:r w:rsidR="00C17A89">
        <w:rPr>
          <w:rFonts w:ascii="Arial" w:hAnsi="Arial" w:cs="Arial"/>
          <w:sz w:val="22"/>
          <w:szCs w:val="22"/>
        </w:rPr>
        <w:t>in</w:t>
      </w:r>
      <w:r w:rsidR="00BD5935" w:rsidRPr="00BF0D3F">
        <w:rPr>
          <w:rFonts w:ascii="Arial" w:hAnsi="Arial" w:cs="Arial"/>
          <w:sz w:val="22"/>
          <w:szCs w:val="22"/>
        </w:rPr>
        <w:t xml:space="preserve">e göre </w:t>
      </w:r>
      <w:r w:rsidR="00BF0D3F" w:rsidRPr="00BF0D3F">
        <w:rPr>
          <w:rFonts w:ascii="Arial" w:hAnsi="Arial" w:cs="Arial"/>
          <w:sz w:val="22"/>
          <w:szCs w:val="22"/>
        </w:rPr>
        <w:t xml:space="preserve">ise </w:t>
      </w:r>
      <w:r w:rsidR="00C17A89">
        <w:rPr>
          <w:rFonts w:ascii="Arial" w:hAnsi="Arial" w:cs="Arial"/>
          <w:sz w:val="22"/>
          <w:szCs w:val="22"/>
        </w:rPr>
        <w:t>95</w:t>
      </w:r>
      <w:r w:rsidR="00BF0D3F" w:rsidRPr="00BF0D3F">
        <w:rPr>
          <w:rFonts w:ascii="Arial" w:hAnsi="Arial" w:cs="Arial"/>
          <w:sz w:val="22"/>
          <w:szCs w:val="22"/>
        </w:rPr>
        <w:t xml:space="preserve"> </w:t>
      </w:r>
      <w:r w:rsidR="00904088" w:rsidRPr="00BF0D3F">
        <w:rPr>
          <w:rFonts w:ascii="Arial" w:hAnsi="Arial" w:cs="Arial"/>
          <w:sz w:val="22"/>
          <w:szCs w:val="22"/>
        </w:rPr>
        <w:t>adet azalmış</w:t>
      </w:r>
      <w:r w:rsidR="00BF0D3F" w:rsidRPr="00BF0D3F">
        <w:rPr>
          <w:rFonts w:ascii="Arial" w:hAnsi="Arial" w:cs="Arial"/>
          <w:sz w:val="22"/>
          <w:szCs w:val="22"/>
        </w:rPr>
        <w:t>tır.</w:t>
      </w:r>
    </w:p>
    <w:p w:rsidR="00AD13BC" w:rsidRPr="00480D21" w:rsidRDefault="00AD13BC" w:rsidP="00EF6D0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22DA8" w:rsidRPr="00795BD9" w:rsidRDefault="00480D21" w:rsidP="00B22DA8">
      <w:pPr>
        <w:jc w:val="both"/>
        <w:rPr>
          <w:rFonts w:ascii="Arial" w:hAnsi="Arial" w:cs="Arial"/>
          <w:sz w:val="22"/>
          <w:szCs w:val="22"/>
        </w:rPr>
      </w:pPr>
      <w:r w:rsidRPr="00795BD9">
        <w:rPr>
          <w:rFonts w:ascii="Arial" w:hAnsi="Arial" w:cs="Arial"/>
          <w:sz w:val="22"/>
          <w:szCs w:val="22"/>
        </w:rPr>
        <w:t>Eylül</w:t>
      </w:r>
      <w:r w:rsidR="00F32809" w:rsidRPr="00795BD9">
        <w:rPr>
          <w:rFonts w:ascii="Arial" w:hAnsi="Arial" w:cs="Arial"/>
          <w:sz w:val="22"/>
          <w:szCs w:val="22"/>
        </w:rPr>
        <w:t xml:space="preserve"> 2023</w:t>
      </w:r>
      <w:r w:rsidR="001538E9" w:rsidRPr="00795BD9">
        <w:rPr>
          <w:rFonts w:ascii="Arial" w:hAnsi="Arial" w:cs="Arial"/>
          <w:sz w:val="22"/>
          <w:szCs w:val="22"/>
        </w:rPr>
        <w:t xml:space="preserve"> itibariyle</w:t>
      </w:r>
      <w:r w:rsidR="001F5A64" w:rsidRPr="00795BD9">
        <w:rPr>
          <w:rFonts w:ascii="Arial" w:hAnsi="Arial" w:cs="Arial"/>
          <w:sz w:val="22"/>
          <w:szCs w:val="22"/>
        </w:rPr>
        <w:t xml:space="preserve"> </w:t>
      </w:r>
      <w:r w:rsidR="00B22DA8" w:rsidRPr="00795BD9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795BD9">
        <w:rPr>
          <w:rFonts w:ascii="Arial" w:hAnsi="Arial" w:cs="Arial"/>
          <w:sz w:val="22"/>
          <w:szCs w:val="22"/>
        </w:rPr>
        <w:t>2</w:t>
      </w:r>
      <w:r w:rsidR="00BD5935" w:rsidRPr="00795BD9">
        <w:rPr>
          <w:rFonts w:ascii="Arial" w:hAnsi="Arial" w:cs="Arial"/>
          <w:sz w:val="22"/>
          <w:szCs w:val="22"/>
        </w:rPr>
        <w:t>7</w:t>
      </w:r>
      <w:r w:rsidR="00BF0D3F" w:rsidRPr="00795BD9">
        <w:rPr>
          <w:rFonts w:ascii="Arial" w:hAnsi="Arial" w:cs="Arial"/>
          <w:sz w:val="22"/>
          <w:szCs w:val="22"/>
        </w:rPr>
        <w:t>3</w:t>
      </w:r>
      <w:r w:rsidR="00B22DA8" w:rsidRPr="00795BD9">
        <w:rPr>
          <w:rFonts w:ascii="Arial" w:hAnsi="Arial" w:cs="Arial"/>
          <w:sz w:val="22"/>
          <w:szCs w:val="22"/>
        </w:rPr>
        <w:t xml:space="preserve"> olmuştur. </w:t>
      </w:r>
    </w:p>
    <w:p w:rsidR="0021550F" w:rsidRPr="00795BD9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:rsidR="00166439" w:rsidRPr="00795BD9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795BD9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795BD9">
        <w:rPr>
          <w:rFonts w:ascii="Arial" w:hAnsi="Arial" w:cs="Arial"/>
          <w:b/>
          <w:sz w:val="22"/>
          <w:szCs w:val="22"/>
        </w:rPr>
        <w:t>(adet)</w:t>
      </w:r>
    </w:p>
    <w:p w:rsidR="00BD5935" w:rsidRPr="00795BD9" w:rsidRDefault="00921C64" w:rsidP="00B22DA8">
      <w:pPr>
        <w:jc w:val="center"/>
        <w:rPr>
          <w:rFonts w:ascii="Arial" w:hAnsi="Arial" w:cs="Arial"/>
          <w:sz w:val="22"/>
          <w:szCs w:val="22"/>
        </w:rPr>
      </w:pPr>
      <w:r w:rsidRPr="00795BD9">
        <w:rPr>
          <w:noProof/>
          <w:lang w:eastAsia="tr-TR"/>
        </w:rPr>
        <w:drawing>
          <wp:inline distT="0" distB="0" distL="0" distR="0" wp14:anchorId="3BEE3B53" wp14:editId="3428C899">
            <wp:extent cx="5059045" cy="1976755"/>
            <wp:effectExtent l="0" t="0" r="8255" b="444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7810" w:rsidRPr="00795BD9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795BD9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795BD9">
        <w:rPr>
          <w:rFonts w:ascii="Arial" w:hAnsi="Arial" w:cs="Arial"/>
          <w:sz w:val="22"/>
          <w:szCs w:val="22"/>
        </w:rPr>
        <w:t>Ş</w:t>
      </w:r>
      <w:r w:rsidR="00A6162D" w:rsidRPr="00795BD9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795BD9">
        <w:rPr>
          <w:rFonts w:ascii="Arial" w:hAnsi="Arial" w:cs="Arial"/>
          <w:sz w:val="22"/>
          <w:szCs w:val="22"/>
        </w:rPr>
        <w:t xml:space="preserve">, mobil </w:t>
      </w:r>
      <w:r w:rsidR="003F743F" w:rsidRPr="00795BD9">
        <w:rPr>
          <w:rFonts w:ascii="Arial" w:hAnsi="Arial" w:cs="Arial"/>
          <w:sz w:val="22"/>
          <w:szCs w:val="22"/>
        </w:rPr>
        <w:t xml:space="preserve">ve dijital </w:t>
      </w:r>
      <w:r w:rsidR="00300266" w:rsidRPr="00795BD9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795BD9">
        <w:rPr>
          <w:rFonts w:ascii="Arial" w:hAnsi="Arial" w:cs="Arial"/>
          <w:sz w:val="22"/>
          <w:szCs w:val="22"/>
        </w:rPr>
        <w:t xml:space="preserve"> ve </w:t>
      </w:r>
      <w:r w:rsidR="00704B9E" w:rsidRPr="00795BD9">
        <w:rPr>
          <w:rFonts w:ascii="Arial" w:hAnsi="Arial" w:cs="Arial"/>
          <w:sz w:val="22"/>
          <w:szCs w:val="22"/>
        </w:rPr>
        <w:t xml:space="preserve">bazı hizmetlerin </w:t>
      </w:r>
      <w:r w:rsidR="00A6162D" w:rsidRPr="00795BD9">
        <w:rPr>
          <w:rFonts w:ascii="Arial" w:hAnsi="Arial" w:cs="Arial"/>
          <w:sz w:val="22"/>
          <w:szCs w:val="22"/>
        </w:rPr>
        <w:t>destek hizmet</w:t>
      </w:r>
      <w:r w:rsidR="00704B9E" w:rsidRPr="00795BD9">
        <w:rPr>
          <w:rFonts w:ascii="Arial" w:hAnsi="Arial" w:cs="Arial"/>
          <w:sz w:val="22"/>
          <w:szCs w:val="22"/>
        </w:rPr>
        <w:t>i kuruluşlarından temin edil</w:t>
      </w:r>
      <w:r w:rsidR="0036100C" w:rsidRPr="00795BD9">
        <w:rPr>
          <w:rFonts w:ascii="Arial" w:hAnsi="Arial" w:cs="Arial"/>
          <w:sz w:val="22"/>
          <w:szCs w:val="22"/>
        </w:rPr>
        <w:t>m</w:t>
      </w:r>
      <w:r w:rsidR="00704B9E" w:rsidRPr="00795BD9">
        <w:rPr>
          <w:rFonts w:ascii="Arial" w:hAnsi="Arial" w:cs="Arial"/>
          <w:sz w:val="22"/>
          <w:szCs w:val="22"/>
        </w:rPr>
        <w:t>esi</w:t>
      </w:r>
      <w:r w:rsidR="002933DA" w:rsidRPr="00795BD9">
        <w:rPr>
          <w:rFonts w:ascii="Arial" w:hAnsi="Arial" w:cs="Arial"/>
          <w:sz w:val="22"/>
          <w:szCs w:val="22"/>
        </w:rPr>
        <w:t>;</w:t>
      </w:r>
      <w:r w:rsidR="00A6162D" w:rsidRPr="00795BD9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795BD9">
        <w:rPr>
          <w:rFonts w:ascii="Arial" w:hAnsi="Arial" w:cs="Arial"/>
          <w:sz w:val="22"/>
          <w:szCs w:val="22"/>
        </w:rPr>
        <w:t>m</w:t>
      </w:r>
      <w:r w:rsidR="00E60FAD" w:rsidRPr="00795BD9">
        <w:rPr>
          <w:rFonts w:ascii="Arial" w:hAnsi="Arial" w:cs="Arial"/>
          <w:sz w:val="22"/>
          <w:szCs w:val="22"/>
        </w:rPr>
        <w:t>ektedir.</w:t>
      </w:r>
    </w:p>
    <w:p w:rsidR="0021550F" w:rsidRPr="00480D21" w:rsidRDefault="0021550F" w:rsidP="00AC45C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162D" w:rsidRPr="00480D21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633118" w:rsidRPr="00480D21" w:rsidRDefault="00633118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795BD9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795BD9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795BD9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795BD9">
        <w:rPr>
          <w:rFonts w:ascii="Arial" w:hAnsi="Arial" w:cs="Arial"/>
          <w:b/>
          <w:sz w:val="22"/>
          <w:szCs w:val="22"/>
        </w:rPr>
        <w:t>*</w:t>
      </w:r>
    </w:p>
    <w:p w:rsidR="00AC45CB" w:rsidRPr="00795BD9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795BD9" w:rsidRDefault="00480D21" w:rsidP="006A0E5D">
      <w:pPr>
        <w:jc w:val="both"/>
        <w:rPr>
          <w:rFonts w:ascii="Arial" w:hAnsi="Arial" w:cs="Arial"/>
          <w:sz w:val="22"/>
          <w:szCs w:val="22"/>
        </w:rPr>
      </w:pPr>
      <w:r w:rsidRPr="00795BD9">
        <w:rPr>
          <w:rFonts w:ascii="Arial" w:hAnsi="Arial" w:cs="Arial"/>
          <w:sz w:val="22"/>
          <w:szCs w:val="22"/>
        </w:rPr>
        <w:t>Eylül</w:t>
      </w:r>
      <w:r w:rsidR="00F32809" w:rsidRPr="00795BD9">
        <w:rPr>
          <w:rFonts w:ascii="Arial" w:hAnsi="Arial" w:cs="Arial"/>
          <w:sz w:val="22"/>
          <w:szCs w:val="22"/>
        </w:rPr>
        <w:t xml:space="preserve"> 2023</w:t>
      </w:r>
      <w:r w:rsidR="001F5A64" w:rsidRPr="00795BD9">
        <w:rPr>
          <w:rFonts w:ascii="Arial" w:hAnsi="Arial" w:cs="Arial"/>
          <w:sz w:val="22"/>
          <w:szCs w:val="22"/>
        </w:rPr>
        <w:t xml:space="preserve"> ayı itibarıyla,</w:t>
      </w:r>
      <w:r w:rsidR="006A0E5D" w:rsidRPr="00795BD9">
        <w:rPr>
          <w:rFonts w:ascii="Arial" w:hAnsi="Arial" w:cs="Arial"/>
          <w:sz w:val="22"/>
          <w:szCs w:val="22"/>
        </w:rPr>
        <w:t xml:space="preserve"> </w:t>
      </w:r>
      <w:r w:rsidR="003D4BBF" w:rsidRPr="00795BD9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795BD9">
        <w:rPr>
          <w:rFonts w:ascii="Arial" w:hAnsi="Arial" w:cs="Arial"/>
          <w:sz w:val="22"/>
          <w:szCs w:val="22"/>
        </w:rPr>
        <w:t xml:space="preserve"> </w:t>
      </w:r>
      <w:r w:rsidR="00B718CA" w:rsidRPr="00795BD9">
        <w:rPr>
          <w:rFonts w:ascii="Arial" w:hAnsi="Arial" w:cs="Arial"/>
          <w:sz w:val="22"/>
          <w:szCs w:val="22"/>
        </w:rPr>
        <w:t>2</w:t>
      </w:r>
      <w:r w:rsidR="0084423D" w:rsidRPr="00795BD9">
        <w:rPr>
          <w:rFonts w:ascii="Arial" w:hAnsi="Arial" w:cs="Arial"/>
          <w:sz w:val="22"/>
          <w:szCs w:val="22"/>
        </w:rPr>
        <w:t>2</w:t>
      </w:r>
      <w:r w:rsidR="00795BD9" w:rsidRPr="00795BD9">
        <w:rPr>
          <w:rFonts w:ascii="Arial" w:hAnsi="Arial" w:cs="Arial"/>
          <w:sz w:val="22"/>
          <w:szCs w:val="22"/>
        </w:rPr>
        <w:t>2</w:t>
      </w:r>
      <w:r w:rsidR="00B718CA" w:rsidRPr="00795BD9">
        <w:rPr>
          <w:rFonts w:ascii="Arial" w:hAnsi="Arial" w:cs="Arial"/>
          <w:sz w:val="22"/>
          <w:szCs w:val="22"/>
        </w:rPr>
        <w:t xml:space="preserve"> olmuştur.</w:t>
      </w:r>
      <w:r w:rsidR="00366A61" w:rsidRPr="00795BD9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795BD9">
        <w:rPr>
          <w:rFonts w:ascii="Arial" w:hAnsi="Arial" w:cs="Arial"/>
          <w:sz w:val="22"/>
          <w:szCs w:val="22"/>
        </w:rPr>
        <w:t>1,</w:t>
      </w:r>
      <w:r w:rsidR="00CA61F9" w:rsidRPr="00795BD9">
        <w:rPr>
          <w:rFonts w:ascii="Arial" w:hAnsi="Arial" w:cs="Arial"/>
          <w:sz w:val="22"/>
          <w:szCs w:val="22"/>
        </w:rPr>
        <w:t>3</w:t>
      </w:r>
      <w:r w:rsidR="00387158" w:rsidRPr="00795BD9">
        <w:rPr>
          <w:rFonts w:ascii="Arial" w:hAnsi="Arial" w:cs="Arial"/>
          <w:sz w:val="22"/>
          <w:szCs w:val="22"/>
        </w:rPr>
        <w:t>’</w:t>
      </w:r>
      <w:r w:rsidR="00F863F1" w:rsidRPr="00795BD9">
        <w:rPr>
          <w:rFonts w:ascii="Arial" w:hAnsi="Arial" w:cs="Arial"/>
          <w:sz w:val="22"/>
          <w:szCs w:val="22"/>
        </w:rPr>
        <w:t>tü</w:t>
      </w:r>
      <w:r w:rsidR="006B4242" w:rsidRPr="00795BD9">
        <w:rPr>
          <w:rFonts w:ascii="Arial" w:hAnsi="Arial" w:cs="Arial"/>
          <w:sz w:val="22"/>
          <w:szCs w:val="22"/>
        </w:rPr>
        <w:t>r</w:t>
      </w:r>
      <w:r w:rsidR="00366A61" w:rsidRPr="00795BD9">
        <w:rPr>
          <w:rFonts w:ascii="Arial" w:hAnsi="Arial" w:cs="Arial"/>
          <w:sz w:val="22"/>
          <w:szCs w:val="22"/>
        </w:rPr>
        <w:t>.</w:t>
      </w:r>
    </w:p>
    <w:p w:rsidR="00AC45CB" w:rsidRPr="00795BD9" w:rsidRDefault="00AC45CB" w:rsidP="00DC24FD">
      <w:pPr>
        <w:jc w:val="center"/>
      </w:pPr>
    </w:p>
    <w:p w:rsidR="00130853" w:rsidRPr="00795BD9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795BD9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795BD9">
        <w:rPr>
          <w:rFonts w:ascii="Arial" w:hAnsi="Arial" w:cs="Arial"/>
          <w:b/>
          <w:sz w:val="22"/>
          <w:szCs w:val="22"/>
        </w:rPr>
        <w:t xml:space="preserve"> </w:t>
      </w:r>
      <w:r w:rsidR="001B6B4D" w:rsidRPr="00795BD9">
        <w:rPr>
          <w:rFonts w:ascii="Arial" w:hAnsi="Arial" w:cs="Arial"/>
          <w:b/>
          <w:sz w:val="22"/>
          <w:szCs w:val="22"/>
        </w:rPr>
        <w:t>Sayısı</w:t>
      </w:r>
    </w:p>
    <w:p w:rsidR="00902F0A" w:rsidRPr="00795BD9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795BD9" w:rsidRDefault="00921C64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795BD9">
        <w:rPr>
          <w:noProof/>
          <w:lang w:eastAsia="tr-TR"/>
        </w:rPr>
        <w:drawing>
          <wp:inline distT="0" distB="0" distL="0" distR="0" wp14:anchorId="1DB91680" wp14:editId="1E08B44C">
            <wp:extent cx="4860000" cy="2279040"/>
            <wp:effectExtent l="0" t="0" r="0" b="698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76AD" w:rsidRPr="00795BD9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795BD9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795BD9">
        <w:rPr>
          <w:rFonts w:ascii="Arial" w:hAnsi="Arial" w:cs="Arial"/>
          <w:sz w:val="18"/>
          <w:szCs w:val="22"/>
        </w:rPr>
        <w:t>*</w:t>
      </w:r>
      <w:r w:rsidR="001F5A64" w:rsidRPr="00795BD9">
        <w:rPr>
          <w:rFonts w:ascii="Arial" w:hAnsi="Arial" w:cs="Arial"/>
          <w:sz w:val="18"/>
          <w:szCs w:val="22"/>
        </w:rPr>
        <w:t xml:space="preserve"> </w:t>
      </w:r>
      <w:r w:rsidR="00614D10" w:rsidRPr="00795BD9">
        <w:rPr>
          <w:rFonts w:ascii="Arial" w:hAnsi="Arial" w:cs="Arial"/>
          <w:sz w:val="18"/>
          <w:szCs w:val="22"/>
        </w:rPr>
        <w:t>202</w:t>
      </w:r>
      <w:r w:rsidR="009B47EA" w:rsidRPr="00795BD9">
        <w:rPr>
          <w:rFonts w:ascii="Arial" w:hAnsi="Arial" w:cs="Arial"/>
          <w:sz w:val="18"/>
          <w:szCs w:val="22"/>
        </w:rPr>
        <w:t>3</w:t>
      </w:r>
      <w:r w:rsidR="00614D10" w:rsidRPr="00795BD9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795BD9">
        <w:rPr>
          <w:rFonts w:ascii="Arial" w:hAnsi="Arial" w:cs="Arial"/>
          <w:sz w:val="18"/>
          <w:szCs w:val="22"/>
        </w:rPr>
        <w:t>esaplamalarda 202</w:t>
      </w:r>
      <w:r w:rsidR="009B47EA" w:rsidRPr="00795BD9">
        <w:rPr>
          <w:rFonts w:ascii="Arial" w:hAnsi="Arial" w:cs="Arial"/>
          <w:sz w:val="18"/>
          <w:szCs w:val="22"/>
        </w:rPr>
        <w:t>2</w:t>
      </w:r>
      <w:r w:rsidR="0084423D" w:rsidRPr="00795BD9">
        <w:rPr>
          <w:rFonts w:ascii="Arial" w:hAnsi="Arial" w:cs="Arial"/>
          <w:sz w:val="18"/>
          <w:szCs w:val="22"/>
        </w:rPr>
        <w:t xml:space="preserve"> yıl</w:t>
      </w:r>
      <w:r w:rsidR="00F21F4F" w:rsidRPr="00795BD9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480D2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480D21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EE" w:rsidRDefault="00F243EE">
      <w:r>
        <w:separator/>
      </w:r>
    </w:p>
  </w:endnote>
  <w:endnote w:type="continuationSeparator" w:id="0">
    <w:p w:rsidR="00F243EE" w:rsidRDefault="00F2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960E9C">
          <w:rPr>
            <w:rFonts w:ascii="Arial" w:hAnsi="Arial"/>
            <w:sz w:val="18"/>
            <w:szCs w:val="18"/>
          </w:rPr>
          <w:t>Eylül</w:t>
        </w:r>
        <w:r w:rsidR="00F32809">
          <w:rPr>
            <w:rFonts w:ascii="Arial" w:hAnsi="Arial"/>
            <w:sz w:val="18"/>
            <w:szCs w:val="18"/>
          </w:rPr>
          <w:t xml:space="preserve"> 2023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8110F2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960E9C">
      <w:rPr>
        <w:rFonts w:ascii="Arial" w:hAnsi="Arial"/>
        <w:sz w:val="18"/>
        <w:szCs w:val="18"/>
      </w:rPr>
      <w:t>Eylül</w:t>
    </w:r>
    <w:r w:rsidR="00F32809">
      <w:rPr>
        <w:rFonts w:ascii="Arial" w:hAnsi="Arial"/>
        <w:sz w:val="18"/>
        <w:szCs w:val="18"/>
      </w:rPr>
      <w:t xml:space="preserve"> 2023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EE" w:rsidRDefault="00F243EE">
      <w:r>
        <w:separator/>
      </w:r>
    </w:p>
  </w:footnote>
  <w:footnote w:type="continuationSeparator" w:id="0">
    <w:p w:rsidR="00F243EE" w:rsidRDefault="00F243EE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A89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EF3857-6107-486B-8BC5-2D0687EF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Eyl&#252;l%202023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FB-49BB-9176-5D1C349AA523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10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990-4BB4-AAC4-57D6AAAAFE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FB-49BB-9176-5D1C349AA523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990-4BB4-AAC4-57D6AAAAFE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FB-49BB-9176-5D1C349AA523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FB-49BB-9176-5D1C349AA523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FB-49BB-9176-5D1C349AA523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1FB-49BB-9176-5D1C349AA52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FB-49BB-9176-5D1C349AA5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473472"/>
        <c:axId val="118475008"/>
      </c:barChart>
      <c:dateAx>
        <c:axId val="11847347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18475008"/>
        <c:crosses val="autoZero"/>
        <c:auto val="1"/>
        <c:lblOffset val="100"/>
        <c:baseTimeUnit val="days"/>
      </c:dateAx>
      <c:valAx>
        <c:axId val="118475008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1847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grafik'!$B$29:$B$33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45170</c:v>
                </c:pt>
              </c:numCache>
            </c:numRef>
          </c:cat>
          <c:val>
            <c:numRef>
              <c:f>'çalışan grafik'!$C$29:$C$33</c:f>
              <c:numCache>
                <c:formatCode>0.00</c:formatCode>
                <c:ptCount val="5"/>
                <c:pt idx="0">
                  <c:v>188.83699999999999</c:v>
                </c:pt>
                <c:pt idx="1">
                  <c:v>186.61199999999999</c:v>
                </c:pt>
                <c:pt idx="2">
                  <c:v>185.24799999999999</c:v>
                </c:pt>
                <c:pt idx="3">
                  <c:v>188.68700000000001</c:v>
                </c:pt>
                <c:pt idx="4">
                  <c:v>189.27600000000001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0F-4448-979D-F56A32A031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242368"/>
        <c:axId val="72033408"/>
      </c:barChart>
      <c:catAx>
        <c:axId val="8324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72033408"/>
        <c:crosses val="autoZero"/>
        <c:auto val="1"/>
        <c:lblAlgn val="ctr"/>
        <c:lblOffset val="100"/>
        <c:noMultiLvlLbl val="0"/>
      </c:catAx>
      <c:valAx>
        <c:axId val="72033408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8324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3-4FC0-AF70-54AD0C33E1AE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3-4FC0-AF70-54AD0C33E1AE}"/>
              </c:ext>
            </c:extLst>
          </c:dPt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6D4D6A34-710B-433C-A77C-4D2927AC4CA9}" type="CATEGORYNAME">
                      <a:rPr lang="en-US" b="1">
                        <a:solidFill>
                          <a:schemeClr val="tx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[CATEGORY NAME]</a:t>
                    </a:fld>
                    <a:r>
                      <a:rPr lang="en-US" b="1" baseline="0">
                        <a:solidFill>
                          <a:schemeClr val="tx1"/>
                        </a:solidFill>
                      </a:rPr>
                      <a:t>
49,3%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A33-4FC0-AF70-54AD0C33E1AE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70D0388-42F8-4C1F-B082-713832DFD937}" type="CATEGORYNAME">
                      <a:rPr lang="en-US" b="1">
                        <a:solidFill>
                          <a:schemeClr val="tx1"/>
                        </a:solidFill>
                      </a:rPr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t>[CATEGORY NAME]</a:t>
                    </a:fld>
                    <a:r>
                      <a:rPr lang="en-US" b="1" baseline="0">
                        <a:solidFill>
                          <a:schemeClr val="tx1"/>
                        </a:solidFill>
                      </a:rPr>
                      <a:t>
50,7%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A33-4FC0-AF70-54AD0C33E1A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93996</c:v>
                </c:pt>
                <c:pt idx="1">
                  <c:v>97213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33-4FC0-AF70-54AD0C33E1A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82-49A9-8E44-8E72E337355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82-49A9-8E44-8E72E337355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82-49A9-8E44-8E72E337355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82-49A9-8E44-8E72E3373558}"/>
              </c:ext>
            </c:extLst>
          </c:dPt>
          <c:dLbls>
            <c:dLbl>
              <c:idx val="0"/>
              <c:layout>
                <c:manualLayout>
                  <c:x val="3.1751601049868766E-2"/>
                  <c:y val="0.10749956751508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57742782142"/>
                      <c:h val="0.35025586365843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F82-49A9-8E44-8E72E3373558}"/>
                </c:ext>
              </c:extLst>
            </c:dLbl>
            <c:dLbl>
              <c:idx val="1"/>
              <c:layout>
                <c:manualLayout>
                  <c:x val="-1.9266822416437668E-4"/>
                  <c:y val="-0.189441319835020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F82-49A9-8E44-8E72E3373558}"/>
                </c:ext>
              </c:extLst>
            </c:dLbl>
            <c:dLbl>
              <c:idx val="2"/>
              <c:layout>
                <c:manualLayout>
                  <c:x val="-1.0227682871714806E-16"/>
                  <c:y val="-3.36577154183671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06861642294715"/>
                      <c:h val="0.230630781808011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82-49A9-8E44-8E72E3373558}"/>
                </c:ext>
              </c:extLst>
            </c:dLbl>
            <c:dLbl>
              <c:idx val="3"/>
              <c:layout>
                <c:manualLayout>
                  <c:x val="-1.0227682871714806E-16"/>
                  <c:y val="1.4680843878348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74303473572082"/>
                      <c:h val="0.177767271007983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F82-49A9-8E44-8E72E337355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82-49A9-8E44-8E72E33735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709-4EE0-9A70-ECD60B517BF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BA07-41F7-953B-91A9849F67C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A07-41F7-953B-91A9849F67C7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BA07-41F7-953B-91A9849F67C7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709-4EE0-9A70-ECD60B517B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2.5306959149601642</c:v>
                </c:pt>
                <c:pt idx="1">
                  <c:v>16.541981022422284</c:v>
                </c:pt>
                <c:pt idx="2">
                  <c:v>22.446057608994273</c:v>
                </c:pt>
                <c:pt idx="3">
                  <c:v>7.1202899469557686</c:v>
                </c:pt>
                <c:pt idx="4" formatCode="0.0">
                  <c:v>0.61233331220017329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09-4EE0-9A70-ECD60B517BFA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8709-4EE0-9A70-ECD60B517BFA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709-4EE0-9A70-ECD60B517B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3.7009446522538516</c:v>
                </c:pt>
                <c:pt idx="1">
                  <c:v>21.849574166825164</c:v>
                </c:pt>
                <c:pt idx="2">
                  <c:v>19.901096811006148</c:v>
                </c:pt>
                <c:pt idx="3">
                  <c:v>5.0386736828758005</c:v>
                </c:pt>
                <c:pt idx="4" formatCode="0.0">
                  <c:v>0.25782455250533615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09-4EE0-9A70-ECD60B517B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3580032"/>
        <c:axId val="83581568"/>
      </c:barChart>
      <c:catAx>
        <c:axId val="8358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3581568"/>
        <c:crosses val="autoZero"/>
        <c:auto val="1"/>
        <c:lblAlgn val="ctr"/>
        <c:lblOffset val="100"/>
        <c:noMultiLvlLbl val="0"/>
      </c:catAx>
      <c:valAx>
        <c:axId val="83581568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358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grafik'!$B$33:$B$37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45170</c:v>
                </c:pt>
              </c:numCache>
            </c:numRef>
          </c:cat>
          <c:val>
            <c:numRef>
              <c:f>'şube grafik'!$C$33:$C$37</c:f>
              <c:numCache>
                <c:formatCode>General</c:formatCode>
                <c:ptCount val="5"/>
                <c:pt idx="0">
                  <c:v>10199</c:v>
                </c:pt>
                <c:pt idx="1">
                  <c:v>9939</c:v>
                </c:pt>
                <c:pt idx="2">
                  <c:v>9792</c:v>
                </c:pt>
                <c:pt idx="3">
                  <c:v>9661</c:v>
                </c:pt>
                <c:pt idx="4">
                  <c:v>9617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DA-4C2B-AB66-0566DCA16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614720"/>
        <c:axId val="83620608"/>
      </c:barChart>
      <c:catAx>
        <c:axId val="8361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tr-TR"/>
          </a:p>
        </c:txPr>
        <c:crossAx val="83620608"/>
        <c:crosses val="autoZero"/>
        <c:auto val="1"/>
        <c:lblAlgn val="ctr"/>
        <c:lblOffset val="100"/>
        <c:noMultiLvlLbl val="0"/>
      </c:catAx>
      <c:valAx>
        <c:axId val="83620608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8361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45170</c:v>
                </c:pt>
              </c:numCache>
            </c:numRef>
          </c:cat>
          <c:val>
            <c:numRef>
              <c:f>'nüfusa göre'!$H$3:$L$3</c:f>
              <c:numCache>
                <c:formatCode>0.0</c:formatCode>
                <c:ptCount val="5"/>
                <c:pt idx="0">
                  <c:v>12.265047643498802</c:v>
                </c:pt>
                <c:pt idx="1">
                  <c:v>11.886713911660296</c:v>
                </c:pt>
                <c:pt idx="2">
                  <c:v>11.563496022267193</c:v>
                </c:pt>
                <c:pt idx="3">
                  <c:v>11.328624107586492</c:v>
                </c:pt>
                <c:pt idx="4">
                  <c:v>11.27702909043156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C3-45B7-8C30-130E62A5E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057600"/>
        <c:axId val="118071680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göre'!$H$1:$L$1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 formatCode="mmm\-yy">
                  <c:v>45170</c:v>
                </c:pt>
              </c:numCache>
            </c:numRef>
          </c:cat>
          <c:val>
            <c:numRef>
              <c:f>'nüfusa göre'!$H$4:$L$4</c:f>
              <c:numCache>
                <c:formatCode>0</c:formatCode>
                <c:ptCount val="5"/>
                <c:pt idx="0">
                  <c:v>227.09038159186031</c:v>
                </c:pt>
                <c:pt idx="1">
                  <c:v>223.18295031659753</c:v>
                </c:pt>
                <c:pt idx="2">
                  <c:v>218.76169435589799</c:v>
                </c:pt>
                <c:pt idx="3">
                  <c:v>221.25702277074552</c:v>
                </c:pt>
                <c:pt idx="4">
                  <c:v>221.94769243220588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C3-45B7-8C30-130E62A5E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074752"/>
        <c:axId val="118073216"/>
      </c:lineChart>
      <c:catAx>
        <c:axId val="11805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071680"/>
        <c:crosses val="autoZero"/>
        <c:auto val="1"/>
        <c:lblAlgn val="ctr"/>
        <c:lblOffset val="100"/>
        <c:noMultiLvlLbl val="0"/>
      </c:catAx>
      <c:valAx>
        <c:axId val="11807168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057600"/>
        <c:crosses val="autoZero"/>
        <c:crossBetween val="between"/>
        <c:majorUnit val="1"/>
      </c:valAx>
      <c:valAx>
        <c:axId val="118073216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074752"/>
        <c:crosses val="max"/>
        <c:crossBetween val="between"/>
        <c:majorUnit val="10"/>
      </c:valAx>
      <c:catAx>
        <c:axId val="118074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80732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11B5-C6AD-4995-8C6D-D20B919B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2</cp:revision>
  <cp:lastPrinted>2022-10-25T13:50:00Z</cp:lastPrinted>
  <dcterms:created xsi:type="dcterms:W3CDTF">2023-10-30T08:46:00Z</dcterms:created>
  <dcterms:modified xsi:type="dcterms:W3CDTF">2023-10-30T08:46:00Z</dcterms:modified>
</cp:coreProperties>
</file>