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8BB41" w14:textId="665FFF42" w:rsidR="00746FEE" w:rsidRDefault="0059608B" w:rsidP="001E76AD">
      <w:pPr>
        <w:pStyle w:val="Title"/>
        <w:ind w:right="-599"/>
        <w:outlineLvl w:val="0"/>
        <w:rPr>
          <w:rFonts w:ascii="Arial" w:hAnsi="Arial" w:cs="Arial"/>
          <w:szCs w:val="24"/>
        </w:rPr>
      </w:pPr>
      <w:r w:rsidRPr="007D4732">
        <w:rPr>
          <w:rFonts w:ascii="Arial" w:hAnsi="Arial" w:cs="Arial"/>
          <w:szCs w:val="24"/>
        </w:rPr>
        <w:t>Seçilmiş Göstergelerin</w:t>
      </w:r>
      <w:r w:rsidR="00C475C6">
        <w:rPr>
          <w:rFonts w:ascii="Arial" w:hAnsi="Arial" w:cs="Arial"/>
          <w:szCs w:val="24"/>
        </w:rPr>
        <w:t xml:space="preserve"> </w:t>
      </w:r>
      <w:r w:rsidR="0046774D" w:rsidRPr="007D4732">
        <w:rPr>
          <w:rFonts w:ascii="Arial" w:hAnsi="Arial" w:cs="Arial"/>
          <w:szCs w:val="24"/>
        </w:rPr>
        <w:t>İl</w:t>
      </w:r>
      <w:r w:rsidR="000E71E7" w:rsidRPr="007D4732">
        <w:rPr>
          <w:rFonts w:ascii="Arial" w:hAnsi="Arial" w:cs="Arial"/>
          <w:szCs w:val="24"/>
        </w:rPr>
        <w:t>lere ve Bölgelere Göre</w:t>
      </w:r>
      <w:r w:rsidR="0046774D" w:rsidRPr="007D4732">
        <w:rPr>
          <w:rFonts w:ascii="Arial" w:hAnsi="Arial" w:cs="Arial"/>
          <w:szCs w:val="24"/>
        </w:rPr>
        <w:t xml:space="preserve"> Dağılım</w:t>
      </w:r>
      <w:r w:rsidR="00A97D8B" w:rsidRPr="007D4732">
        <w:rPr>
          <w:rFonts w:ascii="Arial" w:hAnsi="Arial" w:cs="Arial"/>
          <w:szCs w:val="24"/>
        </w:rPr>
        <w:t>ı</w:t>
      </w:r>
      <w:r w:rsidR="00A775D5" w:rsidRPr="007D4732">
        <w:rPr>
          <w:rStyle w:val="FootnoteReference"/>
          <w:rFonts w:ascii="Arial" w:hAnsi="Arial" w:cs="Arial"/>
          <w:bCs/>
          <w:szCs w:val="24"/>
        </w:rPr>
        <w:footnoteReference w:id="1"/>
      </w:r>
      <w:r w:rsidR="00B32BE5" w:rsidRPr="007D4732">
        <w:rPr>
          <w:rFonts w:ascii="Arial" w:hAnsi="Arial" w:cs="Arial"/>
          <w:szCs w:val="24"/>
        </w:rPr>
        <w:t>,</w:t>
      </w:r>
      <w:r w:rsidR="00B32BE5" w:rsidRPr="007D4732">
        <w:rPr>
          <w:rStyle w:val="FootnoteReference"/>
          <w:rFonts w:ascii="Arial" w:hAnsi="Arial" w:cs="Arial"/>
          <w:szCs w:val="24"/>
        </w:rPr>
        <w:footnoteReference w:id="2"/>
      </w:r>
    </w:p>
    <w:p w14:paraId="0B649814" w14:textId="77777777" w:rsidR="00926BB9" w:rsidRPr="007D4732" w:rsidRDefault="00926BB9" w:rsidP="001E76AD">
      <w:pPr>
        <w:pStyle w:val="Title"/>
        <w:ind w:right="-599"/>
        <w:outlineLvl w:val="0"/>
        <w:rPr>
          <w:rFonts w:ascii="Arial" w:hAnsi="Arial" w:cs="Arial"/>
          <w:szCs w:val="24"/>
        </w:rPr>
      </w:pPr>
    </w:p>
    <w:p w14:paraId="34947F2F" w14:textId="77777777" w:rsidR="0046774D" w:rsidRPr="004D4A56" w:rsidRDefault="0046774D" w:rsidP="001E76AD">
      <w:pPr>
        <w:ind w:right="-599"/>
        <w:jc w:val="center"/>
        <w:rPr>
          <w:rFonts w:ascii="Arial" w:hAnsi="Arial" w:cs="Arial"/>
          <w:b/>
          <w:sz w:val="14"/>
          <w:szCs w:val="14"/>
        </w:rPr>
      </w:pPr>
    </w:p>
    <w:p w14:paraId="5B398E57" w14:textId="20F6521A" w:rsidR="0046774D" w:rsidRDefault="007D4732" w:rsidP="004D4A56">
      <w:pPr>
        <w:spacing w:before="80" w:after="8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D4732">
        <w:rPr>
          <w:rFonts w:ascii="Arial" w:hAnsi="Arial" w:cs="Arial"/>
          <w:b/>
          <w:sz w:val="22"/>
          <w:szCs w:val="22"/>
        </w:rPr>
        <w:t xml:space="preserve">Banka, </w:t>
      </w:r>
      <w:r w:rsidR="00A64F40" w:rsidRPr="007D4732">
        <w:rPr>
          <w:rFonts w:ascii="Arial" w:hAnsi="Arial" w:cs="Arial"/>
          <w:b/>
          <w:sz w:val="22"/>
          <w:szCs w:val="22"/>
        </w:rPr>
        <w:t>Ş</w:t>
      </w:r>
      <w:r w:rsidR="0046774D" w:rsidRPr="007D4732">
        <w:rPr>
          <w:rFonts w:ascii="Arial" w:hAnsi="Arial" w:cs="Arial"/>
          <w:b/>
          <w:sz w:val="22"/>
          <w:szCs w:val="22"/>
        </w:rPr>
        <w:t>ube</w:t>
      </w:r>
      <w:r w:rsidR="00F06649" w:rsidRPr="007D4732">
        <w:rPr>
          <w:rFonts w:ascii="Arial" w:hAnsi="Arial" w:cs="Arial"/>
          <w:b/>
          <w:sz w:val="22"/>
          <w:szCs w:val="22"/>
        </w:rPr>
        <w:t xml:space="preserve"> ve </w:t>
      </w:r>
      <w:r w:rsidR="00D11839" w:rsidRPr="007D4732">
        <w:rPr>
          <w:rFonts w:ascii="Arial" w:hAnsi="Arial" w:cs="Arial"/>
          <w:b/>
          <w:sz w:val="22"/>
          <w:szCs w:val="22"/>
        </w:rPr>
        <w:t>Çalışan</w:t>
      </w:r>
      <w:r w:rsidR="0046774D" w:rsidRPr="007D4732">
        <w:rPr>
          <w:rFonts w:ascii="Arial" w:hAnsi="Arial" w:cs="Arial"/>
          <w:b/>
          <w:sz w:val="22"/>
          <w:szCs w:val="22"/>
        </w:rPr>
        <w:t xml:space="preserve"> </w:t>
      </w:r>
      <w:r w:rsidR="00133C3B">
        <w:rPr>
          <w:rFonts w:ascii="Arial" w:hAnsi="Arial" w:cs="Arial"/>
          <w:b/>
          <w:sz w:val="22"/>
          <w:szCs w:val="22"/>
        </w:rPr>
        <w:t>S</w:t>
      </w:r>
      <w:r w:rsidR="0046774D" w:rsidRPr="007D4732">
        <w:rPr>
          <w:rFonts w:ascii="Arial" w:hAnsi="Arial" w:cs="Arial"/>
          <w:b/>
          <w:sz w:val="22"/>
          <w:szCs w:val="22"/>
        </w:rPr>
        <w:t>ayısı</w:t>
      </w:r>
      <w:r w:rsidR="00926BB9">
        <w:rPr>
          <w:rFonts w:ascii="Arial" w:hAnsi="Arial" w:cs="Arial"/>
          <w:b/>
          <w:sz w:val="22"/>
          <w:szCs w:val="22"/>
        </w:rPr>
        <w:t>; Coğrafi Dağılım</w:t>
      </w:r>
    </w:p>
    <w:p w14:paraId="507B6C1F" w14:textId="77777777" w:rsidR="00926BB9" w:rsidRPr="007D4732" w:rsidRDefault="00926BB9" w:rsidP="004D4A56">
      <w:pPr>
        <w:spacing w:before="80" w:after="8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13A6C72" w14:textId="541BF233" w:rsidR="007D4732" w:rsidRPr="007D4732" w:rsidRDefault="007D4732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7D4732">
        <w:rPr>
          <w:rFonts w:ascii="Arial" w:hAnsi="Arial" w:cs="Arial"/>
          <w:sz w:val="22"/>
          <w:szCs w:val="22"/>
        </w:rPr>
        <w:t xml:space="preserve">5 banka Türkiye’nin 81 ilinde de faaliyet göstermektedir. </w:t>
      </w:r>
    </w:p>
    <w:p w14:paraId="313340BF" w14:textId="5D4BCAC2" w:rsidR="003A66B1" w:rsidRPr="007D4732" w:rsidRDefault="00990905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7D4732">
        <w:rPr>
          <w:rFonts w:ascii="Arial" w:hAnsi="Arial" w:cs="Arial"/>
          <w:sz w:val="22"/>
          <w:szCs w:val="22"/>
        </w:rPr>
        <w:t xml:space="preserve">İstanbul </w:t>
      </w:r>
      <w:r w:rsidR="00C724E9" w:rsidRPr="007D4732">
        <w:rPr>
          <w:rFonts w:ascii="Arial" w:hAnsi="Arial" w:cs="Arial"/>
          <w:sz w:val="22"/>
          <w:szCs w:val="22"/>
        </w:rPr>
        <w:t>2.</w:t>
      </w:r>
      <w:r w:rsidR="00A86373" w:rsidRPr="007D4732">
        <w:rPr>
          <w:rFonts w:ascii="Arial" w:hAnsi="Arial" w:cs="Arial"/>
          <w:sz w:val="22"/>
          <w:szCs w:val="22"/>
        </w:rPr>
        <w:t>449</w:t>
      </w:r>
      <w:r w:rsidR="003A66B1" w:rsidRPr="007D4732">
        <w:rPr>
          <w:rFonts w:ascii="Arial" w:hAnsi="Arial" w:cs="Arial"/>
          <w:sz w:val="22"/>
          <w:szCs w:val="22"/>
        </w:rPr>
        <w:t xml:space="preserve"> şube </w:t>
      </w:r>
      <w:r w:rsidR="00326F80" w:rsidRPr="007D4732">
        <w:rPr>
          <w:rFonts w:ascii="Arial" w:hAnsi="Arial" w:cs="Arial"/>
          <w:sz w:val="22"/>
          <w:szCs w:val="22"/>
        </w:rPr>
        <w:t xml:space="preserve">ve yüzde </w:t>
      </w:r>
      <w:r w:rsidR="009C64D6" w:rsidRPr="007D4732">
        <w:rPr>
          <w:rFonts w:ascii="Arial" w:hAnsi="Arial" w:cs="Arial"/>
          <w:sz w:val="22"/>
          <w:szCs w:val="22"/>
        </w:rPr>
        <w:t>2</w:t>
      </w:r>
      <w:r w:rsidR="007E128A" w:rsidRPr="007D4732">
        <w:rPr>
          <w:rFonts w:ascii="Arial" w:hAnsi="Arial" w:cs="Arial"/>
          <w:sz w:val="22"/>
          <w:szCs w:val="22"/>
        </w:rPr>
        <w:t>6</w:t>
      </w:r>
      <w:r w:rsidR="00326F80" w:rsidRPr="007D4732">
        <w:rPr>
          <w:rFonts w:ascii="Arial" w:hAnsi="Arial" w:cs="Arial"/>
          <w:sz w:val="22"/>
          <w:szCs w:val="22"/>
        </w:rPr>
        <w:t xml:space="preserve"> pay ile</w:t>
      </w:r>
      <w:r w:rsidR="003A66B1" w:rsidRPr="007D4732">
        <w:rPr>
          <w:rFonts w:ascii="Arial" w:hAnsi="Arial" w:cs="Arial"/>
          <w:sz w:val="22"/>
          <w:szCs w:val="22"/>
        </w:rPr>
        <w:t xml:space="preserve"> en çok şubeye sahip olan bölgedir.</w:t>
      </w:r>
      <w:r w:rsidR="00112FE4" w:rsidRPr="007D4732">
        <w:rPr>
          <w:rFonts w:ascii="Arial" w:hAnsi="Arial" w:cs="Arial"/>
          <w:sz w:val="22"/>
          <w:szCs w:val="22"/>
        </w:rPr>
        <w:t xml:space="preserve"> </w:t>
      </w:r>
      <w:r w:rsidR="009C64D6" w:rsidRPr="007D4732">
        <w:rPr>
          <w:rFonts w:ascii="Arial" w:hAnsi="Arial" w:cs="Arial"/>
          <w:sz w:val="22"/>
          <w:szCs w:val="22"/>
        </w:rPr>
        <w:t>İstanbul’u 1.</w:t>
      </w:r>
      <w:r w:rsidR="001C1EE9" w:rsidRPr="007D4732">
        <w:rPr>
          <w:rFonts w:ascii="Arial" w:hAnsi="Arial" w:cs="Arial"/>
          <w:sz w:val="22"/>
          <w:szCs w:val="22"/>
        </w:rPr>
        <w:t>4</w:t>
      </w:r>
      <w:r w:rsidR="00A86373" w:rsidRPr="007D4732">
        <w:rPr>
          <w:rFonts w:ascii="Arial" w:hAnsi="Arial" w:cs="Arial"/>
          <w:sz w:val="22"/>
          <w:szCs w:val="22"/>
        </w:rPr>
        <w:t>14</w:t>
      </w:r>
      <w:r w:rsidR="003A66B1" w:rsidRPr="007D4732">
        <w:rPr>
          <w:rFonts w:ascii="Arial" w:hAnsi="Arial" w:cs="Arial"/>
          <w:sz w:val="22"/>
          <w:szCs w:val="22"/>
        </w:rPr>
        <w:t xml:space="preserve"> </w:t>
      </w:r>
      <w:r w:rsidR="000644CC" w:rsidRPr="007D4732">
        <w:rPr>
          <w:rFonts w:ascii="Arial" w:hAnsi="Arial" w:cs="Arial"/>
          <w:sz w:val="22"/>
          <w:szCs w:val="22"/>
        </w:rPr>
        <w:t>şube ve yüzde 15 pay ile Ege,</w:t>
      </w:r>
      <w:r w:rsidR="00CC66F8" w:rsidRPr="007D4732">
        <w:rPr>
          <w:rFonts w:ascii="Arial" w:hAnsi="Arial" w:cs="Arial"/>
          <w:sz w:val="22"/>
          <w:szCs w:val="22"/>
        </w:rPr>
        <w:t xml:space="preserve"> </w:t>
      </w:r>
      <w:r w:rsidRPr="007D4732">
        <w:rPr>
          <w:rFonts w:ascii="Arial" w:hAnsi="Arial" w:cs="Arial"/>
          <w:sz w:val="22"/>
          <w:szCs w:val="22"/>
        </w:rPr>
        <w:t>1.</w:t>
      </w:r>
      <w:r w:rsidR="007E128A" w:rsidRPr="007D4732">
        <w:rPr>
          <w:rFonts w:ascii="Arial" w:hAnsi="Arial" w:cs="Arial"/>
          <w:sz w:val="22"/>
          <w:szCs w:val="22"/>
        </w:rPr>
        <w:t>1</w:t>
      </w:r>
      <w:r w:rsidR="00A86373" w:rsidRPr="007D4732">
        <w:rPr>
          <w:rFonts w:ascii="Arial" w:hAnsi="Arial" w:cs="Arial"/>
          <w:sz w:val="22"/>
          <w:szCs w:val="22"/>
        </w:rPr>
        <w:t>23</w:t>
      </w:r>
      <w:r w:rsidR="003A66B1" w:rsidRPr="007D4732">
        <w:rPr>
          <w:rFonts w:ascii="Arial" w:hAnsi="Arial" w:cs="Arial"/>
          <w:sz w:val="22"/>
          <w:szCs w:val="22"/>
        </w:rPr>
        <w:t xml:space="preserve"> şube ve yüzde 12 pay ile Batı Anadolu bölgeleri izlemektedir. </w:t>
      </w:r>
    </w:p>
    <w:p w14:paraId="1647A4D9" w14:textId="22AF9C9A" w:rsidR="0046774D" w:rsidRPr="007D4732" w:rsidRDefault="0046774D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7D4732">
        <w:rPr>
          <w:rFonts w:ascii="Arial" w:hAnsi="Arial" w:cs="Arial"/>
          <w:sz w:val="22"/>
          <w:szCs w:val="22"/>
        </w:rPr>
        <w:t>İs</w:t>
      </w:r>
      <w:r w:rsidR="0067146F" w:rsidRPr="007D4732">
        <w:rPr>
          <w:rFonts w:ascii="Arial" w:hAnsi="Arial" w:cs="Arial"/>
          <w:sz w:val="22"/>
          <w:szCs w:val="22"/>
        </w:rPr>
        <w:t xml:space="preserve">tanbul, Ankara ve İzmir’de </w:t>
      </w:r>
      <w:r w:rsidR="00A86373" w:rsidRPr="007D4732">
        <w:rPr>
          <w:rFonts w:ascii="Arial" w:hAnsi="Arial" w:cs="Arial"/>
          <w:sz w:val="22"/>
          <w:szCs w:val="22"/>
        </w:rPr>
        <w:t>3.987</w:t>
      </w:r>
      <w:r w:rsidR="006D32B4" w:rsidRPr="007D4732">
        <w:rPr>
          <w:rFonts w:ascii="Arial" w:hAnsi="Arial" w:cs="Arial"/>
          <w:sz w:val="22"/>
          <w:szCs w:val="22"/>
        </w:rPr>
        <w:t xml:space="preserve"> adet şube, </w:t>
      </w:r>
      <w:r w:rsidR="00BF0298" w:rsidRPr="007D4732">
        <w:rPr>
          <w:rFonts w:ascii="Arial" w:hAnsi="Arial" w:cs="Arial"/>
          <w:sz w:val="22"/>
          <w:szCs w:val="22"/>
        </w:rPr>
        <w:t>toplam yurtiçi şubelerin yüzde 4</w:t>
      </w:r>
      <w:r w:rsidR="00B62028" w:rsidRPr="007D4732">
        <w:rPr>
          <w:rFonts w:ascii="Arial" w:hAnsi="Arial" w:cs="Arial"/>
          <w:sz w:val="22"/>
          <w:szCs w:val="22"/>
        </w:rPr>
        <w:t>2</w:t>
      </w:r>
      <w:r w:rsidR="00EF2527" w:rsidRPr="007D4732">
        <w:rPr>
          <w:rFonts w:ascii="Arial" w:hAnsi="Arial" w:cs="Arial"/>
          <w:sz w:val="22"/>
          <w:szCs w:val="22"/>
        </w:rPr>
        <w:t>’</w:t>
      </w:r>
      <w:r w:rsidR="00B62028" w:rsidRPr="007D4732">
        <w:rPr>
          <w:rFonts w:ascii="Arial" w:hAnsi="Arial" w:cs="Arial"/>
          <w:sz w:val="22"/>
          <w:szCs w:val="22"/>
        </w:rPr>
        <w:t>sini</w:t>
      </w:r>
      <w:r w:rsidRPr="007D4732">
        <w:rPr>
          <w:rFonts w:ascii="Arial" w:hAnsi="Arial" w:cs="Arial"/>
          <w:sz w:val="22"/>
          <w:szCs w:val="22"/>
        </w:rPr>
        <w:t xml:space="preserve"> oluşturmaktadır.</w:t>
      </w:r>
    </w:p>
    <w:p w14:paraId="558BDAEB" w14:textId="5BAD85B0" w:rsidR="00F06649" w:rsidRPr="007D4732" w:rsidRDefault="00AB3DA1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7D4732">
        <w:rPr>
          <w:rFonts w:ascii="Arial" w:hAnsi="Arial" w:cs="Arial"/>
          <w:sz w:val="22"/>
          <w:szCs w:val="22"/>
        </w:rPr>
        <w:t xml:space="preserve">Türkiye’de </w:t>
      </w:r>
      <w:r w:rsidR="00A86373" w:rsidRPr="007D4732">
        <w:rPr>
          <w:rFonts w:ascii="Arial" w:hAnsi="Arial" w:cs="Arial"/>
          <w:sz w:val="22"/>
          <w:szCs w:val="22"/>
        </w:rPr>
        <w:t>2023</w:t>
      </w:r>
      <w:r w:rsidR="00F06649" w:rsidRPr="007D4732">
        <w:rPr>
          <w:rFonts w:ascii="Arial" w:hAnsi="Arial" w:cs="Arial"/>
          <w:sz w:val="22"/>
          <w:szCs w:val="22"/>
        </w:rPr>
        <w:t xml:space="preserve"> sonunda en fazla ban</w:t>
      </w:r>
      <w:r w:rsidRPr="007D4732">
        <w:rPr>
          <w:rFonts w:ascii="Arial" w:hAnsi="Arial" w:cs="Arial"/>
          <w:sz w:val="22"/>
          <w:szCs w:val="22"/>
        </w:rPr>
        <w:t xml:space="preserve">ka personelinin çalıştığı il, </w:t>
      </w:r>
      <w:r w:rsidR="00A86373" w:rsidRPr="007D4732">
        <w:rPr>
          <w:rFonts w:ascii="Arial" w:hAnsi="Arial" w:cs="Arial"/>
          <w:sz w:val="22"/>
          <w:szCs w:val="22"/>
        </w:rPr>
        <w:t>82.808</w:t>
      </w:r>
      <w:r w:rsidR="00930E3F" w:rsidRPr="007D4732">
        <w:rPr>
          <w:rFonts w:ascii="Arial" w:hAnsi="Arial" w:cs="Arial"/>
          <w:sz w:val="22"/>
          <w:szCs w:val="22"/>
        </w:rPr>
        <w:t xml:space="preserve"> </w:t>
      </w:r>
      <w:r w:rsidR="00F06649" w:rsidRPr="007D4732">
        <w:rPr>
          <w:rFonts w:ascii="Arial" w:hAnsi="Arial" w:cs="Arial"/>
          <w:sz w:val="22"/>
          <w:szCs w:val="22"/>
        </w:rPr>
        <w:t xml:space="preserve">kişi ile </w:t>
      </w:r>
      <w:r w:rsidR="00F70944" w:rsidRPr="007D4732">
        <w:rPr>
          <w:rFonts w:ascii="Arial" w:hAnsi="Arial" w:cs="Arial"/>
          <w:sz w:val="22"/>
          <w:szCs w:val="22"/>
        </w:rPr>
        <w:t xml:space="preserve">genel müdürlüklerin </w:t>
      </w:r>
      <w:r w:rsidR="00083DCD" w:rsidRPr="007D4732">
        <w:rPr>
          <w:rFonts w:ascii="Arial" w:hAnsi="Arial" w:cs="Arial"/>
          <w:sz w:val="22"/>
          <w:szCs w:val="22"/>
        </w:rPr>
        <w:t xml:space="preserve">tamamına yakınının </w:t>
      </w:r>
      <w:r w:rsidR="00F70944" w:rsidRPr="007D4732">
        <w:rPr>
          <w:rFonts w:ascii="Arial" w:hAnsi="Arial" w:cs="Arial"/>
          <w:sz w:val="22"/>
          <w:szCs w:val="22"/>
        </w:rPr>
        <w:t xml:space="preserve">bulunduğu </w:t>
      </w:r>
      <w:r w:rsidR="00F06649" w:rsidRPr="007D4732">
        <w:rPr>
          <w:rFonts w:ascii="Arial" w:hAnsi="Arial" w:cs="Arial"/>
          <w:sz w:val="22"/>
          <w:szCs w:val="22"/>
        </w:rPr>
        <w:t xml:space="preserve">İstanbul olmuştur. </w:t>
      </w:r>
      <w:r w:rsidR="0040697D" w:rsidRPr="007D4732">
        <w:rPr>
          <w:rFonts w:ascii="Arial" w:hAnsi="Arial" w:cs="Arial"/>
          <w:sz w:val="22"/>
          <w:szCs w:val="22"/>
        </w:rPr>
        <w:t>Ank</w:t>
      </w:r>
      <w:r w:rsidRPr="007D4732">
        <w:rPr>
          <w:rFonts w:ascii="Arial" w:hAnsi="Arial" w:cs="Arial"/>
          <w:sz w:val="22"/>
          <w:szCs w:val="22"/>
        </w:rPr>
        <w:t xml:space="preserve">ara ve İzmir’de sırasıyla </w:t>
      </w:r>
      <w:r w:rsidR="00A86373" w:rsidRPr="007D4732">
        <w:rPr>
          <w:rFonts w:ascii="Arial" w:hAnsi="Arial" w:cs="Arial"/>
          <w:sz w:val="22"/>
          <w:szCs w:val="22"/>
        </w:rPr>
        <w:t>17.118</w:t>
      </w:r>
      <w:r w:rsidR="00D47917" w:rsidRPr="007D4732">
        <w:rPr>
          <w:rFonts w:ascii="Arial" w:hAnsi="Arial" w:cs="Arial"/>
          <w:sz w:val="22"/>
          <w:szCs w:val="22"/>
        </w:rPr>
        <w:t xml:space="preserve"> </w:t>
      </w:r>
      <w:r w:rsidRPr="007D4732">
        <w:rPr>
          <w:rFonts w:ascii="Arial" w:hAnsi="Arial" w:cs="Arial"/>
          <w:sz w:val="22"/>
          <w:szCs w:val="22"/>
        </w:rPr>
        <w:t xml:space="preserve">ve </w:t>
      </w:r>
      <w:r w:rsidR="0005148B" w:rsidRPr="007D4732">
        <w:rPr>
          <w:rFonts w:ascii="Arial" w:hAnsi="Arial" w:cs="Arial"/>
          <w:sz w:val="22"/>
          <w:szCs w:val="22"/>
        </w:rPr>
        <w:t>10.0</w:t>
      </w:r>
      <w:r w:rsidR="00A86373" w:rsidRPr="007D4732">
        <w:rPr>
          <w:rFonts w:ascii="Arial" w:hAnsi="Arial" w:cs="Arial"/>
          <w:sz w:val="22"/>
          <w:szCs w:val="22"/>
        </w:rPr>
        <w:t>90</w:t>
      </w:r>
      <w:r w:rsidR="00D47917" w:rsidRPr="007D4732">
        <w:rPr>
          <w:rFonts w:ascii="Arial" w:hAnsi="Arial" w:cs="Arial"/>
          <w:sz w:val="22"/>
          <w:szCs w:val="22"/>
        </w:rPr>
        <w:t xml:space="preserve"> </w:t>
      </w:r>
      <w:r w:rsidR="0040697D" w:rsidRPr="007D4732">
        <w:rPr>
          <w:rFonts w:ascii="Arial" w:hAnsi="Arial" w:cs="Arial"/>
          <w:sz w:val="22"/>
          <w:szCs w:val="22"/>
        </w:rPr>
        <w:t>personel görev yapmaktadır.</w:t>
      </w:r>
      <w:r w:rsidR="001C35EC" w:rsidRPr="007D4732">
        <w:rPr>
          <w:rFonts w:ascii="Arial" w:hAnsi="Arial" w:cs="Arial"/>
          <w:sz w:val="22"/>
          <w:szCs w:val="22"/>
        </w:rPr>
        <w:t xml:space="preserve"> </w:t>
      </w:r>
    </w:p>
    <w:p w14:paraId="743E7C9C" w14:textId="4F109713" w:rsidR="00AF5AC4" w:rsidRPr="007D4732" w:rsidRDefault="00AF5AC4" w:rsidP="004D4A56">
      <w:pPr>
        <w:spacing w:before="8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7D4732">
        <w:rPr>
          <w:rFonts w:ascii="Arial" w:hAnsi="Arial" w:cs="Arial"/>
          <w:b/>
          <w:bCs/>
          <w:sz w:val="22"/>
          <w:szCs w:val="22"/>
        </w:rPr>
        <w:t>K</w:t>
      </w:r>
      <w:r w:rsidR="00D11839" w:rsidRPr="007D4732">
        <w:rPr>
          <w:rFonts w:ascii="Arial" w:hAnsi="Arial" w:cs="Arial"/>
          <w:b/>
          <w:bCs/>
          <w:sz w:val="22"/>
          <w:szCs w:val="22"/>
        </w:rPr>
        <w:t>redi ve Mevduat</w:t>
      </w:r>
    </w:p>
    <w:p w14:paraId="208ADDC5" w14:textId="697FF40D" w:rsidR="00D11839" w:rsidRPr="007D4732" w:rsidRDefault="00D11839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7D4732">
        <w:rPr>
          <w:rFonts w:ascii="Arial" w:hAnsi="Arial" w:cs="Arial"/>
          <w:sz w:val="22"/>
          <w:szCs w:val="22"/>
        </w:rPr>
        <w:t>Türkiye nüfusunun</w:t>
      </w:r>
      <w:r w:rsidRPr="007D4732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7D4732">
        <w:rPr>
          <w:rFonts w:ascii="Arial" w:hAnsi="Arial" w:cs="Arial"/>
          <w:sz w:val="22"/>
          <w:szCs w:val="22"/>
        </w:rPr>
        <w:t xml:space="preserve"> yüzde 3</w:t>
      </w:r>
      <w:r w:rsidR="00620924" w:rsidRPr="007D4732">
        <w:rPr>
          <w:rFonts w:ascii="Arial" w:hAnsi="Arial" w:cs="Arial"/>
          <w:sz w:val="22"/>
          <w:szCs w:val="22"/>
        </w:rPr>
        <w:t>0’una</w:t>
      </w:r>
      <w:r w:rsidRPr="007D4732">
        <w:rPr>
          <w:rFonts w:ascii="Arial" w:hAnsi="Arial" w:cs="Arial"/>
          <w:sz w:val="22"/>
          <w:szCs w:val="22"/>
        </w:rPr>
        <w:t xml:space="preserve"> sahip olan üç büyük ilde, toplam mevduatın yüzde 67’si ve toplam kredilerin yüzde </w:t>
      </w:r>
      <w:r w:rsidR="00620924" w:rsidRPr="007D4732">
        <w:rPr>
          <w:rFonts w:ascii="Arial" w:hAnsi="Arial" w:cs="Arial"/>
          <w:sz w:val="22"/>
          <w:szCs w:val="22"/>
        </w:rPr>
        <w:t xml:space="preserve">58’i </w:t>
      </w:r>
      <w:r w:rsidRPr="007D4732">
        <w:rPr>
          <w:rFonts w:ascii="Arial" w:hAnsi="Arial" w:cs="Arial"/>
          <w:sz w:val="22"/>
          <w:szCs w:val="22"/>
        </w:rPr>
        <w:t>bulunmaktadır.</w:t>
      </w:r>
    </w:p>
    <w:p w14:paraId="71520CB8" w14:textId="10B962D6" w:rsidR="00C16EF7" w:rsidRPr="004D4A56" w:rsidRDefault="00C16EF7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7D4732">
        <w:rPr>
          <w:rFonts w:ascii="Arial" w:hAnsi="Arial" w:cs="Arial"/>
          <w:sz w:val="22"/>
          <w:szCs w:val="22"/>
        </w:rPr>
        <w:t>Kişi başına kredi ve mevduatın en yüksek olduğu il İstanbul’dur. Aynı zamanda İstanbul toplam mevduatın yüzde 4</w:t>
      </w:r>
      <w:r w:rsidR="00620924" w:rsidRPr="007D4732">
        <w:rPr>
          <w:rFonts w:ascii="Arial" w:hAnsi="Arial" w:cs="Arial"/>
          <w:sz w:val="22"/>
          <w:szCs w:val="22"/>
        </w:rPr>
        <w:t>7</w:t>
      </w:r>
      <w:r w:rsidRPr="007D4732">
        <w:rPr>
          <w:rFonts w:ascii="Arial" w:hAnsi="Arial" w:cs="Arial"/>
          <w:sz w:val="22"/>
          <w:szCs w:val="22"/>
        </w:rPr>
        <w:t>’s</w:t>
      </w:r>
      <w:r w:rsidR="00620924" w:rsidRPr="007D4732">
        <w:rPr>
          <w:rFonts w:ascii="Arial" w:hAnsi="Arial" w:cs="Arial"/>
          <w:sz w:val="22"/>
          <w:szCs w:val="22"/>
        </w:rPr>
        <w:t>ini</w:t>
      </w:r>
      <w:r w:rsidRPr="007D4732">
        <w:rPr>
          <w:rFonts w:ascii="Arial" w:hAnsi="Arial" w:cs="Arial"/>
          <w:sz w:val="22"/>
          <w:szCs w:val="22"/>
        </w:rPr>
        <w:t xml:space="preserve"> ve toplam kredilerin yüzde </w:t>
      </w:r>
      <w:r w:rsidR="00620924" w:rsidRPr="007D4732">
        <w:rPr>
          <w:rFonts w:ascii="Arial" w:hAnsi="Arial" w:cs="Arial"/>
          <w:sz w:val="22"/>
          <w:szCs w:val="22"/>
        </w:rPr>
        <w:t>39’unu</w:t>
      </w:r>
      <w:r w:rsidRPr="007D4732">
        <w:rPr>
          <w:rFonts w:ascii="Arial" w:hAnsi="Arial" w:cs="Arial"/>
          <w:sz w:val="22"/>
          <w:szCs w:val="22"/>
        </w:rPr>
        <w:t xml:space="preserve"> </w:t>
      </w:r>
      <w:r w:rsidRPr="004D4A56">
        <w:rPr>
          <w:rFonts w:ascii="Arial" w:hAnsi="Arial" w:cs="Arial"/>
          <w:sz w:val="22"/>
          <w:szCs w:val="22"/>
        </w:rPr>
        <w:t>sağlamaktadır. Ankara için bu oranlar yüzde 1</w:t>
      </w:r>
      <w:r w:rsidR="00620924" w:rsidRPr="004D4A56">
        <w:rPr>
          <w:rFonts w:ascii="Arial" w:hAnsi="Arial" w:cs="Arial"/>
          <w:sz w:val="22"/>
          <w:szCs w:val="22"/>
        </w:rPr>
        <w:t>4</w:t>
      </w:r>
      <w:r w:rsidRPr="004D4A56">
        <w:rPr>
          <w:rFonts w:ascii="Arial" w:hAnsi="Arial" w:cs="Arial"/>
          <w:sz w:val="22"/>
          <w:szCs w:val="22"/>
        </w:rPr>
        <w:t xml:space="preserve"> ve yüzde 13 olarak gerçekleşmiştir.</w:t>
      </w:r>
    </w:p>
    <w:p w14:paraId="3FD6F4EF" w14:textId="77777777" w:rsidR="00863950" w:rsidRDefault="00E00EAF" w:rsidP="004D4A56">
      <w:pPr>
        <w:spacing w:before="80" w:after="80"/>
        <w:jc w:val="both"/>
        <w:rPr>
          <w:rFonts w:ascii="Arial" w:hAnsi="Arial" w:cs="Arial"/>
          <w:b/>
          <w:sz w:val="22"/>
          <w:szCs w:val="22"/>
        </w:rPr>
      </w:pPr>
      <w:r w:rsidRPr="004D4A56">
        <w:rPr>
          <w:rFonts w:ascii="Arial" w:hAnsi="Arial" w:cs="Arial"/>
          <w:sz w:val="22"/>
          <w:szCs w:val="22"/>
        </w:rPr>
        <w:t xml:space="preserve">Kişi başına yurtiçi mevduat </w:t>
      </w:r>
      <w:r w:rsidR="00A86373" w:rsidRPr="004D4A56">
        <w:rPr>
          <w:rFonts w:ascii="Arial" w:hAnsi="Arial" w:cs="Arial"/>
          <w:sz w:val="22"/>
          <w:szCs w:val="22"/>
        </w:rPr>
        <w:t>2023</w:t>
      </w:r>
      <w:r w:rsidRPr="004D4A56">
        <w:rPr>
          <w:rFonts w:ascii="Arial" w:hAnsi="Arial" w:cs="Arial"/>
          <w:sz w:val="22"/>
          <w:szCs w:val="22"/>
        </w:rPr>
        <w:t xml:space="preserve"> yılında bir önceki yıla göre </w:t>
      </w:r>
      <w:r w:rsidR="00B32E89" w:rsidRPr="004D4A56">
        <w:rPr>
          <w:rFonts w:ascii="Arial" w:hAnsi="Arial" w:cs="Arial"/>
          <w:sz w:val="22"/>
          <w:szCs w:val="22"/>
        </w:rPr>
        <w:t>97.474</w:t>
      </w:r>
      <w:r w:rsidRPr="004D4A56">
        <w:rPr>
          <w:rFonts w:ascii="Arial" w:hAnsi="Arial" w:cs="Arial"/>
          <w:sz w:val="22"/>
          <w:szCs w:val="22"/>
        </w:rPr>
        <w:t xml:space="preserve"> TL’den </w:t>
      </w:r>
      <w:r w:rsidR="00B32E89" w:rsidRPr="004D4A56">
        <w:rPr>
          <w:rFonts w:ascii="Arial" w:hAnsi="Arial" w:cs="Arial"/>
          <w:sz w:val="22"/>
          <w:szCs w:val="22"/>
        </w:rPr>
        <w:t>163.773</w:t>
      </w:r>
      <w:r w:rsidRPr="004D4A56">
        <w:rPr>
          <w:rFonts w:ascii="Arial" w:hAnsi="Arial" w:cs="Arial"/>
          <w:sz w:val="22"/>
          <w:szCs w:val="22"/>
        </w:rPr>
        <w:t xml:space="preserve"> TL’ye, kişi başına yurtiçi kredi ise </w:t>
      </w:r>
      <w:r w:rsidR="00B32E89" w:rsidRPr="004D4A56">
        <w:rPr>
          <w:rFonts w:ascii="Arial" w:hAnsi="Arial" w:cs="Arial"/>
          <w:sz w:val="22"/>
          <w:szCs w:val="22"/>
        </w:rPr>
        <w:t>79.760</w:t>
      </w:r>
      <w:r w:rsidRPr="004D4A56">
        <w:rPr>
          <w:rFonts w:ascii="Arial" w:hAnsi="Arial" w:cs="Arial"/>
          <w:sz w:val="22"/>
          <w:szCs w:val="22"/>
        </w:rPr>
        <w:t xml:space="preserve"> TL’den </w:t>
      </w:r>
      <w:r w:rsidR="00B32E89" w:rsidRPr="004D4A56">
        <w:rPr>
          <w:rFonts w:ascii="Arial" w:hAnsi="Arial" w:cs="Arial"/>
          <w:sz w:val="22"/>
          <w:szCs w:val="22"/>
        </w:rPr>
        <w:t>123.658</w:t>
      </w:r>
      <w:r w:rsidRPr="004D4A56">
        <w:rPr>
          <w:rFonts w:ascii="Arial" w:hAnsi="Arial" w:cs="Arial"/>
          <w:sz w:val="22"/>
          <w:szCs w:val="22"/>
        </w:rPr>
        <w:t xml:space="preserve"> TL’ye yükselmiştir. </w:t>
      </w:r>
      <w:r w:rsidR="003E7014" w:rsidRPr="004D4A56">
        <w:rPr>
          <w:rFonts w:ascii="Arial" w:hAnsi="Arial" w:cs="Arial"/>
          <w:b/>
          <w:sz w:val="22"/>
          <w:szCs w:val="22"/>
        </w:rPr>
        <w:t xml:space="preserve">        </w:t>
      </w:r>
    </w:p>
    <w:p w14:paraId="72DDDACC" w14:textId="1CDF5BF1" w:rsidR="00E00EAF" w:rsidRPr="004D4A56" w:rsidRDefault="003E7014" w:rsidP="004D4A56">
      <w:pPr>
        <w:spacing w:before="80" w:after="80"/>
        <w:jc w:val="both"/>
        <w:rPr>
          <w:rFonts w:ascii="Arial" w:hAnsi="Arial" w:cs="Arial"/>
          <w:b/>
          <w:sz w:val="22"/>
          <w:szCs w:val="22"/>
        </w:rPr>
      </w:pPr>
      <w:r w:rsidRPr="004D4A56">
        <w:rPr>
          <w:rFonts w:ascii="Arial" w:hAnsi="Arial" w:cs="Arial"/>
          <w:b/>
          <w:sz w:val="22"/>
          <w:szCs w:val="22"/>
        </w:rPr>
        <w:t xml:space="preserve">           </w:t>
      </w:r>
    </w:p>
    <w:p w14:paraId="1C599A8F" w14:textId="244FBC90" w:rsidR="003E7014" w:rsidRPr="004D4A56" w:rsidRDefault="00042816" w:rsidP="00042816">
      <w:pPr>
        <w:spacing w:before="120" w:after="120"/>
        <w:rPr>
          <w:rFonts w:ascii="Arial" w:hAnsi="Arial" w:cs="Arial"/>
          <w:sz w:val="22"/>
          <w:szCs w:val="22"/>
        </w:rPr>
      </w:pPr>
      <w:r w:rsidRPr="004D4A56">
        <w:rPr>
          <w:noProof/>
          <w:lang w:val="en-US" w:eastAsia="ko-KR"/>
        </w:rPr>
        <w:drawing>
          <wp:anchor distT="0" distB="0" distL="114300" distR="114300" simplePos="0" relativeHeight="251658240" behindDoc="0" locked="0" layoutInCell="1" allowOverlap="1" wp14:anchorId="6317997F" wp14:editId="0D88B003">
            <wp:simplePos x="0" y="0"/>
            <wp:positionH relativeFrom="margin">
              <wp:posOffset>-116840</wp:posOffset>
            </wp:positionH>
            <wp:positionV relativeFrom="paragraph">
              <wp:posOffset>235585</wp:posOffset>
            </wp:positionV>
            <wp:extent cx="2646045" cy="1727835"/>
            <wp:effectExtent l="0" t="0" r="1905" b="5715"/>
            <wp:wrapSquare wrapText="bothSides"/>
            <wp:docPr id="489154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4A56">
        <w:rPr>
          <w:noProof/>
          <w:lang w:val="en-US" w:eastAsia="ko-KR"/>
        </w:rPr>
        <w:drawing>
          <wp:anchor distT="0" distB="0" distL="114300" distR="114300" simplePos="0" relativeHeight="251660288" behindDoc="1" locked="0" layoutInCell="1" allowOverlap="1" wp14:anchorId="4D627530" wp14:editId="0FA90648">
            <wp:simplePos x="0" y="0"/>
            <wp:positionH relativeFrom="margin">
              <wp:posOffset>2836545</wp:posOffset>
            </wp:positionH>
            <wp:positionV relativeFrom="paragraph">
              <wp:posOffset>194945</wp:posOffset>
            </wp:positionV>
            <wp:extent cx="2661920" cy="1739265"/>
            <wp:effectExtent l="0" t="0" r="5080" b="0"/>
            <wp:wrapTight wrapText="bothSides">
              <wp:wrapPolygon edited="0">
                <wp:start x="0" y="0"/>
                <wp:lineTo x="0" y="21292"/>
                <wp:lineTo x="21487" y="21292"/>
                <wp:lineTo x="21487" y="0"/>
                <wp:lineTo x="0" y="0"/>
              </wp:wrapPolygon>
            </wp:wrapTight>
            <wp:docPr id="24581461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="003E7014" w:rsidRPr="004D4A56">
        <w:rPr>
          <w:rFonts w:ascii="Arial" w:hAnsi="Arial" w:cs="Arial"/>
          <w:b/>
          <w:sz w:val="22"/>
          <w:szCs w:val="22"/>
        </w:rPr>
        <w:t>Kişi Başına Mevduat (TL)</w:t>
      </w:r>
      <w:r w:rsidR="006D502C" w:rsidRPr="004D4A56">
        <w:rPr>
          <w:rFonts w:ascii="Arial" w:hAnsi="Arial" w:cs="Arial"/>
          <w:b/>
          <w:sz w:val="22"/>
          <w:szCs w:val="22"/>
        </w:rPr>
        <w:t xml:space="preserve">                    </w:t>
      </w: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="006D502C" w:rsidRPr="004D4A56">
        <w:rPr>
          <w:rFonts w:ascii="Arial" w:hAnsi="Arial" w:cs="Arial"/>
          <w:b/>
          <w:sz w:val="22"/>
          <w:szCs w:val="22"/>
        </w:rPr>
        <w:t>Kişi Başına Kredi (TL)</w:t>
      </w:r>
    </w:p>
    <w:p w14:paraId="6E0E8AE8" w14:textId="657FD9DD" w:rsidR="00E00EAF" w:rsidRPr="004D4A56" w:rsidRDefault="00E00EAF" w:rsidP="004D4A56">
      <w:pPr>
        <w:spacing w:before="8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4D4A56">
        <w:rPr>
          <w:rFonts w:ascii="Arial" w:hAnsi="Arial" w:cs="Arial"/>
          <w:b/>
          <w:bCs/>
          <w:sz w:val="22"/>
          <w:szCs w:val="22"/>
        </w:rPr>
        <w:t xml:space="preserve">Kredi </w:t>
      </w:r>
    </w:p>
    <w:p w14:paraId="50C7BD8B" w14:textId="200E0608" w:rsidR="007C72D5" w:rsidRPr="004D4A56" w:rsidRDefault="007C72D5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4D4A56">
        <w:rPr>
          <w:rFonts w:ascii="Arial" w:hAnsi="Arial" w:cs="Arial"/>
          <w:sz w:val="22"/>
          <w:szCs w:val="22"/>
        </w:rPr>
        <w:t xml:space="preserve">Kişi başına en yüksek kredi </w:t>
      </w:r>
      <w:r w:rsidR="001074D9" w:rsidRPr="004D4A56">
        <w:rPr>
          <w:rFonts w:ascii="Arial" w:hAnsi="Arial" w:cs="Arial"/>
          <w:sz w:val="22"/>
          <w:szCs w:val="22"/>
        </w:rPr>
        <w:t>263.498</w:t>
      </w:r>
      <w:r w:rsidRPr="004D4A56">
        <w:rPr>
          <w:rFonts w:ascii="Arial" w:hAnsi="Arial" w:cs="Arial"/>
          <w:sz w:val="22"/>
          <w:szCs w:val="22"/>
        </w:rPr>
        <w:t xml:space="preserve"> TL ile İstanbul’dadır. Bu ili </w:t>
      </w:r>
      <w:r w:rsidR="001074D9" w:rsidRPr="004D4A56">
        <w:rPr>
          <w:rFonts w:ascii="Arial" w:hAnsi="Arial" w:cs="Arial"/>
          <w:sz w:val="22"/>
          <w:szCs w:val="22"/>
        </w:rPr>
        <w:t>231.939</w:t>
      </w:r>
      <w:r w:rsidRPr="004D4A56">
        <w:rPr>
          <w:rFonts w:ascii="Arial" w:hAnsi="Arial" w:cs="Arial"/>
          <w:sz w:val="22"/>
          <w:szCs w:val="22"/>
        </w:rPr>
        <w:t xml:space="preserve"> TL ile Ankara ve </w:t>
      </w:r>
      <w:r w:rsidR="001074D9" w:rsidRPr="004D4A56">
        <w:rPr>
          <w:rFonts w:ascii="Arial" w:hAnsi="Arial" w:cs="Arial"/>
          <w:sz w:val="22"/>
          <w:szCs w:val="22"/>
        </w:rPr>
        <w:t>157.835</w:t>
      </w:r>
      <w:r w:rsidRPr="004D4A56">
        <w:rPr>
          <w:rFonts w:ascii="Arial" w:hAnsi="Arial" w:cs="Arial"/>
          <w:sz w:val="22"/>
          <w:szCs w:val="22"/>
        </w:rPr>
        <w:t xml:space="preserve"> TL ile </w:t>
      </w:r>
      <w:r w:rsidR="001074D9" w:rsidRPr="004D4A56">
        <w:rPr>
          <w:rFonts w:ascii="Arial" w:hAnsi="Arial" w:cs="Arial"/>
          <w:sz w:val="22"/>
          <w:szCs w:val="22"/>
        </w:rPr>
        <w:t xml:space="preserve">Antalya </w:t>
      </w:r>
      <w:r w:rsidRPr="004D4A56">
        <w:rPr>
          <w:rFonts w:ascii="Arial" w:hAnsi="Arial" w:cs="Arial"/>
          <w:sz w:val="22"/>
          <w:szCs w:val="22"/>
        </w:rPr>
        <w:t xml:space="preserve">izlemektedir. </w:t>
      </w:r>
    </w:p>
    <w:p w14:paraId="00F213FC" w14:textId="29BF2D22" w:rsidR="007C72D5" w:rsidRPr="004D4A56" w:rsidRDefault="00D11839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4D4A56">
        <w:rPr>
          <w:rFonts w:ascii="Arial" w:hAnsi="Arial" w:cs="Arial"/>
          <w:sz w:val="22"/>
          <w:szCs w:val="22"/>
        </w:rPr>
        <w:lastRenderedPageBreak/>
        <w:t>Ş</w:t>
      </w:r>
      <w:r w:rsidR="007C72D5" w:rsidRPr="004D4A56">
        <w:rPr>
          <w:rFonts w:ascii="Arial" w:hAnsi="Arial" w:cs="Arial"/>
          <w:sz w:val="22"/>
          <w:szCs w:val="22"/>
        </w:rPr>
        <w:t>ube başına en yüksek kredi 1.</w:t>
      </w:r>
      <w:r w:rsidR="001074D9" w:rsidRPr="004D4A56">
        <w:rPr>
          <w:rFonts w:ascii="Arial" w:hAnsi="Arial" w:cs="Arial"/>
          <w:sz w:val="22"/>
          <w:szCs w:val="22"/>
        </w:rPr>
        <w:t>935</w:t>
      </w:r>
      <w:r w:rsidR="007C72D5" w:rsidRPr="004D4A56">
        <w:rPr>
          <w:rFonts w:ascii="Arial" w:hAnsi="Arial" w:cs="Arial"/>
          <w:sz w:val="22"/>
          <w:szCs w:val="22"/>
        </w:rPr>
        <w:t xml:space="preserve"> milyon TL ile Gaziantep’tedir. Bu ilimizi 1.</w:t>
      </w:r>
      <w:r w:rsidR="001074D9" w:rsidRPr="004D4A56">
        <w:rPr>
          <w:rFonts w:ascii="Arial" w:hAnsi="Arial" w:cs="Arial"/>
          <w:sz w:val="22"/>
          <w:szCs w:val="22"/>
        </w:rPr>
        <w:t>684</w:t>
      </w:r>
      <w:r w:rsidR="007C72D5" w:rsidRPr="004D4A56">
        <w:rPr>
          <w:rFonts w:ascii="Arial" w:hAnsi="Arial" w:cs="Arial"/>
          <w:sz w:val="22"/>
          <w:szCs w:val="22"/>
        </w:rPr>
        <w:t xml:space="preserve"> milyon TL ile İstanbul ve 1.</w:t>
      </w:r>
      <w:r w:rsidR="001074D9" w:rsidRPr="004D4A56">
        <w:rPr>
          <w:rFonts w:ascii="Arial" w:hAnsi="Arial" w:cs="Arial"/>
          <w:sz w:val="22"/>
          <w:szCs w:val="22"/>
        </w:rPr>
        <w:t>514</w:t>
      </w:r>
      <w:r w:rsidR="007C72D5" w:rsidRPr="004D4A56">
        <w:rPr>
          <w:rFonts w:ascii="Arial" w:hAnsi="Arial" w:cs="Arial"/>
          <w:sz w:val="22"/>
          <w:szCs w:val="22"/>
        </w:rPr>
        <w:t xml:space="preserve"> milyon TL ile Ankara izlemektedir. </w:t>
      </w:r>
      <w:r w:rsidR="00133C3B" w:rsidRPr="00133C3B">
        <w:rPr>
          <w:rFonts w:ascii="Arial" w:hAnsi="Arial" w:cs="Arial"/>
          <w:sz w:val="22"/>
          <w:szCs w:val="22"/>
        </w:rPr>
        <w:t xml:space="preserve">Şube başına </w:t>
      </w:r>
      <w:r w:rsidR="00133C3B">
        <w:rPr>
          <w:rFonts w:ascii="Arial" w:hAnsi="Arial" w:cs="Arial"/>
          <w:sz w:val="22"/>
          <w:szCs w:val="22"/>
        </w:rPr>
        <w:t>kredinin</w:t>
      </w:r>
      <w:r w:rsidR="00133C3B" w:rsidRPr="00133C3B">
        <w:rPr>
          <w:rFonts w:ascii="Arial" w:hAnsi="Arial" w:cs="Arial"/>
          <w:sz w:val="22"/>
          <w:szCs w:val="22"/>
        </w:rPr>
        <w:t xml:space="preserve"> Türkiye ortalaması 1.</w:t>
      </w:r>
      <w:r w:rsidR="00133C3B">
        <w:rPr>
          <w:rFonts w:ascii="Arial" w:hAnsi="Arial" w:cs="Arial"/>
          <w:sz w:val="22"/>
          <w:szCs w:val="22"/>
        </w:rPr>
        <w:t xml:space="preserve">935 </w:t>
      </w:r>
      <w:r w:rsidR="00133C3B" w:rsidRPr="00133C3B">
        <w:rPr>
          <w:rFonts w:ascii="Arial" w:hAnsi="Arial" w:cs="Arial"/>
          <w:sz w:val="22"/>
          <w:szCs w:val="22"/>
        </w:rPr>
        <w:t>milyon TL’dir.</w:t>
      </w:r>
    </w:p>
    <w:p w14:paraId="1B76FDB9" w14:textId="7D75AA15" w:rsidR="00C16EF7" w:rsidRPr="00E3476A" w:rsidRDefault="00C16EF7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E3476A">
        <w:rPr>
          <w:rFonts w:ascii="Arial" w:hAnsi="Arial" w:cs="Arial"/>
          <w:sz w:val="22"/>
          <w:szCs w:val="22"/>
        </w:rPr>
        <w:t>Tarım ihtisas kredilerinde, Ege, Akdeniz ve Batı Anadolu bölgeleri</w:t>
      </w:r>
      <w:r w:rsidR="00D11839" w:rsidRPr="00E3476A">
        <w:rPr>
          <w:rFonts w:ascii="Arial" w:hAnsi="Arial" w:cs="Arial"/>
          <w:sz w:val="22"/>
          <w:szCs w:val="22"/>
        </w:rPr>
        <w:t xml:space="preserve">nin </w:t>
      </w:r>
      <w:r w:rsidRPr="00E3476A">
        <w:rPr>
          <w:rFonts w:ascii="Arial" w:hAnsi="Arial" w:cs="Arial"/>
          <w:sz w:val="22"/>
          <w:szCs w:val="22"/>
        </w:rPr>
        <w:t>payı yüzde 4</w:t>
      </w:r>
      <w:r w:rsidR="001074D9" w:rsidRPr="00E3476A">
        <w:rPr>
          <w:rFonts w:ascii="Arial" w:hAnsi="Arial" w:cs="Arial"/>
          <w:sz w:val="22"/>
          <w:szCs w:val="22"/>
        </w:rPr>
        <w:t>5</w:t>
      </w:r>
      <w:r w:rsidRPr="00E3476A">
        <w:rPr>
          <w:rFonts w:ascii="Arial" w:hAnsi="Arial" w:cs="Arial"/>
          <w:sz w:val="22"/>
          <w:szCs w:val="22"/>
        </w:rPr>
        <w:t xml:space="preserve"> düzeyindedir. </w:t>
      </w:r>
    </w:p>
    <w:p w14:paraId="4BAEF954" w14:textId="2E03933A" w:rsidR="00E00EAF" w:rsidRPr="00133C3B" w:rsidRDefault="00E00EAF" w:rsidP="00C16EF7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33C3B">
        <w:rPr>
          <w:rFonts w:ascii="Arial" w:hAnsi="Arial" w:cs="Arial"/>
          <w:b/>
          <w:bCs/>
          <w:sz w:val="22"/>
          <w:szCs w:val="22"/>
        </w:rPr>
        <w:t xml:space="preserve">Mevduat </w:t>
      </w:r>
    </w:p>
    <w:p w14:paraId="77245992" w14:textId="7CB95C9A" w:rsidR="00AF5AC4" w:rsidRPr="00133C3B" w:rsidRDefault="00AF5AC4" w:rsidP="00C16EF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33C3B">
        <w:rPr>
          <w:rFonts w:ascii="Arial" w:hAnsi="Arial" w:cs="Arial"/>
          <w:sz w:val="22"/>
          <w:szCs w:val="22"/>
        </w:rPr>
        <w:t xml:space="preserve">Kişi başına en yüksek mevduat ortalama </w:t>
      </w:r>
      <w:r w:rsidR="00D95B77" w:rsidRPr="00133C3B">
        <w:rPr>
          <w:rFonts w:ascii="Arial" w:hAnsi="Arial" w:cs="Arial"/>
          <w:sz w:val="22"/>
          <w:szCs w:val="22"/>
        </w:rPr>
        <w:t>419.643</w:t>
      </w:r>
      <w:r w:rsidRPr="00133C3B">
        <w:rPr>
          <w:rFonts w:ascii="Arial" w:hAnsi="Arial" w:cs="Arial"/>
          <w:sz w:val="22"/>
          <w:szCs w:val="22"/>
        </w:rPr>
        <w:t xml:space="preserve"> TL ile İstanbul’dadır. Bu ili</w:t>
      </w:r>
      <w:r w:rsidR="00926BB9">
        <w:rPr>
          <w:rFonts w:ascii="Arial" w:hAnsi="Arial" w:cs="Arial"/>
          <w:sz w:val="22"/>
          <w:szCs w:val="22"/>
        </w:rPr>
        <w:t>mizi</w:t>
      </w:r>
      <w:r w:rsidRPr="00133C3B">
        <w:rPr>
          <w:rFonts w:ascii="Arial" w:hAnsi="Arial" w:cs="Arial"/>
          <w:sz w:val="22"/>
          <w:szCs w:val="22"/>
        </w:rPr>
        <w:t xml:space="preserve"> </w:t>
      </w:r>
      <w:r w:rsidR="00D95B77" w:rsidRPr="00133C3B">
        <w:rPr>
          <w:rFonts w:ascii="Arial" w:hAnsi="Arial" w:cs="Arial"/>
          <w:sz w:val="22"/>
          <w:szCs w:val="22"/>
        </w:rPr>
        <w:t>343.428</w:t>
      </w:r>
      <w:r w:rsidRPr="00133C3B">
        <w:rPr>
          <w:rFonts w:ascii="Arial" w:hAnsi="Arial" w:cs="Arial"/>
          <w:sz w:val="22"/>
          <w:szCs w:val="22"/>
        </w:rPr>
        <w:t xml:space="preserve"> TL ile Ankara ve </w:t>
      </w:r>
      <w:r w:rsidR="00D95B77" w:rsidRPr="00133C3B">
        <w:rPr>
          <w:rFonts w:ascii="Arial" w:hAnsi="Arial" w:cs="Arial"/>
          <w:sz w:val="22"/>
          <w:szCs w:val="22"/>
        </w:rPr>
        <w:t>176.217</w:t>
      </w:r>
      <w:r w:rsidRPr="00133C3B">
        <w:rPr>
          <w:rFonts w:ascii="Arial" w:hAnsi="Arial" w:cs="Arial"/>
          <w:sz w:val="22"/>
          <w:szCs w:val="22"/>
        </w:rPr>
        <w:t xml:space="preserve"> TL ile Muğla izlemektedir. </w:t>
      </w:r>
    </w:p>
    <w:p w14:paraId="3729A88A" w14:textId="25797BFD" w:rsidR="0029738D" w:rsidRPr="00133C3B" w:rsidRDefault="0018470A" w:rsidP="00C16EF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33C3B">
        <w:rPr>
          <w:rFonts w:ascii="Arial" w:hAnsi="Arial" w:cs="Arial"/>
          <w:sz w:val="22"/>
          <w:szCs w:val="22"/>
        </w:rPr>
        <w:t>Ş</w:t>
      </w:r>
      <w:r w:rsidR="00992405" w:rsidRPr="00133C3B">
        <w:rPr>
          <w:rFonts w:ascii="Arial" w:hAnsi="Arial" w:cs="Arial"/>
          <w:sz w:val="22"/>
          <w:szCs w:val="22"/>
        </w:rPr>
        <w:t xml:space="preserve">ube başına en yüksek mevduat </w:t>
      </w:r>
      <w:r w:rsidR="00D95B77" w:rsidRPr="00133C3B">
        <w:rPr>
          <w:rFonts w:ascii="Arial" w:hAnsi="Arial" w:cs="Arial"/>
          <w:sz w:val="22"/>
          <w:szCs w:val="22"/>
        </w:rPr>
        <w:t>2.683</w:t>
      </w:r>
      <w:r w:rsidR="0046774D" w:rsidRPr="00133C3B">
        <w:rPr>
          <w:rFonts w:ascii="Arial" w:hAnsi="Arial" w:cs="Arial"/>
          <w:sz w:val="22"/>
          <w:szCs w:val="22"/>
        </w:rPr>
        <w:t xml:space="preserve"> </w:t>
      </w:r>
      <w:r w:rsidR="0097734D" w:rsidRPr="00133C3B">
        <w:rPr>
          <w:rFonts w:ascii="Arial" w:hAnsi="Arial" w:cs="Arial"/>
          <w:sz w:val="22"/>
          <w:szCs w:val="22"/>
        </w:rPr>
        <w:t>milyon</w:t>
      </w:r>
      <w:r w:rsidR="0046774D" w:rsidRPr="00133C3B">
        <w:rPr>
          <w:rFonts w:ascii="Arial" w:hAnsi="Arial" w:cs="Arial"/>
          <w:sz w:val="22"/>
          <w:szCs w:val="22"/>
        </w:rPr>
        <w:t xml:space="preserve"> </w:t>
      </w:r>
      <w:r w:rsidR="00CB1A40" w:rsidRPr="00133C3B">
        <w:rPr>
          <w:rFonts w:ascii="Arial" w:hAnsi="Arial" w:cs="Arial"/>
          <w:sz w:val="22"/>
          <w:szCs w:val="22"/>
        </w:rPr>
        <w:t>TL</w:t>
      </w:r>
      <w:r w:rsidR="00073281" w:rsidRPr="00133C3B">
        <w:rPr>
          <w:rFonts w:ascii="Arial" w:hAnsi="Arial" w:cs="Arial"/>
          <w:sz w:val="22"/>
          <w:szCs w:val="22"/>
        </w:rPr>
        <w:t xml:space="preserve"> </w:t>
      </w:r>
      <w:r w:rsidR="00EA4A22" w:rsidRPr="00133C3B">
        <w:rPr>
          <w:rFonts w:ascii="Arial" w:hAnsi="Arial" w:cs="Arial"/>
          <w:sz w:val="22"/>
          <w:szCs w:val="22"/>
        </w:rPr>
        <w:t>ile İstanbul</w:t>
      </w:r>
      <w:r w:rsidR="00EC4D3D" w:rsidRPr="00133C3B">
        <w:rPr>
          <w:rFonts w:ascii="Arial" w:hAnsi="Arial" w:cs="Arial"/>
          <w:sz w:val="22"/>
          <w:szCs w:val="22"/>
        </w:rPr>
        <w:t xml:space="preserve">’dadır. </w:t>
      </w:r>
      <w:r w:rsidRPr="00133C3B">
        <w:rPr>
          <w:rFonts w:ascii="Arial" w:hAnsi="Arial" w:cs="Arial"/>
          <w:sz w:val="22"/>
          <w:szCs w:val="22"/>
        </w:rPr>
        <w:t xml:space="preserve">Bu ilimizi </w:t>
      </w:r>
      <w:r w:rsidR="00D95B77" w:rsidRPr="00133C3B">
        <w:rPr>
          <w:rFonts w:ascii="Arial" w:hAnsi="Arial" w:cs="Arial"/>
          <w:sz w:val="22"/>
          <w:szCs w:val="22"/>
        </w:rPr>
        <w:t>2.242</w:t>
      </w:r>
      <w:r w:rsidR="0046774D" w:rsidRPr="00133C3B">
        <w:rPr>
          <w:rFonts w:ascii="Arial" w:hAnsi="Arial" w:cs="Arial"/>
          <w:sz w:val="22"/>
          <w:szCs w:val="22"/>
        </w:rPr>
        <w:t xml:space="preserve"> </w:t>
      </w:r>
      <w:r w:rsidR="0097734D" w:rsidRPr="00133C3B">
        <w:rPr>
          <w:rFonts w:ascii="Arial" w:hAnsi="Arial" w:cs="Arial"/>
          <w:sz w:val="22"/>
          <w:szCs w:val="22"/>
        </w:rPr>
        <w:t>milyon</w:t>
      </w:r>
      <w:r w:rsidR="0046774D" w:rsidRPr="00133C3B">
        <w:rPr>
          <w:rFonts w:ascii="Arial" w:hAnsi="Arial" w:cs="Arial"/>
          <w:sz w:val="22"/>
          <w:szCs w:val="22"/>
        </w:rPr>
        <w:t xml:space="preserve"> </w:t>
      </w:r>
      <w:r w:rsidR="00CB1A40" w:rsidRPr="00133C3B">
        <w:rPr>
          <w:rFonts w:ascii="Arial" w:hAnsi="Arial" w:cs="Arial"/>
          <w:sz w:val="22"/>
          <w:szCs w:val="22"/>
        </w:rPr>
        <w:t>TL</w:t>
      </w:r>
      <w:r w:rsidR="005532ED" w:rsidRPr="00133C3B">
        <w:rPr>
          <w:rFonts w:ascii="Arial" w:hAnsi="Arial" w:cs="Arial"/>
          <w:sz w:val="22"/>
          <w:szCs w:val="22"/>
        </w:rPr>
        <w:t xml:space="preserve"> ile </w:t>
      </w:r>
      <w:r w:rsidR="00B54679" w:rsidRPr="00133C3B">
        <w:rPr>
          <w:rFonts w:ascii="Arial" w:hAnsi="Arial" w:cs="Arial"/>
          <w:sz w:val="22"/>
          <w:szCs w:val="22"/>
        </w:rPr>
        <w:t xml:space="preserve">Ankara ve </w:t>
      </w:r>
      <w:r w:rsidR="00D95B77" w:rsidRPr="00133C3B">
        <w:rPr>
          <w:rFonts w:ascii="Arial" w:hAnsi="Arial" w:cs="Arial"/>
          <w:sz w:val="22"/>
          <w:szCs w:val="22"/>
        </w:rPr>
        <w:t>1.367</w:t>
      </w:r>
      <w:r w:rsidR="0046774D" w:rsidRPr="00133C3B">
        <w:rPr>
          <w:rFonts w:ascii="Arial" w:hAnsi="Arial" w:cs="Arial"/>
          <w:sz w:val="22"/>
          <w:szCs w:val="22"/>
        </w:rPr>
        <w:t xml:space="preserve"> </w:t>
      </w:r>
      <w:r w:rsidR="0097734D" w:rsidRPr="00133C3B">
        <w:rPr>
          <w:rFonts w:ascii="Arial" w:hAnsi="Arial" w:cs="Arial"/>
          <w:sz w:val="22"/>
          <w:szCs w:val="22"/>
        </w:rPr>
        <w:t>milyon</w:t>
      </w:r>
      <w:r w:rsidR="0046774D" w:rsidRPr="00133C3B">
        <w:rPr>
          <w:rFonts w:ascii="Arial" w:hAnsi="Arial" w:cs="Arial"/>
          <w:sz w:val="22"/>
          <w:szCs w:val="22"/>
        </w:rPr>
        <w:t xml:space="preserve"> </w:t>
      </w:r>
      <w:r w:rsidR="00CB1A40" w:rsidRPr="00133C3B">
        <w:rPr>
          <w:rFonts w:ascii="Arial" w:hAnsi="Arial" w:cs="Arial"/>
          <w:sz w:val="22"/>
          <w:szCs w:val="22"/>
        </w:rPr>
        <w:t>TL</w:t>
      </w:r>
      <w:r w:rsidR="0046774D" w:rsidRPr="00133C3B">
        <w:rPr>
          <w:rFonts w:ascii="Arial" w:hAnsi="Arial" w:cs="Arial"/>
          <w:sz w:val="22"/>
          <w:szCs w:val="22"/>
        </w:rPr>
        <w:t xml:space="preserve"> ile </w:t>
      </w:r>
      <w:r w:rsidR="00A55312" w:rsidRPr="00133C3B">
        <w:rPr>
          <w:rFonts w:ascii="Arial" w:hAnsi="Arial" w:cs="Arial"/>
          <w:sz w:val="22"/>
          <w:szCs w:val="22"/>
        </w:rPr>
        <w:t>Kocaeli (İzmit)</w:t>
      </w:r>
      <w:r w:rsidR="0046774D" w:rsidRPr="00133C3B">
        <w:rPr>
          <w:rFonts w:ascii="Arial" w:hAnsi="Arial" w:cs="Arial"/>
          <w:sz w:val="22"/>
          <w:szCs w:val="22"/>
        </w:rPr>
        <w:t xml:space="preserve"> izlemektedir</w:t>
      </w:r>
      <w:r w:rsidR="000245DA" w:rsidRPr="00133C3B">
        <w:rPr>
          <w:rFonts w:ascii="Arial" w:hAnsi="Arial" w:cs="Arial"/>
          <w:sz w:val="22"/>
          <w:szCs w:val="22"/>
        </w:rPr>
        <w:t>.</w:t>
      </w:r>
      <w:r w:rsidR="00DE20EE" w:rsidRPr="00133C3B">
        <w:rPr>
          <w:rFonts w:ascii="Arial" w:hAnsi="Arial" w:cs="Arial"/>
          <w:sz w:val="22"/>
          <w:szCs w:val="22"/>
        </w:rPr>
        <w:t xml:space="preserve"> </w:t>
      </w:r>
      <w:r w:rsidR="00AD4A07" w:rsidRPr="00133C3B">
        <w:rPr>
          <w:rFonts w:ascii="Arial" w:hAnsi="Arial" w:cs="Arial"/>
          <w:sz w:val="22"/>
          <w:szCs w:val="22"/>
        </w:rPr>
        <w:t xml:space="preserve"> Şube başına mevduatın Türkiye ortalaması </w:t>
      </w:r>
      <w:r w:rsidR="00D95B77" w:rsidRPr="00133C3B">
        <w:rPr>
          <w:rFonts w:ascii="Arial" w:hAnsi="Arial" w:cs="Arial"/>
          <w:sz w:val="22"/>
          <w:szCs w:val="22"/>
        </w:rPr>
        <w:t>1.484</w:t>
      </w:r>
      <w:r w:rsidR="00AD4A07" w:rsidRPr="00133C3B">
        <w:rPr>
          <w:rFonts w:ascii="Arial" w:hAnsi="Arial" w:cs="Arial"/>
          <w:sz w:val="22"/>
          <w:szCs w:val="22"/>
        </w:rPr>
        <w:t xml:space="preserve"> milyon TL’dir. </w:t>
      </w:r>
    </w:p>
    <w:p w14:paraId="2C01C6D8" w14:textId="032F6AD7" w:rsidR="00505F20" w:rsidRPr="00D356C5" w:rsidRDefault="004D0B33" w:rsidP="004D0B3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56C5">
        <w:rPr>
          <w:rFonts w:ascii="Arial" w:hAnsi="Arial" w:cs="Arial"/>
          <w:sz w:val="22"/>
          <w:szCs w:val="22"/>
        </w:rPr>
        <w:t>T</w:t>
      </w:r>
      <w:r w:rsidR="004C43E9" w:rsidRPr="00D356C5">
        <w:rPr>
          <w:rFonts w:ascii="Arial" w:hAnsi="Arial" w:cs="Arial"/>
          <w:sz w:val="22"/>
          <w:szCs w:val="22"/>
        </w:rPr>
        <w:t>oplam mevduat</w:t>
      </w:r>
      <w:r w:rsidR="00D356C5" w:rsidRPr="00D356C5">
        <w:rPr>
          <w:rFonts w:ascii="Arial" w:hAnsi="Arial" w:cs="Arial"/>
          <w:sz w:val="22"/>
          <w:szCs w:val="22"/>
        </w:rPr>
        <w:t>ı</w:t>
      </w:r>
      <w:r w:rsidR="004C43E9" w:rsidRPr="00D356C5">
        <w:rPr>
          <w:rFonts w:ascii="Arial" w:hAnsi="Arial" w:cs="Arial"/>
          <w:sz w:val="22"/>
          <w:szCs w:val="22"/>
        </w:rPr>
        <w:t xml:space="preserve"> içinde tasarruf mevduatı</w:t>
      </w:r>
      <w:r w:rsidR="003E388F" w:rsidRPr="00D356C5">
        <w:rPr>
          <w:rFonts w:ascii="Arial" w:hAnsi="Arial" w:cs="Arial"/>
          <w:sz w:val="22"/>
          <w:szCs w:val="22"/>
        </w:rPr>
        <w:t xml:space="preserve"> payının</w:t>
      </w:r>
      <w:r w:rsidR="00590C97" w:rsidRPr="00D356C5">
        <w:rPr>
          <w:rFonts w:ascii="Arial" w:hAnsi="Arial" w:cs="Arial"/>
          <w:sz w:val="22"/>
          <w:szCs w:val="22"/>
        </w:rPr>
        <w:t xml:space="preserve"> en yüksek olduğu bölge yüzde </w:t>
      </w:r>
      <w:r w:rsidR="003E388F" w:rsidRPr="00D356C5">
        <w:rPr>
          <w:rFonts w:ascii="Arial" w:hAnsi="Arial" w:cs="Arial"/>
          <w:sz w:val="22"/>
          <w:szCs w:val="22"/>
        </w:rPr>
        <w:t>56</w:t>
      </w:r>
      <w:r w:rsidR="004C43E9" w:rsidRPr="00D356C5">
        <w:rPr>
          <w:rFonts w:ascii="Arial" w:hAnsi="Arial" w:cs="Arial"/>
          <w:sz w:val="22"/>
          <w:szCs w:val="22"/>
        </w:rPr>
        <w:t xml:space="preserve"> ile Batı </w:t>
      </w:r>
      <w:r w:rsidR="00154080" w:rsidRPr="00D356C5">
        <w:rPr>
          <w:rFonts w:ascii="Arial" w:hAnsi="Arial" w:cs="Arial"/>
          <w:sz w:val="22"/>
          <w:szCs w:val="22"/>
        </w:rPr>
        <w:t xml:space="preserve">Marmara’dır. </w:t>
      </w:r>
      <w:r w:rsidRPr="00D356C5">
        <w:rPr>
          <w:rFonts w:ascii="Arial" w:hAnsi="Arial" w:cs="Arial"/>
          <w:sz w:val="22"/>
          <w:szCs w:val="22"/>
        </w:rPr>
        <w:t>D</w:t>
      </w:r>
      <w:r w:rsidR="004C43E9" w:rsidRPr="00D356C5">
        <w:rPr>
          <w:rFonts w:ascii="Arial" w:hAnsi="Arial" w:cs="Arial"/>
          <w:sz w:val="22"/>
          <w:szCs w:val="22"/>
        </w:rPr>
        <w:t>öviz mevduatının en yük</w:t>
      </w:r>
      <w:r w:rsidR="008E6343" w:rsidRPr="00D356C5">
        <w:rPr>
          <w:rFonts w:ascii="Arial" w:hAnsi="Arial" w:cs="Arial"/>
          <w:sz w:val="22"/>
          <w:szCs w:val="22"/>
        </w:rPr>
        <w:t xml:space="preserve">sek olduğu bölge ise yüzde </w:t>
      </w:r>
      <w:r w:rsidR="003E388F" w:rsidRPr="00D356C5">
        <w:rPr>
          <w:rFonts w:ascii="Arial" w:hAnsi="Arial" w:cs="Arial"/>
          <w:sz w:val="22"/>
          <w:szCs w:val="22"/>
        </w:rPr>
        <w:t>37</w:t>
      </w:r>
      <w:r w:rsidR="00E561F6" w:rsidRPr="00D356C5">
        <w:rPr>
          <w:rFonts w:ascii="Arial" w:hAnsi="Arial" w:cs="Arial"/>
          <w:sz w:val="22"/>
          <w:szCs w:val="22"/>
        </w:rPr>
        <w:t xml:space="preserve"> </w:t>
      </w:r>
      <w:r w:rsidR="004C43E9" w:rsidRPr="00D356C5">
        <w:rPr>
          <w:rFonts w:ascii="Arial" w:hAnsi="Arial" w:cs="Arial"/>
          <w:sz w:val="22"/>
          <w:szCs w:val="22"/>
        </w:rPr>
        <w:t>ile</w:t>
      </w:r>
      <w:r w:rsidR="00234E6D" w:rsidRPr="00D356C5">
        <w:rPr>
          <w:rFonts w:ascii="Arial" w:hAnsi="Arial" w:cs="Arial"/>
          <w:sz w:val="22"/>
          <w:szCs w:val="22"/>
        </w:rPr>
        <w:t xml:space="preserve"> </w:t>
      </w:r>
      <w:r w:rsidR="003E388F" w:rsidRPr="00D356C5">
        <w:rPr>
          <w:rFonts w:ascii="Arial" w:hAnsi="Arial" w:cs="Arial"/>
          <w:sz w:val="22"/>
          <w:szCs w:val="22"/>
        </w:rPr>
        <w:t>Orta</w:t>
      </w:r>
      <w:r w:rsidR="00D95B77" w:rsidRPr="00D356C5">
        <w:rPr>
          <w:rFonts w:ascii="Arial" w:hAnsi="Arial" w:cs="Arial"/>
          <w:sz w:val="22"/>
          <w:szCs w:val="22"/>
        </w:rPr>
        <w:t xml:space="preserve"> Anadolu</w:t>
      </w:r>
      <w:r w:rsidR="00234E6D" w:rsidRPr="00D356C5">
        <w:rPr>
          <w:rFonts w:ascii="Arial" w:hAnsi="Arial" w:cs="Arial"/>
          <w:sz w:val="22"/>
          <w:szCs w:val="22"/>
        </w:rPr>
        <w:t xml:space="preserve"> olmuştur. </w:t>
      </w:r>
    </w:p>
    <w:p w14:paraId="303B0D3E" w14:textId="5A6B2518" w:rsidR="00157F25" w:rsidRPr="00837C14" w:rsidRDefault="00ED1C82" w:rsidP="00C16EF7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837C14">
        <w:rPr>
          <w:rFonts w:ascii="Arial" w:hAnsi="Arial" w:cs="Arial"/>
          <w:sz w:val="22"/>
          <w:szCs w:val="22"/>
        </w:rPr>
        <w:t>Güneydoğu Anadolu</w:t>
      </w:r>
      <w:r w:rsidR="00546939" w:rsidRPr="00837C14">
        <w:rPr>
          <w:rFonts w:ascii="Arial" w:hAnsi="Arial" w:cs="Arial"/>
          <w:sz w:val="22"/>
          <w:szCs w:val="22"/>
        </w:rPr>
        <w:t xml:space="preserve"> </w:t>
      </w:r>
      <w:r w:rsidR="003E5E70" w:rsidRPr="00837C14">
        <w:rPr>
          <w:rFonts w:ascii="Arial" w:hAnsi="Arial" w:cs="Arial"/>
          <w:sz w:val="22"/>
          <w:szCs w:val="22"/>
        </w:rPr>
        <w:t xml:space="preserve">ve Kuzeydoğu Anadolu </w:t>
      </w:r>
      <w:r w:rsidR="0051720D" w:rsidRPr="00837C14">
        <w:rPr>
          <w:rFonts w:ascii="Arial" w:hAnsi="Arial" w:cs="Arial"/>
          <w:sz w:val="22"/>
          <w:szCs w:val="22"/>
        </w:rPr>
        <w:t xml:space="preserve">bölgeleri yüzde </w:t>
      </w:r>
      <w:r w:rsidR="00D95B77" w:rsidRPr="00837C14">
        <w:rPr>
          <w:rFonts w:ascii="Arial" w:hAnsi="Arial" w:cs="Arial"/>
          <w:sz w:val="22"/>
          <w:szCs w:val="22"/>
        </w:rPr>
        <w:t>140</w:t>
      </w:r>
      <w:r w:rsidR="00D80A95" w:rsidRPr="00837C14">
        <w:rPr>
          <w:rFonts w:ascii="Arial" w:hAnsi="Arial" w:cs="Arial"/>
          <w:sz w:val="22"/>
          <w:szCs w:val="22"/>
        </w:rPr>
        <w:t xml:space="preserve"> </w:t>
      </w:r>
      <w:r w:rsidR="007A1188" w:rsidRPr="00837C14">
        <w:rPr>
          <w:rFonts w:ascii="Arial" w:hAnsi="Arial" w:cs="Arial"/>
          <w:sz w:val="22"/>
          <w:szCs w:val="22"/>
        </w:rPr>
        <w:t xml:space="preserve">ve yüzde </w:t>
      </w:r>
      <w:r w:rsidR="003E5E70" w:rsidRPr="00837C14">
        <w:rPr>
          <w:rFonts w:ascii="Arial" w:hAnsi="Arial" w:cs="Arial"/>
          <w:sz w:val="22"/>
          <w:szCs w:val="22"/>
        </w:rPr>
        <w:t>1</w:t>
      </w:r>
      <w:r w:rsidR="00D95B77" w:rsidRPr="00837C14">
        <w:rPr>
          <w:rFonts w:ascii="Arial" w:hAnsi="Arial" w:cs="Arial"/>
          <w:sz w:val="22"/>
          <w:szCs w:val="22"/>
        </w:rPr>
        <w:t>39</w:t>
      </w:r>
      <w:r w:rsidR="00D82461" w:rsidRPr="00837C14">
        <w:rPr>
          <w:rFonts w:ascii="Arial" w:hAnsi="Arial" w:cs="Arial"/>
          <w:sz w:val="22"/>
          <w:szCs w:val="22"/>
        </w:rPr>
        <w:t xml:space="preserve"> </w:t>
      </w:r>
      <w:r w:rsidR="007A1188" w:rsidRPr="00837C14">
        <w:rPr>
          <w:rFonts w:ascii="Arial" w:hAnsi="Arial" w:cs="Arial"/>
          <w:sz w:val="22"/>
          <w:szCs w:val="22"/>
        </w:rPr>
        <w:t>ile kredi/mevduat oranının en yüksek olduğu bölgelerdir. Bu oranın en düşük olduğu bö</w:t>
      </w:r>
      <w:r w:rsidR="00DB6698" w:rsidRPr="00837C14">
        <w:rPr>
          <w:rFonts w:ascii="Arial" w:hAnsi="Arial" w:cs="Arial"/>
          <w:sz w:val="22"/>
          <w:szCs w:val="22"/>
        </w:rPr>
        <w:t xml:space="preserve">lgeler ise, yüzde </w:t>
      </w:r>
      <w:r w:rsidR="00D95B77" w:rsidRPr="00837C14">
        <w:rPr>
          <w:rFonts w:ascii="Arial" w:hAnsi="Arial" w:cs="Arial"/>
          <w:sz w:val="22"/>
          <w:szCs w:val="22"/>
        </w:rPr>
        <w:t>6</w:t>
      </w:r>
      <w:r w:rsidR="003E5E70" w:rsidRPr="00837C14">
        <w:rPr>
          <w:rFonts w:ascii="Arial" w:hAnsi="Arial" w:cs="Arial"/>
          <w:sz w:val="22"/>
          <w:szCs w:val="22"/>
        </w:rPr>
        <w:t>3</w:t>
      </w:r>
      <w:r w:rsidR="007A1188" w:rsidRPr="00837C14">
        <w:rPr>
          <w:rFonts w:ascii="Arial" w:hAnsi="Arial" w:cs="Arial"/>
          <w:sz w:val="22"/>
          <w:szCs w:val="22"/>
        </w:rPr>
        <w:t xml:space="preserve"> ile </w:t>
      </w:r>
      <w:r w:rsidRPr="00837C14">
        <w:rPr>
          <w:rFonts w:ascii="Arial" w:hAnsi="Arial" w:cs="Arial"/>
          <w:sz w:val="22"/>
          <w:szCs w:val="22"/>
        </w:rPr>
        <w:t>İstanbul</w:t>
      </w:r>
      <w:r w:rsidR="003E5E70" w:rsidRPr="00837C14">
        <w:rPr>
          <w:rFonts w:ascii="Arial" w:hAnsi="Arial" w:cs="Arial"/>
          <w:sz w:val="22"/>
          <w:szCs w:val="22"/>
        </w:rPr>
        <w:t xml:space="preserve"> ve </w:t>
      </w:r>
      <w:r w:rsidR="00D95B77" w:rsidRPr="00837C14">
        <w:rPr>
          <w:rFonts w:ascii="Arial" w:hAnsi="Arial" w:cs="Arial"/>
          <w:sz w:val="22"/>
          <w:szCs w:val="22"/>
        </w:rPr>
        <w:t xml:space="preserve">yüzde 71 ile </w:t>
      </w:r>
      <w:r w:rsidR="003E5E70" w:rsidRPr="00837C14">
        <w:rPr>
          <w:rFonts w:ascii="Arial" w:hAnsi="Arial" w:cs="Arial"/>
          <w:sz w:val="22"/>
          <w:szCs w:val="22"/>
        </w:rPr>
        <w:t>Batı Anadolu’dur.</w:t>
      </w:r>
      <w:r w:rsidR="007A1188" w:rsidRPr="00837C14">
        <w:rPr>
          <w:rFonts w:ascii="Arial" w:hAnsi="Arial" w:cs="Arial"/>
          <w:sz w:val="22"/>
          <w:szCs w:val="22"/>
        </w:rPr>
        <w:t xml:space="preserve"> </w:t>
      </w:r>
    </w:p>
    <w:p w14:paraId="32EEC448" w14:textId="77777777" w:rsidR="00C16EF7" w:rsidRPr="00837C14" w:rsidRDefault="00C16EF7" w:rsidP="00C16EF7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837C14">
        <w:rPr>
          <w:rFonts w:ascii="Arial" w:hAnsi="Arial" w:cs="Arial"/>
          <w:b/>
          <w:i/>
          <w:sz w:val="22"/>
          <w:szCs w:val="22"/>
        </w:rPr>
        <w:t xml:space="preserve">Şube dışı alternatif hizmet kanallarında büyüme devam etmiştir. </w:t>
      </w:r>
    </w:p>
    <w:p w14:paraId="0CECC57E" w14:textId="36F46DB3" w:rsidR="00C16EF7" w:rsidRPr="00837C14" w:rsidRDefault="00C16EF7" w:rsidP="00C16EF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37C14">
        <w:rPr>
          <w:rFonts w:ascii="Arial" w:hAnsi="Arial" w:cs="Arial"/>
          <w:sz w:val="22"/>
          <w:szCs w:val="22"/>
        </w:rPr>
        <w:t xml:space="preserve">Bankacılık sektörü yaygın şube ağı yanında, ATM, telefon bankacılığı ve dijital </w:t>
      </w:r>
      <w:r w:rsidR="00926BB9">
        <w:rPr>
          <w:rFonts w:ascii="Arial" w:hAnsi="Arial" w:cs="Arial"/>
          <w:sz w:val="22"/>
          <w:szCs w:val="22"/>
        </w:rPr>
        <w:t>uygulamaların olduğu</w:t>
      </w:r>
      <w:r w:rsidRPr="00837C14">
        <w:rPr>
          <w:rFonts w:ascii="Arial" w:hAnsi="Arial" w:cs="Arial"/>
          <w:sz w:val="22"/>
          <w:szCs w:val="22"/>
        </w:rPr>
        <w:t xml:space="preserve"> hizmet kanallarından ürün ve hizmet sunumunu arttırmakta ve çeşitlendirmektedir. </w:t>
      </w:r>
    </w:p>
    <w:p w14:paraId="17C07A79" w14:textId="49173EED" w:rsidR="00821810" w:rsidRPr="007D3DF6" w:rsidRDefault="00A9387B" w:rsidP="00837C1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D3DF6">
        <w:rPr>
          <w:rFonts w:ascii="Arial" w:hAnsi="Arial" w:cs="Arial"/>
          <w:sz w:val="22"/>
          <w:szCs w:val="22"/>
        </w:rPr>
        <w:t>Türkiye ortalaması</w:t>
      </w:r>
      <w:r w:rsidR="0056175D" w:rsidRPr="007D3DF6">
        <w:rPr>
          <w:rFonts w:ascii="Arial" w:hAnsi="Arial" w:cs="Arial"/>
          <w:sz w:val="22"/>
          <w:szCs w:val="22"/>
        </w:rPr>
        <w:t>na göre</w:t>
      </w:r>
      <w:r w:rsidRPr="007D3DF6">
        <w:rPr>
          <w:rFonts w:ascii="Arial" w:hAnsi="Arial" w:cs="Arial"/>
          <w:sz w:val="22"/>
          <w:szCs w:val="22"/>
        </w:rPr>
        <w:t xml:space="preserve"> 100.000 kişiye düşen</w:t>
      </w:r>
      <w:r w:rsidR="00864FBF" w:rsidRPr="007D3DF6">
        <w:rPr>
          <w:rFonts w:ascii="Arial" w:hAnsi="Arial" w:cs="Arial"/>
          <w:sz w:val="22"/>
          <w:szCs w:val="22"/>
        </w:rPr>
        <w:t xml:space="preserve"> şube </w:t>
      </w:r>
      <w:r w:rsidRPr="007D3DF6">
        <w:rPr>
          <w:rFonts w:ascii="Arial" w:hAnsi="Arial" w:cs="Arial"/>
          <w:sz w:val="22"/>
          <w:szCs w:val="22"/>
        </w:rPr>
        <w:t xml:space="preserve">sayısı </w:t>
      </w:r>
      <w:r w:rsidR="0056175D" w:rsidRPr="007D3DF6">
        <w:rPr>
          <w:rFonts w:ascii="Arial" w:hAnsi="Arial" w:cs="Arial"/>
          <w:sz w:val="22"/>
          <w:szCs w:val="22"/>
        </w:rPr>
        <w:t xml:space="preserve">11’dir. 100.000 kişiye düşen </w:t>
      </w:r>
      <w:r w:rsidR="00864FBF" w:rsidRPr="007D3DF6">
        <w:rPr>
          <w:rFonts w:ascii="Arial" w:hAnsi="Arial" w:cs="Arial"/>
          <w:sz w:val="22"/>
          <w:szCs w:val="22"/>
        </w:rPr>
        <w:t>çalışan sayısı</w:t>
      </w:r>
      <w:r w:rsidR="0056175D" w:rsidRPr="007D3DF6">
        <w:rPr>
          <w:rFonts w:ascii="Arial" w:hAnsi="Arial" w:cs="Arial"/>
          <w:sz w:val="22"/>
          <w:szCs w:val="22"/>
        </w:rPr>
        <w:t xml:space="preserve"> </w:t>
      </w:r>
      <w:r w:rsidRPr="007D3DF6">
        <w:rPr>
          <w:rFonts w:ascii="Arial" w:hAnsi="Arial" w:cs="Arial"/>
          <w:sz w:val="22"/>
          <w:szCs w:val="22"/>
        </w:rPr>
        <w:t>221’dir</w:t>
      </w:r>
      <w:r w:rsidR="00864FBF" w:rsidRPr="007D3DF6">
        <w:rPr>
          <w:rFonts w:ascii="Arial" w:hAnsi="Arial" w:cs="Arial"/>
          <w:sz w:val="22"/>
          <w:szCs w:val="22"/>
        </w:rPr>
        <w:t xml:space="preserve">. </w:t>
      </w:r>
      <w:r w:rsidRPr="007D3DF6">
        <w:rPr>
          <w:rFonts w:ascii="Arial" w:hAnsi="Arial" w:cs="Arial"/>
          <w:sz w:val="22"/>
          <w:szCs w:val="22"/>
        </w:rPr>
        <w:t>100.000 kişiye düşen şube sayısı</w:t>
      </w:r>
      <w:r w:rsidR="003C5E10" w:rsidRPr="007D3DF6">
        <w:rPr>
          <w:rFonts w:ascii="Arial" w:hAnsi="Arial" w:cs="Arial"/>
          <w:sz w:val="22"/>
          <w:szCs w:val="22"/>
        </w:rPr>
        <w:t>nın</w:t>
      </w:r>
      <w:r w:rsidRPr="007D3DF6">
        <w:rPr>
          <w:rFonts w:ascii="Arial" w:hAnsi="Arial" w:cs="Arial"/>
          <w:sz w:val="22"/>
          <w:szCs w:val="22"/>
        </w:rPr>
        <w:t xml:space="preserve"> en yüksek iller sırasıyla</w:t>
      </w:r>
      <w:r w:rsidR="005D1AB6" w:rsidRPr="007D3DF6">
        <w:rPr>
          <w:rFonts w:ascii="Arial" w:hAnsi="Arial" w:cs="Arial"/>
          <w:sz w:val="22"/>
          <w:szCs w:val="22"/>
        </w:rPr>
        <w:t>;</w:t>
      </w:r>
      <w:r w:rsidRPr="007D3DF6">
        <w:rPr>
          <w:rFonts w:ascii="Arial" w:hAnsi="Arial" w:cs="Arial"/>
          <w:sz w:val="22"/>
          <w:szCs w:val="22"/>
        </w:rPr>
        <w:t xml:space="preserve">  Artvin</w:t>
      </w:r>
      <w:r w:rsidR="0056175D" w:rsidRPr="007D3DF6">
        <w:rPr>
          <w:rFonts w:ascii="Arial" w:hAnsi="Arial" w:cs="Arial"/>
          <w:sz w:val="22"/>
          <w:szCs w:val="22"/>
        </w:rPr>
        <w:t xml:space="preserve"> (19)</w:t>
      </w:r>
      <w:r w:rsidRPr="007D3DF6">
        <w:rPr>
          <w:rFonts w:ascii="Arial" w:hAnsi="Arial" w:cs="Arial"/>
          <w:sz w:val="22"/>
          <w:szCs w:val="22"/>
        </w:rPr>
        <w:t xml:space="preserve">, </w:t>
      </w:r>
      <w:r w:rsidR="0056175D" w:rsidRPr="007D3DF6">
        <w:rPr>
          <w:rFonts w:ascii="Arial" w:hAnsi="Arial" w:cs="Arial"/>
          <w:sz w:val="22"/>
          <w:szCs w:val="22"/>
        </w:rPr>
        <w:t>M</w:t>
      </w:r>
      <w:r w:rsidRPr="007D3DF6">
        <w:rPr>
          <w:rFonts w:ascii="Arial" w:hAnsi="Arial" w:cs="Arial"/>
          <w:sz w:val="22"/>
          <w:szCs w:val="22"/>
        </w:rPr>
        <w:t>uğla</w:t>
      </w:r>
      <w:r w:rsidR="0056175D" w:rsidRPr="007D3DF6">
        <w:rPr>
          <w:rFonts w:ascii="Arial" w:hAnsi="Arial" w:cs="Arial"/>
          <w:sz w:val="22"/>
          <w:szCs w:val="22"/>
        </w:rPr>
        <w:t xml:space="preserve"> (17)</w:t>
      </w:r>
      <w:r w:rsidRPr="007D3DF6">
        <w:rPr>
          <w:rFonts w:ascii="Arial" w:hAnsi="Arial" w:cs="Arial"/>
          <w:sz w:val="22"/>
          <w:szCs w:val="22"/>
        </w:rPr>
        <w:t xml:space="preserve"> ve İstanbul</w:t>
      </w:r>
      <w:r w:rsidR="0056175D" w:rsidRPr="007D3DF6">
        <w:rPr>
          <w:rFonts w:ascii="Arial" w:hAnsi="Arial" w:cs="Arial"/>
          <w:sz w:val="22"/>
          <w:szCs w:val="22"/>
        </w:rPr>
        <w:t xml:space="preserve"> (16)</w:t>
      </w:r>
      <w:r w:rsidR="005D1AB6" w:rsidRPr="007D3DF6">
        <w:rPr>
          <w:rFonts w:ascii="Arial" w:hAnsi="Arial" w:cs="Arial"/>
          <w:sz w:val="22"/>
          <w:szCs w:val="22"/>
        </w:rPr>
        <w:t xml:space="preserve">’dur. </w:t>
      </w:r>
      <w:r w:rsidR="0056175D" w:rsidRPr="007D3DF6">
        <w:rPr>
          <w:rFonts w:ascii="Arial" w:hAnsi="Arial" w:cs="Arial"/>
          <w:sz w:val="22"/>
          <w:szCs w:val="22"/>
        </w:rPr>
        <w:t xml:space="preserve"> Çalışan sayısında ise 100.000 kişiye düşen çalışan sayısı en yüksek il </w:t>
      </w:r>
      <w:r w:rsidR="007D3DF6" w:rsidRPr="007D3DF6">
        <w:rPr>
          <w:rFonts w:ascii="Arial" w:hAnsi="Arial" w:cs="Arial"/>
          <w:sz w:val="22"/>
          <w:szCs w:val="22"/>
        </w:rPr>
        <w:t xml:space="preserve">529 ile </w:t>
      </w:r>
      <w:r w:rsidR="0056175D" w:rsidRPr="007D3DF6">
        <w:rPr>
          <w:rFonts w:ascii="Arial" w:hAnsi="Arial" w:cs="Arial"/>
          <w:sz w:val="22"/>
          <w:szCs w:val="22"/>
        </w:rPr>
        <w:t xml:space="preserve">İstanbul’dur. </w:t>
      </w:r>
      <w:r w:rsidRPr="007D3DF6">
        <w:rPr>
          <w:rFonts w:ascii="Arial" w:hAnsi="Arial" w:cs="Arial"/>
          <w:sz w:val="22"/>
          <w:szCs w:val="22"/>
        </w:rPr>
        <w:t xml:space="preserve">  </w:t>
      </w:r>
    </w:p>
    <w:p w14:paraId="2FDEEA04" w14:textId="655A19D1" w:rsidR="00C97334" w:rsidRPr="00FE0C75" w:rsidRDefault="008D49CB" w:rsidP="00C16EF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D3DF6">
        <w:rPr>
          <w:rFonts w:ascii="Arial" w:hAnsi="Arial" w:cs="Arial"/>
          <w:sz w:val="22"/>
          <w:szCs w:val="22"/>
        </w:rPr>
        <w:t xml:space="preserve">Türkiye </w:t>
      </w:r>
      <w:r w:rsidRPr="00212515">
        <w:rPr>
          <w:rFonts w:ascii="Arial" w:hAnsi="Arial" w:cs="Arial"/>
          <w:sz w:val="22"/>
          <w:szCs w:val="22"/>
        </w:rPr>
        <w:t>ortalamasına göre 100.000</w:t>
      </w:r>
      <w:r w:rsidR="00926BB9" w:rsidRPr="00212515">
        <w:rPr>
          <w:rFonts w:ascii="Arial" w:hAnsi="Arial" w:cs="Arial"/>
          <w:sz w:val="22"/>
          <w:szCs w:val="22"/>
        </w:rPr>
        <w:t xml:space="preserve"> kişiye </w:t>
      </w:r>
      <w:r w:rsidR="007D3DF6" w:rsidRPr="00212515">
        <w:rPr>
          <w:rFonts w:ascii="Arial" w:hAnsi="Arial" w:cs="Arial"/>
          <w:sz w:val="22"/>
          <w:szCs w:val="22"/>
        </w:rPr>
        <w:t xml:space="preserve">55 </w:t>
      </w:r>
      <w:r w:rsidR="00864FBF" w:rsidRPr="00212515">
        <w:rPr>
          <w:rFonts w:ascii="Arial" w:hAnsi="Arial" w:cs="Arial"/>
          <w:sz w:val="22"/>
          <w:szCs w:val="22"/>
        </w:rPr>
        <w:t xml:space="preserve">ATM </w:t>
      </w:r>
      <w:r w:rsidR="007D3DF6" w:rsidRPr="00212515">
        <w:rPr>
          <w:rFonts w:ascii="Arial" w:hAnsi="Arial" w:cs="Arial"/>
          <w:sz w:val="22"/>
          <w:szCs w:val="22"/>
        </w:rPr>
        <w:t>düşmektedir.</w:t>
      </w:r>
      <w:r w:rsidR="0056175D" w:rsidRPr="00212515">
        <w:rPr>
          <w:rFonts w:ascii="Arial" w:hAnsi="Arial" w:cs="Arial"/>
          <w:sz w:val="22"/>
          <w:szCs w:val="22"/>
        </w:rPr>
        <w:t xml:space="preserve"> İl bazında değerlendirildiğinde ise 100.000 kişiye düşen </w:t>
      </w:r>
      <w:r w:rsidR="007D3DF6" w:rsidRPr="00212515">
        <w:rPr>
          <w:rFonts w:ascii="Arial" w:hAnsi="Arial" w:cs="Arial"/>
          <w:sz w:val="22"/>
          <w:szCs w:val="22"/>
        </w:rPr>
        <w:t xml:space="preserve">en yüksek </w:t>
      </w:r>
      <w:r w:rsidR="0056175D" w:rsidRPr="00212515">
        <w:rPr>
          <w:rFonts w:ascii="Arial" w:hAnsi="Arial" w:cs="Arial"/>
          <w:sz w:val="22"/>
          <w:szCs w:val="22"/>
        </w:rPr>
        <w:t>ATM sayısı</w:t>
      </w:r>
      <w:r w:rsidR="007D3DF6" w:rsidRPr="00212515">
        <w:rPr>
          <w:rFonts w:ascii="Arial" w:hAnsi="Arial" w:cs="Arial"/>
          <w:sz w:val="22"/>
          <w:szCs w:val="22"/>
        </w:rPr>
        <w:t xml:space="preserve"> olan iller</w:t>
      </w:r>
      <w:r w:rsidR="005D1AB6" w:rsidRPr="00212515">
        <w:rPr>
          <w:rFonts w:ascii="Arial" w:hAnsi="Arial" w:cs="Arial"/>
          <w:sz w:val="22"/>
          <w:szCs w:val="22"/>
        </w:rPr>
        <w:t xml:space="preserve"> </w:t>
      </w:r>
      <w:r w:rsidR="007D3DF6" w:rsidRPr="00212515">
        <w:rPr>
          <w:rFonts w:ascii="Arial" w:hAnsi="Arial" w:cs="Arial"/>
          <w:sz w:val="22"/>
          <w:szCs w:val="22"/>
        </w:rPr>
        <w:t>118</w:t>
      </w:r>
      <w:r w:rsidR="005D1AB6" w:rsidRPr="00212515">
        <w:rPr>
          <w:rFonts w:ascii="Arial" w:hAnsi="Arial" w:cs="Arial"/>
          <w:sz w:val="22"/>
          <w:szCs w:val="22"/>
        </w:rPr>
        <w:t xml:space="preserve"> ile </w:t>
      </w:r>
      <w:r w:rsidR="007D3DF6" w:rsidRPr="00212515">
        <w:rPr>
          <w:rFonts w:ascii="Arial" w:hAnsi="Arial" w:cs="Arial"/>
          <w:sz w:val="22"/>
          <w:szCs w:val="22"/>
        </w:rPr>
        <w:t>Muğla</w:t>
      </w:r>
      <w:r w:rsidR="005D1AB6" w:rsidRPr="00212515">
        <w:rPr>
          <w:rFonts w:ascii="Arial" w:hAnsi="Arial" w:cs="Arial"/>
          <w:sz w:val="22"/>
          <w:szCs w:val="22"/>
        </w:rPr>
        <w:t xml:space="preserve"> </w:t>
      </w:r>
      <w:r w:rsidR="005D1AB6" w:rsidRPr="00FE0C75">
        <w:rPr>
          <w:rFonts w:ascii="Arial" w:hAnsi="Arial" w:cs="Arial"/>
          <w:sz w:val="22"/>
          <w:szCs w:val="22"/>
        </w:rPr>
        <w:t xml:space="preserve">ve </w:t>
      </w:r>
      <w:r w:rsidR="007D3DF6" w:rsidRPr="00FE0C75">
        <w:rPr>
          <w:rFonts w:ascii="Arial" w:hAnsi="Arial" w:cs="Arial"/>
          <w:sz w:val="22"/>
          <w:szCs w:val="22"/>
        </w:rPr>
        <w:t>85 ile Edirne’dir</w:t>
      </w:r>
      <w:r w:rsidR="0056175D" w:rsidRPr="00FE0C75">
        <w:rPr>
          <w:rFonts w:ascii="Arial" w:hAnsi="Arial" w:cs="Arial"/>
          <w:sz w:val="22"/>
          <w:szCs w:val="22"/>
        </w:rPr>
        <w:t xml:space="preserve">. </w:t>
      </w:r>
    </w:p>
    <w:p w14:paraId="1E4E0A53" w14:textId="706E1C12" w:rsidR="00C16EF7" w:rsidRPr="00FE0C75" w:rsidRDefault="008D49CB" w:rsidP="0056175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E0C75">
        <w:rPr>
          <w:rFonts w:ascii="Arial" w:hAnsi="Arial" w:cs="Arial"/>
          <w:sz w:val="22"/>
          <w:szCs w:val="22"/>
        </w:rPr>
        <w:t>Türkiye</w:t>
      </w:r>
      <w:r w:rsidR="007B57BE" w:rsidRPr="00FE0C75">
        <w:rPr>
          <w:rFonts w:ascii="Arial" w:hAnsi="Arial" w:cs="Arial"/>
          <w:sz w:val="22"/>
          <w:szCs w:val="22"/>
        </w:rPr>
        <w:t>’de</w:t>
      </w:r>
      <w:r w:rsidRPr="00FE0C75">
        <w:rPr>
          <w:rFonts w:ascii="Arial" w:hAnsi="Arial" w:cs="Arial"/>
          <w:sz w:val="22"/>
          <w:szCs w:val="22"/>
        </w:rPr>
        <w:t xml:space="preserve"> 100.000 kişiye düşen ü</w:t>
      </w:r>
      <w:r w:rsidR="00926BB9" w:rsidRPr="00FE0C75">
        <w:rPr>
          <w:rFonts w:ascii="Arial" w:hAnsi="Arial" w:cs="Arial"/>
          <w:sz w:val="22"/>
          <w:szCs w:val="22"/>
        </w:rPr>
        <w:t xml:space="preserve">ye işyeri sayısı </w:t>
      </w:r>
      <w:r w:rsidR="00864FBF" w:rsidRPr="00FE0C75">
        <w:rPr>
          <w:rFonts w:ascii="Arial" w:hAnsi="Arial" w:cs="Arial"/>
          <w:sz w:val="22"/>
          <w:szCs w:val="22"/>
        </w:rPr>
        <w:t>6.540</w:t>
      </w:r>
      <w:r w:rsidRPr="00FE0C75">
        <w:rPr>
          <w:rFonts w:ascii="Arial" w:hAnsi="Arial" w:cs="Arial"/>
          <w:sz w:val="22"/>
          <w:szCs w:val="22"/>
        </w:rPr>
        <w:t>’dır. İl bazında değerlendirildiğinde ise 100.000 kişiye düşen üye işyeri sayısı 15.852 adet ile İstanbul’d</w:t>
      </w:r>
      <w:r w:rsidR="005D1AB6" w:rsidRPr="00FE0C75">
        <w:rPr>
          <w:rFonts w:ascii="Arial" w:hAnsi="Arial" w:cs="Arial"/>
          <w:sz w:val="22"/>
          <w:szCs w:val="22"/>
        </w:rPr>
        <w:t xml:space="preserve">adır. </w:t>
      </w:r>
      <w:bookmarkStart w:id="0" w:name="_GoBack"/>
      <w:bookmarkEnd w:id="0"/>
    </w:p>
    <w:sectPr w:rsidR="00C16EF7" w:rsidRPr="00FE0C75" w:rsidSect="00C475C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985" w:right="1561" w:bottom="1560" w:left="1560" w:header="1151" w:footer="431" w:gutter="0"/>
      <w:pgNumType w:fmt="lowerRoman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A0F9F" w14:textId="77777777" w:rsidR="00162D94" w:rsidRDefault="00162D94">
      <w:r>
        <w:separator/>
      </w:r>
    </w:p>
  </w:endnote>
  <w:endnote w:type="continuationSeparator" w:id="0">
    <w:p w14:paraId="085132BD" w14:textId="77777777" w:rsidR="00162D94" w:rsidRDefault="0016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35DDF" w14:textId="77777777" w:rsidR="00D91B9E" w:rsidRDefault="00D91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2F50BE7" w14:textId="77777777" w:rsidR="00D91B9E" w:rsidRDefault="00D91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301571"/>
      <w:docPartObj>
        <w:docPartGallery w:val="Page Numbers (Bottom of Page)"/>
        <w:docPartUnique/>
      </w:docPartObj>
    </w:sdtPr>
    <w:sdtEndPr/>
    <w:sdtContent>
      <w:p w14:paraId="37F59DE2" w14:textId="6BAC0225" w:rsidR="00D91B9E" w:rsidRDefault="00D91B9E" w:rsidP="00C475C6">
        <w:pPr>
          <w:pStyle w:val="Footer"/>
          <w:ind w:left="3767" w:right="480" w:firstLine="415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5C6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64B6AB96" w14:textId="77777777" w:rsidR="00D91B9E" w:rsidRDefault="00D91B9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4EB93" w14:textId="1D00F39D" w:rsidR="00C475C6" w:rsidRPr="00C475C6" w:rsidRDefault="00C475C6" w:rsidP="00C475C6">
    <w:pPr>
      <w:pStyle w:val="Footer"/>
      <w:rPr>
        <w:rFonts w:ascii="Arial" w:hAnsi="Arial" w:cs="Arial"/>
        <w:caps/>
        <w:noProof/>
        <w:color w:val="4F81BD" w:themeColor="accent1"/>
        <w:sz w:val="18"/>
        <w:szCs w:val="18"/>
      </w:rPr>
    </w:pPr>
    <w:r>
      <w:rPr>
        <w:rFonts w:ascii="Arial" w:hAnsi="Arial" w:cs="Arial"/>
        <w:caps/>
        <w:color w:val="4F81BD" w:themeColor="accent1"/>
        <w:sz w:val="18"/>
        <w:szCs w:val="18"/>
      </w:rPr>
      <w:t xml:space="preserve"> </w:t>
    </w:r>
    <w:r>
      <w:rPr>
        <w:rFonts w:ascii="Arial" w:hAnsi="Arial" w:cs="Arial"/>
        <w:caps/>
        <w:color w:val="4F81BD" w:themeColor="accent1"/>
        <w:sz w:val="18"/>
        <w:szCs w:val="18"/>
      </w:rPr>
      <w:tab/>
    </w:r>
    <w:r>
      <w:rPr>
        <w:rFonts w:ascii="Arial" w:hAnsi="Arial" w:cs="Arial"/>
        <w:caps/>
        <w:color w:val="4F81BD" w:themeColor="accent1"/>
        <w:sz w:val="18"/>
        <w:szCs w:val="18"/>
      </w:rPr>
      <w:tab/>
    </w:r>
    <w:r>
      <w:rPr>
        <w:noProof/>
      </w:rPr>
      <w:t>i</w:t>
    </w:r>
    <w:r>
      <w:rPr>
        <w:rFonts w:ascii="Arial" w:hAnsi="Arial" w:cs="Arial"/>
        <w:caps/>
        <w:color w:val="4F81BD" w:themeColor="accent1"/>
        <w:sz w:val="18"/>
        <w:szCs w:val="18"/>
      </w:rPr>
      <w:tab/>
    </w:r>
    <w:r>
      <w:rPr>
        <w:rFonts w:ascii="Arial" w:hAnsi="Arial" w:cs="Arial"/>
        <w:caps/>
        <w:color w:val="4F81BD" w:themeColor="accent1"/>
        <w:sz w:val="18"/>
        <w:szCs w:val="18"/>
      </w:rPr>
      <w:tab/>
      <w:t xml:space="preserve">   </w:t>
    </w:r>
  </w:p>
  <w:p w14:paraId="2EB9064A" w14:textId="665A8172" w:rsidR="00D91B9E" w:rsidRDefault="00D91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03E29" w14:textId="77777777" w:rsidR="00162D94" w:rsidRDefault="00162D94">
      <w:r>
        <w:separator/>
      </w:r>
    </w:p>
  </w:footnote>
  <w:footnote w:type="continuationSeparator" w:id="0">
    <w:p w14:paraId="27D6344C" w14:textId="77777777" w:rsidR="00162D94" w:rsidRDefault="00162D94">
      <w:r>
        <w:continuationSeparator/>
      </w:r>
    </w:p>
  </w:footnote>
  <w:footnote w:id="1">
    <w:p w14:paraId="7D0EC1C2" w14:textId="77777777" w:rsidR="00D91B9E" w:rsidRDefault="00D91B9E" w:rsidP="00A775D5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  <w:p w14:paraId="3A2C2ACF" w14:textId="77777777" w:rsidR="00D91B9E" w:rsidRPr="004D2FE0" w:rsidRDefault="00D91B9E" w:rsidP="00A775D5">
      <w:pPr>
        <w:pStyle w:val="FootnoteText"/>
        <w:rPr>
          <w:rFonts w:ascii="Arial" w:hAnsi="Arial"/>
        </w:rPr>
      </w:pPr>
    </w:p>
  </w:footnote>
  <w:footnote w:id="2">
    <w:p w14:paraId="4B732070" w14:textId="77777777" w:rsidR="00D91B9E" w:rsidRPr="00B32BE5" w:rsidRDefault="00D91B9E" w:rsidP="00B32BE5">
      <w:pPr>
        <w:jc w:val="both"/>
        <w:rPr>
          <w:rFonts w:ascii="Arial" w:hAnsi="Arial" w:cs="Arial"/>
          <w:sz w:val="18"/>
          <w:szCs w:val="18"/>
        </w:rPr>
      </w:pPr>
      <w:r w:rsidRPr="00B32BE5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Raporda,</w:t>
      </w:r>
      <w:r w:rsidRPr="00B32BE5">
        <w:rPr>
          <w:rFonts w:ascii="Arial" w:hAnsi="Arial" w:cs="Arial"/>
          <w:sz w:val="18"/>
          <w:szCs w:val="18"/>
        </w:rPr>
        <w:t xml:space="preserve"> 22.9.2002 tarih ve 24884 sayılı Resmi Gazete' de yayınlanan 2002/4720 sayılı Bakanlar Kurulu Kararı'ndaki İstatistiki Bölge Birimleri sınıflandırması kullanılmıştır. </w:t>
      </w:r>
      <w:r>
        <w:rPr>
          <w:rFonts w:ascii="Arial" w:hAnsi="Arial" w:cs="Arial"/>
          <w:sz w:val="18"/>
          <w:szCs w:val="18"/>
        </w:rPr>
        <w:t>Buna göre İstanbul şehri, aynı zamanda tek başına bir bölgeyi de ifade etmektedir.</w:t>
      </w:r>
    </w:p>
    <w:p w14:paraId="1AB04F58" w14:textId="77777777" w:rsidR="00D91B9E" w:rsidRDefault="00D91B9E">
      <w:pPr>
        <w:pStyle w:val="FootnoteText"/>
      </w:pPr>
    </w:p>
  </w:footnote>
  <w:footnote w:id="3">
    <w:p w14:paraId="342844DE" w14:textId="77777777" w:rsidR="00D11839" w:rsidRPr="00F04D96" w:rsidRDefault="00D11839" w:rsidP="00D11839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F04D96">
        <w:rPr>
          <w:rStyle w:val="FootnoteReference"/>
          <w:rFonts w:ascii="Arial" w:hAnsi="Arial" w:cs="Arial"/>
          <w:sz w:val="18"/>
          <w:szCs w:val="18"/>
        </w:rPr>
        <w:footnoteRef/>
      </w:r>
      <w:r w:rsidRPr="00F04D96">
        <w:rPr>
          <w:rFonts w:ascii="Arial" w:hAnsi="Arial" w:cs="Arial"/>
          <w:sz w:val="18"/>
          <w:szCs w:val="18"/>
        </w:rPr>
        <w:t xml:space="preserve"> Türkiye İ</w:t>
      </w:r>
      <w:r>
        <w:rPr>
          <w:rFonts w:ascii="Arial" w:hAnsi="Arial" w:cs="Arial"/>
          <w:sz w:val="18"/>
          <w:szCs w:val="18"/>
        </w:rPr>
        <w:t>statistik Kurumu tarafından 2023</w:t>
      </w:r>
      <w:r w:rsidRPr="00F04D96">
        <w:rPr>
          <w:rFonts w:ascii="Arial" w:hAnsi="Arial" w:cs="Arial"/>
          <w:sz w:val="18"/>
          <w:szCs w:val="18"/>
        </w:rPr>
        <w:t xml:space="preserve"> yılı için yapılan adrese dayalı nüfus kayıt sistemi (ADNKS) verileri kullanılmıştır.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C251B" w14:textId="77777777" w:rsidR="00D91B9E" w:rsidRDefault="00D91B9E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6192" behindDoc="0" locked="0" layoutInCell="1" allowOverlap="1" wp14:anchorId="0384DD18" wp14:editId="1B229F9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F1442" w14:textId="77777777" w:rsidR="00D91B9E" w:rsidRDefault="00D91B9E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9264" behindDoc="0" locked="0" layoutInCell="1" allowOverlap="1" wp14:anchorId="1A51FEDD" wp14:editId="56AB19EF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0" name="Picture 10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8B"/>
    <w:rsid w:val="0000094D"/>
    <w:rsid w:val="00001FEC"/>
    <w:rsid w:val="00003749"/>
    <w:rsid w:val="0000479D"/>
    <w:rsid w:val="00004F24"/>
    <w:rsid w:val="00015762"/>
    <w:rsid w:val="00023190"/>
    <w:rsid w:val="00024539"/>
    <w:rsid w:val="000245DA"/>
    <w:rsid w:val="00025598"/>
    <w:rsid w:val="000261C0"/>
    <w:rsid w:val="000264CF"/>
    <w:rsid w:val="00026B50"/>
    <w:rsid w:val="000325CE"/>
    <w:rsid w:val="0003296D"/>
    <w:rsid w:val="00034AAB"/>
    <w:rsid w:val="00036F03"/>
    <w:rsid w:val="000379AC"/>
    <w:rsid w:val="00040B6C"/>
    <w:rsid w:val="000416E4"/>
    <w:rsid w:val="000417F9"/>
    <w:rsid w:val="00042816"/>
    <w:rsid w:val="00044394"/>
    <w:rsid w:val="000446A6"/>
    <w:rsid w:val="00044DDD"/>
    <w:rsid w:val="00044E1C"/>
    <w:rsid w:val="0005072D"/>
    <w:rsid w:val="0005148B"/>
    <w:rsid w:val="00051941"/>
    <w:rsid w:val="000525D6"/>
    <w:rsid w:val="000540A3"/>
    <w:rsid w:val="00054EBA"/>
    <w:rsid w:val="00055BDB"/>
    <w:rsid w:val="000644CC"/>
    <w:rsid w:val="00070557"/>
    <w:rsid w:val="00070ABE"/>
    <w:rsid w:val="000726F2"/>
    <w:rsid w:val="00073281"/>
    <w:rsid w:val="00073B0E"/>
    <w:rsid w:val="000746A5"/>
    <w:rsid w:val="00074EA6"/>
    <w:rsid w:val="00081BAB"/>
    <w:rsid w:val="00082569"/>
    <w:rsid w:val="00083DCD"/>
    <w:rsid w:val="00084A99"/>
    <w:rsid w:val="00084DD4"/>
    <w:rsid w:val="000874A9"/>
    <w:rsid w:val="000909CB"/>
    <w:rsid w:val="00090EBB"/>
    <w:rsid w:val="00091100"/>
    <w:rsid w:val="00091A71"/>
    <w:rsid w:val="0009502B"/>
    <w:rsid w:val="000A32F8"/>
    <w:rsid w:val="000A35A7"/>
    <w:rsid w:val="000A3E1C"/>
    <w:rsid w:val="000A692B"/>
    <w:rsid w:val="000A7BB1"/>
    <w:rsid w:val="000B14E8"/>
    <w:rsid w:val="000B1513"/>
    <w:rsid w:val="000B7185"/>
    <w:rsid w:val="000B7376"/>
    <w:rsid w:val="000C01B4"/>
    <w:rsid w:val="000C0CAA"/>
    <w:rsid w:val="000C157F"/>
    <w:rsid w:val="000C2029"/>
    <w:rsid w:val="000C3791"/>
    <w:rsid w:val="000D202A"/>
    <w:rsid w:val="000D240E"/>
    <w:rsid w:val="000D260E"/>
    <w:rsid w:val="000D30D8"/>
    <w:rsid w:val="000D4521"/>
    <w:rsid w:val="000D52FC"/>
    <w:rsid w:val="000E4A9D"/>
    <w:rsid w:val="000E71E7"/>
    <w:rsid w:val="000F0A6F"/>
    <w:rsid w:val="000F3840"/>
    <w:rsid w:val="000F4EF7"/>
    <w:rsid w:val="000F6459"/>
    <w:rsid w:val="000F7AF8"/>
    <w:rsid w:val="0010126F"/>
    <w:rsid w:val="00102B43"/>
    <w:rsid w:val="00103952"/>
    <w:rsid w:val="001049CF"/>
    <w:rsid w:val="00106A65"/>
    <w:rsid w:val="0010728F"/>
    <w:rsid w:val="001074D9"/>
    <w:rsid w:val="00110C8C"/>
    <w:rsid w:val="00110C8F"/>
    <w:rsid w:val="00112FE4"/>
    <w:rsid w:val="001130E7"/>
    <w:rsid w:val="0011551C"/>
    <w:rsid w:val="00115ECB"/>
    <w:rsid w:val="001202BC"/>
    <w:rsid w:val="00123E0F"/>
    <w:rsid w:val="00133524"/>
    <w:rsid w:val="00133A4E"/>
    <w:rsid w:val="00133C3B"/>
    <w:rsid w:val="00133DFE"/>
    <w:rsid w:val="001340FD"/>
    <w:rsid w:val="001420E7"/>
    <w:rsid w:val="001500CF"/>
    <w:rsid w:val="00150B76"/>
    <w:rsid w:val="00150F6F"/>
    <w:rsid w:val="00154080"/>
    <w:rsid w:val="00157F25"/>
    <w:rsid w:val="00162D94"/>
    <w:rsid w:val="00163B10"/>
    <w:rsid w:val="00163F62"/>
    <w:rsid w:val="00167917"/>
    <w:rsid w:val="00171100"/>
    <w:rsid w:val="00172288"/>
    <w:rsid w:val="001750FE"/>
    <w:rsid w:val="001820C0"/>
    <w:rsid w:val="0018220A"/>
    <w:rsid w:val="00182241"/>
    <w:rsid w:val="0018470A"/>
    <w:rsid w:val="001A0815"/>
    <w:rsid w:val="001A0C90"/>
    <w:rsid w:val="001A2022"/>
    <w:rsid w:val="001A3BEF"/>
    <w:rsid w:val="001A43B3"/>
    <w:rsid w:val="001A4A5D"/>
    <w:rsid w:val="001B2C4E"/>
    <w:rsid w:val="001C1377"/>
    <w:rsid w:val="001C1D84"/>
    <w:rsid w:val="001C1EE9"/>
    <w:rsid w:val="001C253E"/>
    <w:rsid w:val="001C35EC"/>
    <w:rsid w:val="001C6048"/>
    <w:rsid w:val="001D04CD"/>
    <w:rsid w:val="001D68E9"/>
    <w:rsid w:val="001D7169"/>
    <w:rsid w:val="001E117D"/>
    <w:rsid w:val="001E2B0B"/>
    <w:rsid w:val="001E2FEB"/>
    <w:rsid w:val="001E42DF"/>
    <w:rsid w:val="001E76AD"/>
    <w:rsid w:val="001E7F1B"/>
    <w:rsid w:val="001F1611"/>
    <w:rsid w:val="001F233E"/>
    <w:rsid w:val="001F465A"/>
    <w:rsid w:val="001F4C0E"/>
    <w:rsid w:val="001F6CF2"/>
    <w:rsid w:val="001F6EB6"/>
    <w:rsid w:val="002000C3"/>
    <w:rsid w:val="0020026B"/>
    <w:rsid w:val="00201C7A"/>
    <w:rsid w:val="0020297E"/>
    <w:rsid w:val="00202F27"/>
    <w:rsid w:val="002043E7"/>
    <w:rsid w:val="00205E92"/>
    <w:rsid w:val="00206C16"/>
    <w:rsid w:val="00207784"/>
    <w:rsid w:val="00212061"/>
    <w:rsid w:val="00212515"/>
    <w:rsid w:val="00213636"/>
    <w:rsid w:val="00214D28"/>
    <w:rsid w:val="0021722F"/>
    <w:rsid w:val="00224F63"/>
    <w:rsid w:val="0022520F"/>
    <w:rsid w:val="00227580"/>
    <w:rsid w:val="00227B60"/>
    <w:rsid w:val="00231126"/>
    <w:rsid w:val="002314C7"/>
    <w:rsid w:val="00234E6D"/>
    <w:rsid w:val="00236930"/>
    <w:rsid w:val="00240D27"/>
    <w:rsid w:val="002414C5"/>
    <w:rsid w:val="00247411"/>
    <w:rsid w:val="00255CA5"/>
    <w:rsid w:val="002572E5"/>
    <w:rsid w:val="00261645"/>
    <w:rsid w:val="0026414E"/>
    <w:rsid w:val="002654F5"/>
    <w:rsid w:val="00265C48"/>
    <w:rsid w:val="00266E77"/>
    <w:rsid w:val="002701AC"/>
    <w:rsid w:val="00270D96"/>
    <w:rsid w:val="00272C75"/>
    <w:rsid w:val="00272C9D"/>
    <w:rsid w:val="0027517C"/>
    <w:rsid w:val="00277B49"/>
    <w:rsid w:val="00284411"/>
    <w:rsid w:val="00284A23"/>
    <w:rsid w:val="002879A6"/>
    <w:rsid w:val="002903D8"/>
    <w:rsid w:val="002942BA"/>
    <w:rsid w:val="00294FED"/>
    <w:rsid w:val="002962CF"/>
    <w:rsid w:val="0029738D"/>
    <w:rsid w:val="002979C6"/>
    <w:rsid w:val="00297B94"/>
    <w:rsid w:val="002A3A04"/>
    <w:rsid w:val="002A43F0"/>
    <w:rsid w:val="002A7128"/>
    <w:rsid w:val="002B28DD"/>
    <w:rsid w:val="002B3020"/>
    <w:rsid w:val="002B3F1F"/>
    <w:rsid w:val="002B49E5"/>
    <w:rsid w:val="002B6594"/>
    <w:rsid w:val="002B7DE4"/>
    <w:rsid w:val="002C1160"/>
    <w:rsid w:val="002C1C0A"/>
    <w:rsid w:val="002C21C9"/>
    <w:rsid w:val="002C3F15"/>
    <w:rsid w:val="002C4308"/>
    <w:rsid w:val="002C6D99"/>
    <w:rsid w:val="002D2411"/>
    <w:rsid w:val="002D3C11"/>
    <w:rsid w:val="002E0B51"/>
    <w:rsid w:val="002E1778"/>
    <w:rsid w:val="002E2043"/>
    <w:rsid w:val="002E303F"/>
    <w:rsid w:val="002E3071"/>
    <w:rsid w:val="002E43E8"/>
    <w:rsid w:val="002E7ED6"/>
    <w:rsid w:val="002F0B29"/>
    <w:rsid w:val="002F4ECD"/>
    <w:rsid w:val="002F67EB"/>
    <w:rsid w:val="00301CF0"/>
    <w:rsid w:val="003078B2"/>
    <w:rsid w:val="00311CB8"/>
    <w:rsid w:val="0031691B"/>
    <w:rsid w:val="003172E8"/>
    <w:rsid w:val="003233F5"/>
    <w:rsid w:val="00324CC4"/>
    <w:rsid w:val="003255B1"/>
    <w:rsid w:val="00326719"/>
    <w:rsid w:val="00326F80"/>
    <w:rsid w:val="00327313"/>
    <w:rsid w:val="00330F29"/>
    <w:rsid w:val="00331CAE"/>
    <w:rsid w:val="003348A1"/>
    <w:rsid w:val="003374BC"/>
    <w:rsid w:val="00340B77"/>
    <w:rsid w:val="00344E02"/>
    <w:rsid w:val="003455D6"/>
    <w:rsid w:val="00351031"/>
    <w:rsid w:val="003512FC"/>
    <w:rsid w:val="00351637"/>
    <w:rsid w:val="003549E0"/>
    <w:rsid w:val="00355749"/>
    <w:rsid w:val="003605F6"/>
    <w:rsid w:val="00360675"/>
    <w:rsid w:val="00360AD8"/>
    <w:rsid w:val="003656B9"/>
    <w:rsid w:val="00370524"/>
    <w:rsid w:val="00374ECF"/>
    <w:rsid w:val="00381A53"/>
    <w:rsid w:val="00383015"/>
    <w:rsid w:val="00384C76"/>
    <w:rsid w:val="00386BBA"/>
    <w:rsid w:val="00387BDC"/>
    <w:rsid w:val="003913D4"/>
    <w:rsid w:val="00391AB1"/>
    <w:rsid w:val="003A306C"/>
    <w:rsid w:val="003A66B1"/>
    <w:rsid w:val="003B1C68"/>
    <w:rsid w:val="003B4D08"/>
    <w:rsid w:val="003C5E10"/>
    <w:rsid w:val="003C6CD1"/>
    <w:rsid w:val="003C7765"/>
    <w:rsid w:val="003D44F9"/>
    <w:rsid w:val="003D5C35"/>
    <w:rsid w:val="003E085C"/>
    <w:rsid w:val="003E13EF"/>
    <w:rsid w:val="003E209E"/>
    <w:rsid w:val="003E388F"/>
    <w:rsid w:val="003E4BF0"/>
    <w:rsid w:val="003E5E70"/>
    <w:rsid w:val="003E7014"/>
    <w:rsid w:val="003F350B"/>
    <w:rsid w:val="003F4DED"/>
    <w:rsid w:val="00400026"/>
    <w:rsid w:val="0040323B"/>
    <w:rsid w:val="00403513"/>
    <w:rsid w:val="00403F7D"/>
    <w:rsid w:val="004041F5"/>
    <w:rsid w:val="00406634"/>
    <w:rsid w:val="0040697D"/>
    <w:rsid w:val="0041050B"/>
    <w:rsid w:val="0041406B"/>
    <w:rsid w:val="00415E60"/>
    <w:rsid w:val="00430148"/>
    <w:rsid w:val="00430D45"/>
    <w:rsid w:val="00433ADD"/>
    <w:rsid w:val="004409E4"/>
    <w:rsid w:val="004455AB"/>
    <w:rsid w:val="0045150C"/>
    <w:rsid w:val="00453973"/>
    <w:rsid w:val="00456B9D"/>
    <w:rsid w:val="00456DE1"/>
    <w:rsid w:val="004613E2"/>
    <w:rsid w:val="0046396E"/>
    <w:rsid w:val="00464E89"/>
    <w:rsid w:val="0046774D"/>
    <w:rsid w:val="00470BE1"/>
    <w:rsid w:val="00471C1B"/>
    <w:rsid w:val="0048012C"/>
    <w:rsid w:val="00480FB0"/>
    <w:rsid w:val="0048103D"/>
    <w:rsid w:val="00482D22"/>
    <w:rsid w:val="00485C91"/>
    <w:rsid w:val="00486084"/>
    <w:rsid w:val="00486407"/>
    <w:rsid w:val="004965F7"/>
    <w:rsid w:val="00496BCC"/>
    <w:rsid w:val="004A0787"/>
    <w:rsid w:val="004A1CE3"/>
    <w:rsid w:val="004A5AD4"/>
    <w:rsid w:val="004A71E0"/>
    <w:rsid w:val="004A7F0F"/>
    <w:rsid w:val="004B1DCC"/>
    <w:rsid w:val="004B22A7"/>
    <w:rsid w:val="004B5E58"/>
    <w:rsid w:val="004B5F0D"/>
    <w:rsid w:val="004B6776"/>
    <w:rsid w:val="004B792B"/>
    <w:rsid w:val="004C1D31"/>
    <w:rsid w:val="004C225F"/>
    <w:rsid w:val="004C3ECF"/>
    <w:rsid w:val="004C43E9"/>
    <w:rsid w:val="004C5697"/>
    <w:rsid w:val="004D0B33"/>
    <w:rsid w:val="004D155C"/>
    <w:rsid w:val="004D3AD6"/>
    <w:rsid w:val="004D4A56"/>
    <w:rsid w:val="004E5A5D"/>
    <w:rsid w:val="004F4B0A"/>
    <w:rsid w:val="004F5C89"/>
    <w:rsid w:val="00501244"/>
    <w:rsid w:val="00505F20"/>
    <w:rsid w:val="00506FC7"/>
    <w:rsid w:val="005074A8"/>
    <w:rsid w:val="0051360F"/>
    <w:rsid w:val="00516427"/>
    <w:rsid w:val="0051720D"/>
    <w:rsid w:val="00520D80"/>
    <w:rsid w:val="005248DA"/>
    <w:rsid w:val="00524D35"/>
    <w:rsid w:val="00525731"/>
    <w:rsid w:val="005303AC"/>
    <w:rsid w:val="00530567"/>
    <w:rsid w:val="00530841"/>
    <w:rsid w:val="005337A8"/>
    <w:rsid w:val="00533DED"/>
    <w:rsid w:val="00534A7B"/>
    <w:rsid w:val="00535006"/>
    <w:rsid w:val="00536C46"/>
    <w:rsid w:val="00541A3C"/>
    <w:rsid w:val="00545341"/>
    <w:rsid w:val="00545C6E"/>
    <w:rsid w:val="005468BA"/>
    <w:rsid w:val="005468EB"/>
    <w:rsid w:val="00546939"/>
    <w:rsid w:val="00546CCD"/>
    <w:rsid w:val="0055094D"/>
    <w:rsid w:val="00552CF4"/>
    <w:rsid w:val="005532ED"/>
    <w:rsid w:val="005552F8"/>
    <w:rsid w:val="00556677"/>
    <w:rsid w:val="0056175D"/>
    <w:rsid w:val="00563CCA"/>
    <w:rsid w:val="00564A80"/>
    <w:rsid w:val="00565ECA"/>
    <w:rsid w:val="00570C58"/>
    <w:rsid w:val="005710D4"/>
    <w:rsid w:val="00573112"/>
    <w:rsid w:val="005773FF"/>
    <w:rsid w:val="0057798F"/>
    <w:rsid w:val="005813CA"/>
    <w:rsid w:val="00587894"/>
    <w:rsid w:val="00587C6C"/>
    <w:rsid w:val="00590C97"/>
    <w:rsid w:val="00592A58"/>
    <w:rsid w:val="00593145"/>
    <w:rsid w:val="0059608B"/>
    <w:rsid w:val="00597835"/>
    <w:rsid w:val="00597FA5"/>
    <w:rsid w:val="005A3899"/>
    <w:rsid w:val="005A4236"/>
    <w:rsid w:val="005A4AA1"/>
    <w:rsid w:val="005A57C7"/>
    <w:rsid w:val="005B1B34"/>
    <w:rsid w:val="005B5FAE"/>
    <w:rsid w:val="005B791A"/>
    <w:rsid w:val="005C29DE"/>
    <w:rsid w:val="005C39FE"/>
    <w:rsid w:val="005C5753"/>
    <w:rsid w:val="005C60DB"/>
    <w:rsid w:val="005C6C55"/>
    <w:rsid w:val="005D1AB6"/>
    <w:rsid w:val="005D3F06"/>
    <w:rsid w:val="005D4C76"/>
    <w:rsid w:val="005D5E00"/>
    <w:rsid w:val="005D5FB0"/>
    <w:rsid w:val="005D6874"/>
    <w:rsid w:val="005D7F30"/>
    <w:rsid w:val="005E52F1"/>
    <w:rsid w:val="005E54E6"/>
    <w:rsid w:val="005E5610"/>
    <w:rsid w:val="005F18F2"/>
    <w:rsid w:val="005F62D2"/>
    <w:rsid w:val="005F7530"/>
    <w:rsid w:val="006028B8"/>
    <w:rsid w:val="00602FD8"/>
    <w:rsid w:val="0060362B"/>
    <w:rsid w:val="0061150C"/>
    <w:rsid w:val="00611CCD"/>
    <w:rsid w:val="00614045"/>
    <w:rsid w:val="00615170"/>
    <w:rsid w:val="00616DDA"/>
    <w:rsid w:val="00620924"/>
    <w:rsid w:val="00620994"/>
    <w:rsid w:val="00624138"/>
    <w:rsid w:val="00625DCF"/>
    <w:rsid w:val="00626F57"/>
    <w:rsid w:val="00633C13"/>
    <w:rsid w:val="00633CAD"/>
    <w:rsid w:val="006361D0"/>
    <w:rsid w:val="00651BDC"/>
    <w:rsid w:val="006526B6"/>
    <w:rsid w:val="00654453"/>
    <w:rsid w:val="00655015"/>
    <w:rsid w:val="00657175"/>
    <w:rsid w:val="00661DAE"/>
    <w:rsid w:val="00665A81"/>
    <w:rsid w:val="0067146F"/>
    <w:rsid w:val="006717FA"/>
    <w:rsid w:val="00673C97"/>
    <w:rsid w:val="0068355C"/>
    <w:rsid w:val="00685582"/>
    <w:rsid w:val="0068735B"/>
    <w:rsid w:val="00692399"/>
    <w:rsid w:val="006945E3"/>
    <w:rsid w:val="00694F80"/>
    <w:rsid w:val="006976BE"/>
    <w:rsid w:val="00697D82"/>
    <w:rsid w:val="006A093C"/>
    <w:rsid w:val="006A0FF0"/>
    <w:rsid w:val="006A49A9"/>
    <w:rsid w:val="006A794B"/>
    <w:rsid w:val="006B226A"/>
    <w:rsid w:val="006B3579"/>
    <w:rsid w:val="006B5388"/>
    <w:rsid w:val="006B5986"/>
    <w:rsid w:val="006C0737"/>
    <w:rsid w:val="006C0B9C"/>
    <w:rsid w:val="006C0FD9"/>
    <w:rsid w:val="006C4063"/>
    <w:rsid w:val="006C468A"/>
    <w:rsid w:val="006C570D"/>
    <w:rsid w:val="006C5EE3"/>
    <w:rsid w:val="006C6428"/>
    <w:rsid w:val="006C6F76"/>
    <w:rsid w:val="006C73B3"/>
    <w:rsid w:val="006C7E94"/>
    <w:rsid w:val="006D0F7A"/>
    <w:rsid w:val="006D32B4"/>
    <w:rsid w:val="006D502C"/>
    <w:rsid w:val="006D533A"/>
    <w:rsid w:val="006D7E0F"/>
    <w:rsid w:val="006E0951"/>
    <w:rsid w:val="006E0D04"/>
    <w:rsid w:val="006E178C"/>
    <w:rsid w:val="006E5C95"/>
    <w:rsid w:val="006F0FD7"/>
    <w:rsid w:val="006F11C6"/>
    <w:rsid w:val="006F321F"/>
    <w:rsid w:val="006F4558"/>
    <w:rsid w:val="006F6B5A"/>
    <w:rsid w:val="006F7013"/>
    <w:rsid w:val="00702552"/>
    <w:rsid w:val="00703087"/>
    <w:rsid w:val="007036F5"/>
    <w:rsid w:val="007078A1"/>
    <w:rsid w:val="00707F47"/>
    <w:rsid w:val="007129A4"/>
    <w:rsid w:val="00714E78"/>
    <w:rsid w:val="0071746F"/>
    <w:rsid w:val="00717E53"/>
    <w:rsid w:val="00722C76"/>
    <w:rsid w:val="00722FF5"/>
    <w:rsid w:val="00723532"/>
    <w:rsid w:val="007261E5"/>
    <w:rsid w:val="00742AA6"/>
    <w:rsid w:val="00746FEE"/>
    <w:rsid w:val="00747ABD"/>
    <w:rsid w:val="00756451"/>
    <w:rsid w:val="007578CD"/>
    <w:rsid w:val="007634D4"/>
    <w:rsid w:val="0076592A"/>
    <w:rsid w:val="00765CD5"/>
    <w:rsid w:val="00767C42"/>
    <w:rsid w:val="007737BF"/>
    <w:rsid w:val="0077428D"/>
    <w:rsid w:val="00774832"/>
    <w:rsid w:val="0077517E"/>
    <w:rsid w:val="00775E24"/>
    <w:rsid w:val="00775FD4"/>
    <w:rsid w:val="00785B21"/>
    <w:rsid w:val="00785F51"/>
    <w:rsid w:val="00786598"/>
    <w:rsid w:val="007876F7"/>
    <w:rsid w:val="007900B2"/>
    <w:rsid w:val="00792D37"/>
    <w:rsid w:val="00793969"/>
    <w:rsid w:val="00795AC3"/>
    <w:rsid w:val="00796D97"/>
    <w:rsid w:val="00797A5C"/>
    <w:rsid w:val="00797ADC"/>
    <w:rsid w:val="007A0B3B"/>
    <w:rsid w:val="007A1188"/>
    <w:rsid w:val="007A2D8B"/>
    <w:rsid w:val="007A4BDD"/>
    <w:rsid w:val="007A6271"/>
    <w:rsid w:val="007B57BE"/>
    <w:rsid w:val="007B5F62"/>
    <w:rsid w:val="007B65C3"/>
    <w:rsid w:val="007B76ED"/>
    <w:rsid w:val="007C1895"/>
    <w:rsid w:val="007C36D0"/>
    <w:rsid w:val="007C3E8E"/>
    <w:rsid w:val="007C50EF"/>
    <w:rsid w:val="007C72D5"/>
    <w:rsid w:val="007D1249"/>
    <w:rsid w:val="007D223D"/>
    <w:rsid w:val="007D2394"/>
    <w:rsid w:val="007D3DF6"/>
    <w:rsid w:val="007D4732"/>
    <w:rsid w:val="007D50E9"/>
    <w:rsid w:val="007D54C8"/>
    <w:rsid w:val="007D65D9"/>
    <w:rsid w:val="007D7823"/>
    <w:rsid w:val="007E128A"/>
    <w:rsid w:val="007E68CD"/>
    <w:rsid w:val="007E6F6A"/>
    <w:rsid w:val="007E7785"/>
    <w:rsid w:val="007F147E"/>
    <w:rsid w:val="007F2407"/>
    <w:rsid w:val="007F3C01"/>
    <w:rsid w:val="00801C24"/>
    <w:rsid w:val="00801D98"/>
    <w:rsid w:val="0080501F"/>
    <w:rsid w:val="008059FB"/>
    <w:rsid w:val="00806F46"/>
    <w:rsid w:val="008129F0"/>
    <w:rsid w:val="00813351"/>
    <w:rsid w:val="008167CF"/>
    <w:rsid w:val="00816938"/>
    <w:rsid w:val="00817527"/>
    <w:rsid w:val="00821810"/>
    <w:rsid w:val="00821F3F"/>
    <w:rsid w:val="00822458"/>
    <w:rsid w:val="00831825"/>
    <w:rsid w:val="00833CDB"/>
    <w:rsid w:val="00835B26"/>
    <w:rsid w:val="008379A8"/>
    <w:rsid w:val="00837C14"/>
    <w:rsid w:val="0084116C"/>
    <w:rsid w:val="008425F5"/>
    <w:rsid w:val="00842DE4"/>
    <w:rsid w:val="00845102"/>
    <w:rsid w:val="00846FDE"/>
    <w:rsid w:val="0085070B"/>
    <w:rsid w:val="0085189F"/>
    <w:rsid w:val="0086176F"/>
    <w:rsid w:val="00862379"/>
    <w:rsid w:val="00863950"/>
    <w:rsid w:val="00864FBF"/>
    <w:rsid w:val="0087142D"/>
    <w:rsid w:val="00872EEC"/>
    <w:rsid w:val="008750E6"/>
    <w:rsid w:val="00877F88"/>
    <w:rsid w:val="00880EAA"/>
    <w:rsid w:val="0088228A"/>
    <w:rsid w:val="00883DA9"/>
    <w:rsid w:val="00890383"/>
    <w:rsid w:val="00890807"/>
    <w:rsid w:val="00890CA8"/>
    <w:rsid w:val="00890ED2"/>
    <w:rsid w:val="0089113D"/>
    <w:rsid w:val="0089303A"/>
    <w:rsid w:val="0089424A"/>
    <w:rsid w:val="00895B47"/>
    <w:rsid w:val="00895FE5"/>
    <w:rsid w:val="008A3D4E"/>
    <w:rsid w:val="008A75D4"/>
    <w:rsid w:val="008A7C60"/>
    <w:rsid w:val="008B2AF2"/>
    <w:rsid w:val="008B3CDC"/>
    <w:rsid w:val="008B6ADA"/>
    <w:rsid w:val="008C04BE"/>
    <w:rsid w:val="008C0D82"/>
    <w:rsid w:val="008C1719"/>
    <w:rsid w:val="008C5D66"/>
    <w:rsid w:val="008C6316"/>
    <w:rsid w:val="008C67D6"/>
    <w:rsid w:val="008D2669"/>
    <w:rsid w:val="008D49CB"/>
    <w:rsid w:val="008E21ED"/>
    <w:rsid w:val="008E36DF"/>
    <w:rsid w:val="008E388B"/>
    <w:rsid w:val="008E4FDF"/>
    <w:rsid w:val="008E53C1"/>
    <w:rsid w:val="008E6343"/>
    <w:rsid w:val="008E6F3C"/>
    <w:rsid w:val="008F1C02"/>
    <w:rsid w:val="008F3182"/>
    <w:rsid w:val="008F46D8"/>
    <w:rsid w:val="009014C8"/>
    <w:rsid w:val="009105C9"/>
    <w:rsid w:val="00910703"/>
    <w:rsid w:val="009117D6"/>
    <w:rsid w:val="00911C7B"/>
    <w:rsid w:val="009127E8"/>
    <w:rsid w:val="00912AF2"/>
    <w:rsid w:val="00912DD0"/>
    <w:rsid w:val="00914DC3"/>
    <w:rsid w:val="00917B71"/>
    <w:rsid w:val="00920584"/>
    <w:rsid w:val="0092263E"/>
    <w:rsid w:val="0092362C"/>
    <w:rsid w:val="009248D0"/>
    <w:rsid w:val="009262DC"/>
    <w:rsid w:val="00926BB9"/>
    <w:rsid w:val="00927372"/>
    <w:rsid w:val="00927B43"/>
    <w:rsid w:val="00930E3F"/>
    <w:rsid w:val="009323D5"/>
    <w:rsid w:val="009333D3"/>
    <w:rsid w:val="009368FD"/>
    <w:rsid w:val="00940FDD"/>
    <w:rsid w:val="00941907"/>
    <w:rsid w:val="009422A0"/>
    <w:rsid w:val="009443E4"/>
    <w:rsid w:val="009446C4"/>
    <w:rsid w:val="00945756"/>
    <w:rsid w:val="00945D76"/>
    <w:rsid w:val="00951695"/>
    <w:rsid w:val="00954902"/>
    <w:rsid w:val="00962184"/>
    <w:rsid w:val="00973E18"/>
    <w:rsid w:val="00975227"/>
    <w:rsid w:val="00975DE2"/>
    <w:rsid w:val="0097734D"/>
    <w:rsid w:val="00977D05"/>
    <w:rsid w:val="009803AB"/>
    <w:rsid w:val="0098216E"/>
    <w:rsid w:val="0098282B"/>
    <w:rsid w:val="009832E1"/>
    <w:rsid w:val="00983A9F"/>
    <w:rsid w:val="00985576"/>
    <w:rsid w:val="00986766"/>
    <w:rsid w:val="00987325"/>
    <w:rsid w:val="0098740B"/>
    <w:rsid w:val="00990905"/>
    <w:rsid w:val="00990AFC"/>
    <w:rsid w:val="00992405"/>
    <w:rsid w:val="00992AF9"/>
    <w:rsid w:val="0099459E"/>
    <w:rsid w:val="00994723"/>
    <w:rsid w:val="00995484"/>
    <w:rsid w:val="00995D1E"/>
    <w:rsid w:val="009971DA"/>
    <w:rsid w:val="009A3332"/>
    <w:rsid w:val="009A71A9"/>
    <w:rsid w:val="009B28C8"/>
    <w:rsid w:val="009B2DD1"/>
    <w:rsid w:val="009B4E0C"/>
    <w:rsid w:val="009B5F26"/>
    <w:rsid w:val="009C070F"/>
    <w:rsid w:val="009C12DE"/>
    <w:rsid w:val="009C2DC8"/>
    <w:rsid w:val="009C43D3"/>
    <w:rsid w:val="009C64D6"/>
    <w:rsid w:val="009D3FA1"/>
    <w:rsid w:val="009D40CB"/>
    <w:rsid w:val="009D49AE"/>
    <w:rsid w:val="009E45D8"/>
    <w:rsid w:val="009E54CF"/>
    <w:rsid w:val="009E6CB9"/>
    <w:rsid w:val="009F09ED"/>
    <w:rsid w:val="009F1766"/>
    <w:rsid w:val="009F25CA"/>
    <w:rsid w:val="009F5565"/>
    <w:rsid w:val="009F561D"/>
    <w:rsid w:val="00A00041"/>
    <w:rsid w:val="00A01278"/>
    <w:rsid w:val="00A0159D"/>
    <w:rsid w:val="00A04A21"/>
    <w:rsid w:val="00A05F35"/>
    <w:rsid w:val="00A06207"/>
    <w:rsid w:val="00A074DF"/>
    <w:rsid w:val="00A17BB7"/>
    <w:rsid w:val="00A207ED"/>
    <w:rsid w:val="00A25A32"/>
    <w:rsid w:val="00A25C2E"/>
    <w:rsid w:val="00A26129"/>
    <w:rsid w:val="00A26FBF"/>
    <w:rsid w:val="00A279D7"/>
    <w:rsid w:val="00A30E83"/>
    <w:rsid w:val="00A310B8"/>
    <w:rsid w:val="00A31DE1"/>
    <w:rsid w:val="00A32E58"/>
    <w:rsid w:val="00A348D1"/>
    <w:rsid w:val="00A41B9D"/>
    <w:rsid w:val="00A41CC6"/>
    <w:rsid w:val="00A42055"/>
    <w:rsid w:val="00A42883"/>
    <w:rsid w:val="00A43A03"/>
    <w:rsid w:val="00A46EA4"/>
    <w:rsid w:val="00A507AF"/>
    <w:rsid w:val="00A51E84"/>
    <w:rsid w:val="00A55312"/>
    <w:rsid w:val="00A558B4"/>
    <w:rsid w:val="00A57CF1"/>
    <w:rsid w:val="00A617B0"/>
    <w:rsid w:val="00A617F3"/>
    <w:rsid w:val="00A62652"/>
    <w:rsid w:val="00A64F40"/>
    <w:rsid w:val="00A65635"/>
    <w:rsid w:val="00A65AB6"/>
    <w:rsid w:val="00A67B28"/>
    <w:rsid w:val="00A75A73"/>
    <w:rsid w:val="00A775D5"/>
    <w:rsid w:val="00A77F71"/>
    <w:rsid w:val="00A806A4"/>
    <w:rsid w:val="00A81A49"/>
    <w:rsid w:val="00A81AD8"/>
    <w:rsid w:val="00A844B6"/>
    <w:rsid w:val="00A86373"/>
    <w:rsid w:val="00A91008"/>
    <w:rsid w:val="00A920C2"/>
    <w:rsid w:val="00A9280D"/>
    <w:rsid w:val="00A9387B"/>
    <w:rsid w:val="00A939B8"/>
    <w:rsid w:val="00A93DF3"/>
    <w:rsid w:val="00A94A04"/>
    <w:rsid w:val="00A96D18"/>
    <w:rsid w:val="00A9798F"/>
    <w:rsid w:val="00A97D8B"/>
    <w:rsid w:val="00AA0018"/>
    <w:rsid w:val="00AA57A2"/>
    <w:rsid w:val="00AA6166"/>
    <w:rsid w:val="00AA6A88"/>
    <w:rsid w:val="00AA7215"/>
    <w:rsid w:val="00AA780C"/>
    <w:rsid w:val="00AB0857"/>
    <w:rsid w:val="00AB1DAA"/>
    <w:rsid w:val="00AB3B63"/>
    <w:rsid w:val="00AB3DA1"/>
    <w:rsid w:val="00AB4290"/>
    <w:rsid w:val="00AB7946"/>
    <w:rsid w:val="00AC3BE4"/>
    <w:rsid w:val="00AC6B48"/>
    <w:rsid w:val="00AD389D"/>
    <w:rsid w:val="00AD4A07"/>
    <w:rsid w:val="00AD52BE"/>
    <w:rsid w:val="00AE02B3"/>
    <w:rsid w:val="00AE1005"/>
    <w:rsid w:val="00AE28EE"/>
    <w:rsid w:val="00AE32A5"/>
    <w:rsid w:val="00AE4617"/>
    <w:rsid w:val="00AE4826"/>
    <w:rsid w:val="00AF1FD6"/>
    <w:rsid w:val="00AF236A"/>
    <w:rsid w:val="00AF2766"/>
    <w:rsid w:val="00AF5AC4"/>
    <w:rsid w:val="00B00FD7"/>
    <w:rsid w:val="00B014CB"/>
    <w:rsid w:val="00B03576"/>
    <w:rsid w:val="00B042E9"/>
    <w:rsid w:val="00B12624"/>
    <w:rsid w:val="00B13C63"/>
    <w:rsid w:val="00B1440A"/>
    <w:rsid w:val="00B14F45"/>
    <w:rsid w:val="00B20CBB"/>
    <w:rsid w:val="00B21B29"/>
    <w:rsid w:val="00B23959"/>
    <w:rsid w:val="00B23DF7"/>
    <w:rsid w:val="00B27308"/>
    <w:rsid w:val="00B307A1"/>
    <w:rsid w:val="00B3083D"/>
    <w:rsid w:val="00B30898"/>
    <w:rsid w:val="00B3094C"/>
    <w:rsid w:val="00B32BE5"/>
    <w:rsid w:val="00B32E89"/>
    <w:rsid w:val="00B36A02"/>
    <w:rsid w:val="00B36EC4"/>
    <w:rsid w:val="00B41A47"/>
    <w:rsid w:val="00B44F17"/>
    <w:rsid w:val="00B46F59"/>
    <w:rsid w:val="00B472FB"/>
    <w:rsid w:val="00B54679"/>
    <w:rsid w:val="00B61493"/>
    <w:rsid w:val="00B62028"/>
    <w:rsid w:val="00B62FF2"/>
    <w:rsid w:val="00B63589"/>
    <w:rsid w:val="00B675A5"/>
    <w:rsid w:val="00B71081"/>
    <w:rsid w:val="00B7265D"/>
    <w:rsid w:val="00B72B93"/>
    <w:rsid w:val="00B73186"/>
    <w:rsid w:val="00B73CD9"/>
    <w:rsid w:val="00B7457B"/>
    <w:rsid w:val="00B74D47"/>
    <w:rsid w:val="00B74FBC"/>
    <w:rsid w:val="00B81831"/>
    <w:rsid w:val="00B81AF0"/>
    <w:rsid w:val="00B830DB"/>
    <w:rsid w:val="00B83F54"/>
    <w:rsid w:val="00B85CD9"/>
    <w:rsid w:val="00B908B7"/>
    <w:rsid w:val="00B908BE"/>
    <w:rsid w:val="00B9225E"/>
    <w:rsid w:val="00B945ED"/>
    <w:rsid w:val="00BA3733"/>
    <w:rsid w:val="00BA5C8E"/>
    <w:rsid w:val="00BA69E8"/>
    <w:rsid w:val="00BA7793"/>
    <w:rsid w:val="00BB1EF9"/>
    <w:rsid w:val="00BB32E4"/>
    <w:rsid w:val="00BB3A83"/>
    <w:rsid w:val="00BB489B"/>
    <w:rsid w:val="00BB4F90"/>
    <w:rsid w:val="00BB4FCF"/>
    <w:rsid w:val="00BC1AC2"/>
    <w:rsid w:val="00BC1B69"/>
    <w:rsid w:val="00BC3003"/>
    <w:rsid w:val="00BC5BF9"/>
    <w:rsid w:val="00BD0C98"/>
    <w:rsid w:val="00BD3790"/>
    <w:rsid w:val="00BD4188"/>
    <w:rsid w:val="00BD41EB"/>
    <w:rsid w:val="00BD4E7E"/>
    <w:rsid w:val="00BD6111"/>
    <w:rsid w:val="00BD6EC5"/>
    <w:rsid w:val="00BE1783"/>
    <w:rsid w:val="00BE21C2"/>
    <w:rsid w:val="00BE52B3"/>
    <w:rsid w:val="00BE54D2"/>
    <w:rsid w:val="00BE6D1D"/>
    <w:rsid w:val="00BF0298"/>
    <w:rsid w:val="00BF1DDE"/>
    <w:rsid w:val="00BF2DF4"/>
    <w:rsid w:val="00BF45B8"/>
    <w:rsid w:val="00BF4621"/>
    <w:rsid w:val="00BF5400"/>
    <w:rsid w:val="00C00AB6"/>
    <w:rsid w:val="00C04782"/>
    <w:rsid w:val="00C10132"/>
    <w:rsid w:val="00C10471"/>
    <w:rsid w:val="00C13F32"/>
    <w:rsid w:val="00C16EF7"/>
    <w:rsid w:val="00C2162E"/>
    <w:rsid w:val="00C232F2"/>
    <w:rsid w:val="00C25BE9"/>
    <w:rsid w:val="00C3202B"/>
    <w:rsid w:val="00C32439"/>
    <w:rsid w:val="00C358D5"/>
    <w:rsid w:val="00C42C98"/>
    <w:rsid w:val="00C45082"/>
    <w:rsid w:val="00C46444"/>
    <w:rsid w:val="00C475C6"/>
    <w:rsid w:val="00C5298A"/>
    <w:rsid w:val="00C54B03"/>
    <w:rsid w:val="00C54B50"/>
    <w:rsid w:val="00C64A09"/>
    <w:rsid w:val="00C65A86"/>
    <w:rsid w:val="00C70B3F"/>
    <w:rsid w:val="00C71AF9"/>
    <w:rsid w:val="00C724E9"/>
    <w:rsid w:val="00C7446D"/>
    <w:rsid w:val="00C751D6"/>
    <w:rsid w:val="00C810A6"/>
    <w:rsid w:val="00C81A81"/>
    <w:rsid w:val="00C821FD"/>
    <w:rsid w:val="00C90275"/>
    <w:rsid w:val="00C91878"/>
    <w:rsid w:val="00C9331F"/>
    <w:rsid w:val="00C9351F"/>
    <w:rsid w:val="00C943A8"/>
    <w:rsid w:val="00C949DD"/>
    <w:rsid w:val="00C97334"/>
    <w:rsid w:val="00C9795B"/>
    <w:rsid w:val="00CA19DC"/>
    <w:rsid w:val="00CA3F64"/>
    <w:rsid w:val="00CA5A29"/>
    <w:rsid w:val="00CA67CB"/>
    <w:rsid w:val="00CA708A"/>
    <w:rsid w:val="00CB0935"/>
    <w:rsid w:val="00CB095D"/>
    <w:rsid w:val="00CB139C"/>
    <w:rsid w:val="00CB1A40"/>
    <w:rsid w:val="00CB21A0"/>
    <w:rsid w:val="00CB39C3"/>
    <w:rsid w:val="00CB765E"/>
    <w:rsid w:val="00CC30D5"/>
    <w:rsid w:val="00CC643B"/>
    <w:rsid w:val="00CC66F8"/>
    <w:rsid w:val="00CD462B"/>
    <w:rsid w:val="00CD5516"/>
    <w:rsid w:val="00CE04C0"/>
    <w:rsid w:val="00CE4D22"/>
    <w:rsid w:val="00CE66AE"/>
    <w:rsid w:val="00CF45A2"/>
    <w:rsid w:val="00CF54A8"/>
    <w:rsid w:val="00CF72B4"/>
    <w:rsid w:val="00D021B2"/>
    <w:rsid w:val="00D07D97"/>
    <w:rsid w:val="00D111BA"/>
    <w:rsid w:val="00D11289"/>
    <w:rsid w:val="00D11463"/>
    <w:rsid w:val="00D11839"/>
    <w:rsid w:val="00D1217B"/>
    <w:rsid w:val="00D121A7"/>
    <w:rsid w:val="00D1239B"/>
    <w:rsid w:val="00D12421"/>
    <w:rsid w:val="00D17C43"/>
    <w:rsid w:val="00D2013A"/>
    <w:rsid w:val="00D22424"/>
    <w:rsid w:val="00D22453"/>
    <w:rsid w:val="00D2386E"/>
    <w:rsid w:val="00D314BA"/>
    <w:rsid w:val="00D33547"/>
    <w:rsid w:val="00D356C5"/>
    <w:rsid w:val="00D36F42"/>
    <w:rsid w:val="00D37E58"/>
    <w:rsid w:val="00D40E85"/>
    <w:rsid w:val="00D4105E"/>
    <w:rsid w:val="00D41A25"/>
    <w:rsid w:val="00D41B20"/>
    <w:rsid w:val="00D430CF"/>
    <w:rsid w:val="00D47917"/>
    <w:rsid w:val="00D52520"/>
    <w:rsid w:val="00D53325"/>
    <w:rsid w:val="00D550E8"/>
    <w:rsid w:val="00D56762"/>
    <w:rsid w:val="00D5708A"/>
    <w:rsid w:val="00D5780B"/>
    <w:rsid w:val="00D64EFA"/>
    <w:rsid w:val="00D744C0"/>
    <w:rsid w:val="00D749D3"/>
    <w:rsid w:val="00D77588"/>
    <w:rsid w:val="00D77FF0"/>
    <w:rsid w:val="00D80A95"/>
    <w:rsid w:val="00D81C5D"/>
    <w:rsid w:val="00D82461"/>
    <w:rsid w:val="00D83FDA"/>
    <w:rsid w:val="00D85F4A"/>
    <w:rsid w:val="00D864E3"/>
    <w:rsid w:val="00D8721F"/>
    <w:rsid w:val="00D873DA"/>
    <w:rsid w:val="00D87B56"/>
    <w:rsid w:val="00D91A95"/>
    <w:rsid w:val="00D91B9E"/>
    <w:rsid w:val="00D9205F"/>
    <w:rsid w:val="00D92573"/>
    <w:rsid w:val="00D937B5"/>
    <w:rsid w:val="00D95B77"/>
    <w:rsid w:val="00D97334"/>
    <w:rsid w:val="00D97453"/>
    <w:rsid w:val="00DA057F"/>
    <w:rsid w:val="00DA0C12"/>
    <w:rsid w:val="00DA0C6F"/>
    <w:rsid w:val="00DA14BD"/>
    <w:rsid w:val="00DA445D"/>
    <w:rsid w:val="00DA6A5D"/>
    <w:rsid w:val="00DB14F4"/>
    <w:rsid w:val="00DB1867"/>
    <w:rsid w:val="00DB26DA"/>
    <w:rsid w:val="00DB35B4"/>
    <w:rsid w:val="00DB35B6"/>
    <w:rsid w:val="00DB6698"/>
    <w:rsid w:val="00DB6D11"/>
    <w:rsid w:val="00DB78E7"/>
    <w:rsid w:val="00DC125F"/>
    <w:rsid w:val="00DC1364"/>
    <w:rsid w:val="00DC1862"/>
    <w:rsid w:val="00DC318A"/>
    <w:rsid w:val="00DC4EBE"/>
    <w:rsid w:val="00DC5C68"/>
    <w:rsid w:val="00DC6AC6"/>
    <w:rsid w:val="00DD1EBE"/>
    <w:rsid w:val="00DD5F6D"/>
    <w:rsid w:val="00DD6872"/>
    <w:rsid w:val="00DE20EE"/>
    <w:rsid w:val="00DE3A7B"/>
    <w:rsid w:val="00DE47B8"/>
    <w:rsid w:val="00DE4F48"/>
    <w:rsid w:val="00DE5154"/>
    <w:rsid w:val="00DF01F5"/>
    <w:rsid w:val="00DF063F"/>
    <w:rsid w:val="00DF3780"/>
    <w:rsid w:val="00DF6CD6"/>
    <w:rsid w:val="00E00EAF"/>
    <w:rsid w:val="00E03A6C"/>
    <w:rsid w:val="00E059A1"/>
    <w:rsid w:val="00E06286"/>
    <w:rsid w:val="00E12E0C"/>
    <w:rsid w:val="00E13627"/>
    <w:rsid w:val="00E1436B"/>
    <w:rsid w:val="00E157B7"/>
    <w:rsid w:val="00E15EB9"/>
    <w:rsid w:val="00E234C9"/>
    <w:rsid w:val="00E23E9A"/>
    <w:rsid w:val="00E25F16"/>
    <w:rsid w:val="00E27431"/>
    <w:rsid w:val="00E32DD4"/>
    <w:rsid w:val="00E3476A"/>
    <w:rsid w:val="00E35F4E"/>
    <w:rsid w:val="00E436C5"/>
    <w:rsid w:val="00E44076"/>
    <w:rsid w:val="00E45EB7"/>
    <w:rsid w:val="00E516FE"/>
    <w:rsid w:val="00E52D5C"/>
    <w:rsid w:val="00E55099"/>
    <w:rsid w:val="00E561F6"/>
    <w:rsid w:val="00E57A01"/>
    <w:rsid w:val="00E60106"/>
    <w:rsid w:val="00E609A3"/>
    <w:rsid w:val="00E6154A"/>
    <w:rsid w:val="00E61F2C"/>
    <w:rsid w:val="00E62C16"/>
    <w:rsid w:val="00E6336D"/>
    <w:rsid w:val="00E66C3A"/>
    <w:rsid w:val="00E719F2"/>
    <w:rsid w:val="00E75100"/>
    <w:rsid w:val="00E75A3B"/>
    <w:rsid w:val="00E81238"/>
    <w:rsid w:val="00E8145D"/>
    <w:rsid w:val="00E83341"/>
    <w:rsid w:val="00E84938"/>
    <w:rsid w:val="00E869BE"/>
    <w:rsid w:val="00E87A44"/>
    <w:rsid w:val="00E915E6"/>
    <w:rsid w:val="00EA278F"/>
    <w:rsid w:val="00EA3D5E"/>
    <w:rsid w:val="00EA4A22"/>
    <w:rsid w:val="00EB0D55"/>
    <w:rsid w:val="00EB2F74"/>
    <w:rsid w:val="00EB3CBB"/>
    <w:rsid w:val="00EB48D6"/>
    <w:rsid w:val="00EB70B9"/>
    <w:rsid w:val="00EC1CEE"/>
    <w:rsid w:val="00EC2971"/>
    <w:rsid w:val="00EC4D3D"/>
    <w:rsid w:val="00EC7FD2"/>
    <w:rsid w:val="00ED0865"/>
    <w:rsid w:val="00ED1C82"/>
    <w:rsid w:val="00ED278C"/>
    <w:rsid w:val="00ED7550"/>
    <w:rsid w:val="00EE1A49"/>
    <w:rsid w:val="00EE4576"/>
    <w:rsid w:val="00EE5763"/>
    <w:rsid w:val="00EF0063"/>
    <w:rsid w:val="00EF1BA9"/>
    <w:rsid w:val="00EF1F06"/>
    <w:rsid w:val="00EF2527"/>
    <w:rsid w:val="00EF5945"/>
    <w:rsid w:val="00EF7B66"/>
    <w:rsid w:val="00F045D6"/>
    <w:rsid w:val="00F04D96"/>
    <w:rsid w:val="00F06649"/>
    <w:rsid w:val="00F06AF2"/>
    <w:rsid w:val="00F121E1"/>
    <w:rsid w:val="00F121E3"/>
    <w:rsid w:val="00F20953"/>
    <w:rsid w:val="00F21E3C"/>
    <w:rsid w:val="00F25C10"/>
    <w:rsid w:val="00F25DB9"/>
    <w:rsid w:val="00F264C4"/>
    <w:rsid w:val="00F2699B"/>
    <w:rsid w:val="00F304AF"/>
    <w:rsid w:val="00F30906"/>
    <w:rsid w:val="00F32423"/>
    <w:rsid w:val="00F34324"/>
    <w:rsid w:val="00F34F03"/>
    <w:rsid w:val="00F36094"/>
    <w:rsid w:val="00F4017C"/>
    <w:rsid w:val="00F46A7F"/>
    <w:rsid w:val="00F508CA"/>
    <w:rsid w:val="00F514D2"/>
    <w:rsid w:val="00F526F9"/>
    <w:rsid w:val="00F56EFE"/>
    <w:rsid w:val="00F60EE7"/>
    <w:rsid w:val="00F61D33"/>
    <w:rsid w:val="00F63761"/>
    <w:rsid w:val="00F66858"/>
    <w:rsid w:val="00F70944"/>
    <w:rsid w:val="00F70CCF"/>
    <w:rsid w:val="00F70D08"/>
    <w:rsid w:val="00F70F96"/>
    <w:rsid w:val="00F72C9C"/>
    <w:rsid w:val="00F74653"/>
    <w:rsid w:val="00F77952"/>
    <w:rsid w:val="00F77E99"/>
    <w:rsid w:val="00F8391B"/>
    <w:rsid w:val="00F87FF3"/>
    <w:rsid w:val="00F91F1C"/>
    <w:rsid w:val="00F931A4"/>
    <w:rsid w:val="00F9452A"/>
    <w:rsid w:val="00F95881"/>
    <w:rsid w:val="00F97C18"/>
    <w:rsid w:val="00FA0ACC"/>
    <w:rsid w:val="00FA154F"/>
    <w:rsid w:val="00FA365C"/>
    <w:rsid w:val="00FA5A7B"/>
    <w:rsid w:val="00FB0B5F"/>
    <w:rsid w:val="00FB3B06"/>
    <w:rsid w:val="00FB5F83"/>
    <w:rsid w:val="00FB6322"/>
    <w:rsid w:val="00FC0BE8"/>
    <w:rsid w:val="00FC33FF"/>
    <w:rsid w:val="00FC40BD"/>
    <w:rsid w:val="00FC4F38"/>
    <w:rsid w:val="00FC677E"/>
    <w:rsid w:val="00FD01F0"/>
    <w:rsid w:val="00FD4074"/>
    <w:rsid w:val="00FD5890"/>
    <w:rsid w:val="00FD5DE0"/>
    <w:rsid w:val="00FD790E"/>
    <w:rsid w:val="00FE0C75"/>
    <w:rsid w:val="00FE2263"/>
    <w:rsid w:val="00FE24E4"/>
    <w:rsid w:val="00FE2ADA"/>
    <w:rsid w:val="00FE356C"/>
    <w:rsid w:val="00FE5A43"/>
    <w:rsid w:val="00FF095D"/>
    <w:rsid w:val="00FF0D86"/>
    <w:rsid w:val="00FF264E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A17C3"/>
  <w15:docId w15:val="{5C4DFFA1-ADE6-4AF7-8DB0-D791EDC3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8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sid w:val="007E6F6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E6F6A"/>
    <w:rPr>
      <w:rFonts w:ascii="Arial" w:hAnsi="Arial" w:cs="Arial"/>
      <w:color w:val="auto"/>
      <w:sz w:val="20"/>
    </w:rPr>
  </w:style>
  <w:style w:type="paragraph" w:styleId="Title">
    <w:name w:val="Title"/>
    <w:basedOn w:val="Normal"/>
    <w:qFormat/>
    <w:rsid w:val="007E6F6A"/>
    <w:pPr>
      <w:jc w:val="center"/>
    </w:pPr>
    <w:rPr>
      <w:b/>
    </w:rPr>
  </w:style>
  <w:style w:type="paragraph" w:styleId="FootnoteText">
    <w:name w:val="footnote text"/>
    <w:basedOn w:val="Normal"/>
    <w:link w:val="FootnoteTextChar"/>
    <w:semiHidden/>
    <w:rsid w:val="007E6F6A"/>
    <w:rPr>
      <w:sz w:val="20"/>
    </w:rPr>
  </w:style>
  <w:style w:type="character" w:styleId="FootnoteReference">
    <w:name w:val="footnote reference"/>
    <w:basedOn w:val="DefaultParagraphFont"/>
    <w:semiHidden/>
    <w:rsid w:val="007E6F6A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E6F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E6F6A"/>
  </w:style>
  <w:style w:type="paragraph" w:styleId="Header">
    <w:name w:val="header"/>
    <w:basedOn w:val="Normal"/>
    <w:link w:val="HeaderChar"/>
    <w:uiPriority w:val="99"/>
    <w:rsid w:val="007E6F6A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E6F6A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rsid w:val="007D54C8"/>
    <w:pPr>
      <w:jc w:val="both"/>
    </w:pPr>
    <w:rPr>
      <w:lang w:eastAsia="en-US"/>
    </w:rPr>
  </w:style>
  <w:style w:type="paragraph" w:styleId="BodyText2">
    <w:name w:val="Body Text 2"/>
    <w:basedOn w:val="Normal"/>
    <w:rsid w:val="007D54C8"/>
    <w:pPr>
      <w:jc w:val="both"/>
    </w:pPr>
    <w:rPr>
      <w:color w:val="0000FF"/>
      <w:lang w:eastAsia="en-US"/>
    </w:rPr>
  </w:style>
  <w:style w:type="table" w:styleId="TableGrid">
    <w:name w:val="Table Grid"/>
    <w:basedOn w:val="TableNormal"/>
    <w:rsid w:val="00A06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A3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30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3E9"/>
    <w:pPr>
      <w:ind w:left="720"/>
      <w:contextualSpacing/>
    </w:pPr>
  </w:style>
  <w:style w:type="character" w:styleId="Strong">
    <w:name w:val="Strong"/>
    <w:basedOn w:val="DefaultParagraphFont"/>
    <w:qFormat/>
    <w:rsid w:val="00B472F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021B2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021B2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AF5AC4"/>
  </w:style>
  <w:style w:type="character" w:customStyle="1" w:styleId="BodyTextChar">
    <w:name w:val="Body Text Char"/>
    <w:basedOn w:val="DefaultParagraphFont"/>
    <w:link w:val="BodyText"/>
    <w:rsid w:val="00C16EF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iller\2023\Grafik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iller\2023\Grafik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234280391243593E-2"/>
          <c:y val="3.2206119162640899E-2"/>
          <c:w val="0.89753143921751277"/>
          <c:h val="0.790821256038647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Sheet1!$E$2</c:f>
              <c:strCache>
                <c:ptCount val="1"/>
                <c:pt idx="0">
                  <c:v>Kişi Başına Mevduat (TL)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Sheet1!$A$7:$A$11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Sheet1!$E$7:$E$11</c:f>
              <c:numCache>
                <c:formatCode>#,##0</c:formatCode>
                <c:ptCount val="5"/>
                <c:pt idx="0">
                  <c:v>29031.802038086771</c:v>
                </c:pt>
                <c:pt idx="1">
                  <c:v>38848.801625548491</c:v>
                </c:pt>
                <c:pt idx="2">
                  <c:v>58121.837662940692</c:v>
                </c:pt>
                <c:pt idx="3">
                  <c:v>97474</c:v>
                </c:pt>
                <c:pt idx="4">
                  <c:v>163773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42-4164-B5B1-61CB42E01C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4487136"/>
        <c:axId val="604487680"/>
      </c:barChart>
      <c:catAx>
        <c:axId val="604487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04487680"/>
        <c:crosses val="autoZero"/>
        <c:auto val="1"/>
        <c:lblAlgn val="ctr"/>
        <c:lblOffset val="100"/>
        <c:noMultiLvlLbl val="0"/>
      </c:catAx>
      <c:valAx>
        <c:axId val="60448768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604487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480916030534348E-2"/>
          <c:y val="2.9207740051113547E-2"/>
          <c:w val="0.91889312977099236"/>
          <c:h val="0.81029572836801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Sheet1!$H$2</c:f>
              <c:strCache>
                <c:ptCount val="1"/>
                <c:pt idx="0">
                  <c:v>Kişi Başına Kredi (TL)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Sheet1!$A$7:$A$11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Sheet1!$H$7:$H$11</c:f>
              <c:numCache>
                <c:formatCode>#,##0</c:formatCode>
                <c:ptCount val="5"/>
                <c:pt idx="0">
                  <c:v>29283.638294155666</c:v>
                </c:pt>
                <c:pt idx="1">
                  <c:v>38820.158323956355</c:v>
                </c:pt>
                <c:pt idx="2">
                  <c:v>51918.875131274057</c:v>
                </c:pt>
                <c:pt idx="3">
                  <c:v>79760</c:v>
                </c:pt>
                <c:pt idx="4">
                  <c:v>123658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39-4604-BE04-16F222704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4494208"/>
        <c:axId val="604488224"/>
      </c:barChart>
      <c:catAx>
        <c:axId val="60449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04488224"/>
        <c:crosses val="autoZero"/>
        <c:auto val="1"/>
        <c:lblAlgn val="ctr"/>
        <c:lblOffset val="100"/>
        <c:noMultiLvlLbl val="0"/>
      </c:catAx>
      <c:valAx>
        <c:axId val="60448822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604494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771546-dc50-4e1c-b52d-e098fd7651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922CAF6796CA44188849BC2E7737E03" ma:contentTypeVersion="9" ma:contentTypeDescription="Yeni belge oluşturun." ma:contentTypeScope="" ma:versionID="3ab5c6127aefd796a3d4d810715e16e8">
  <xsd:schema xmlns:xsd="http://www.w3.org/2001/XMLSchema" xmlns:xs="http://www.w3.org/2001/XMLSchema" xmlns:p="http://schemas.microsoft.com/office/2006/metadata/properties" xmlns:ns3="6e771546-dc50-4e1c-b52d-e098fd7651f6" xmlns:ns4="2796da4e-b19d-4177-ae3d-97cebc1a6c60" targetNamespace="http://schemas.microsoft.com/office/2006/metadata/properties" ma:root="true" ma:fieldsID="fda6fa0b661d256b9ef8ba9fef649dad" ns3:_="" ns4:_="">
    <xsd:import namespace="6e771546-dc50-4e1c-b52d-e098fd7651f6"/>
    <xsd:import namespace="2796da4e-b19d-4177-ae3d-97cebc1a6c6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71546-dc50-4e1c-b52d-e098fd7651f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6da4e-b19d-4177-ae3d-97cebc1a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B857933-973A-43BE-9C5D-777671E094EE}">
  <ds:schemaRefs>
    <ds:schemaRef ds:uri="http://schemas.microsoft.com/office/2006/metadata/properties"/>
    <ds:schemaRef ds:uri="http://www.w3.org/XML/1998/namespace"/>
    <ds:schemaRef ds:uri="2796da4e-b19d-4177-ae3d-97cebc1a6c60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e771546-dc50-4e1c-b52d-e098fd7651f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115A85-72BE-47BA-B66E-999EE9157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71546-dc50-4e1c-b52d-e098fd7651f6"/>
    <ds:schemaRef ds:uri="2796da4e-b19d-4177-ae3d-97cebc1a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25BE1-8A56-465D-9DCA-DF59ABC259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BE462-AB99-45FC-99E1-6338E488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3003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Bankacılık Sisteminin Coğrafi Dağılımı</vt:lpstr>
    </vt:vector>
  </TitlesOfParts>
  <Company>A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Bankacılık Sisteminin Coğrafi Dağılımı</dc:title>
  <dc:creator>InanE</dc:creator>
  <cp:lastModifiedBy>gkilinc</cp:lastModifiedBy>
  <cp:revision>2</cp:revision>
  <cp:lastPrinted>2024-06-25T06:21:00Z</cp:lastPrinted>
  <dcterms:created xsi:type="dcterms:W3CDTF">2024-06-27T14:18:00Z</dcterms:created>
  <dcterms:modified xsi:type="dcterms:W3CDTF">2024-06-27T14:18:00Z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0x0101007922CAF6796CA44188849BC2E7737E03</vt:lpwstr>
  </property>
</Properties>
</file>