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A5" w:rsidRDefault="00F950A5" w:rsidP="004D2FE0">
      <w:pPr>
        <w:jc w:val="center"/>
        <w:rPr>
          <w:rFonts w:ascii="Arial" w:hAnsi="Arial" w:cs="Arial"/>
          <w:b/>
          <w:sz w:val="28"/>
          <w:szCs w:val="28"/>
        </w:rPr>
      </w:pPr>
    </w:p>
    <w:p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:rsidR="006A5465" w:rsidRPr="00D84197" w:rsidRDefault="004357F6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D21E93">
        <w:rPr>
          <w:rFonts w:ascii="Arial" w:hAnsi="Arial" w:cs="Arial"/>
          <w:bCs/>
          <w:szCs w:val="24"/>
        </w:rPr>
        <w:t xml:space="preserve"> </w:t>
      </w:r>
      <w:r w:rsidR="006F25E4">
        <w:rPr>
          <w:rFonts w:ascii="Arial" w:hAnsi="Arial" w:cs="Arial"/>
          <w:bCs/>
          <w:szCs w:val="24"/>
        </w:rPr>
        <w:t>2024</w:t>
      </w:r>
    </w:p>
    <w:p w:rsidR="006A5465" w:rsidRPr="00F950A5" w:rsidRDefault="006A5465" w:rsidP="00CB12B8">
      <w:pPr>
        <w:pStyle w:val="BodyText"/>
        <w:rPr>
          <w:rFonts w:ascii="Arial" w:hAnsi="Arial" w:cs="Arial"/>
          <w:sz w:val="22"/>
          <w:szCs w:val="22"/>
        </w:rPr>
      </w:pPr>
    </w:p>
    <w:p w:rsidR="001B580B" w:rsidRPr="006F25E4" w:rsidRDefault="001B580B" w:rsidP="00CB12B8">
      <w:pPr>
        <w:pStyle w:val="BodyText"/>
        <w:rPr>
          <w:rFonts w:ascii="Arial" w:hAnsi="Arial" w:cs="Arial"/>
          <w:sz w:val="22"/>
          <w:szCs w:val="22"/>
        </w:rPr>
      </w:pPr>
      <w:r w:rsidRPr="006F25E4">
        <w:rPr>
          <w:rFonts w:ascii="Arial" w:hAnsi="Arial" w:cs="Arial"/>
          <w:sz w:val="22"/>
          <w:szCs w:val="22"/>
        </w:rPr>
        <w:t>Bu raporda yer alan istatistikler, Türkiye Ba</w:t>
      </w:r>
      <w:r w:rsidR="006C57C3" w:rsidRPr="006F25E4">
        <w:rPr>
          <w:rFonts w:ascii="Arial" w:hAnsi="Arial" w:cs="Arial"/>
          <w:sz w:val="22"/>
          <w:szCs w:val="22"/>
        </w:rPr>
        <w:t xml:space="preserve">nkalar Birliği üyesi </w:t>
      </w:r>
      <w:r w:rsidR="005918FC" w:rsidRPr="006F25E4">
        <w:rPr>
          <w:rFonts w:ascii="Arial" w:hAnsi="Arial" w:cs="Arial"/>
          <w:sz w:val="22"/>
          <w:szCs w:val="22"/>
        </w:rPr>
        <w:t xml:space="preserve">ve </w:t>
      </w:r>
      <w:r w:rsidRPr="006F25E4">
        <w:rPr>
          <w:rFonts w:ascii="Arial" w:hAnsi="Arial" w:cs="Arial"/>
          <w:sz w:val="22"/>
          <w:szCs w:val="22"/>
        </w:rPr>
        <w:t>inter</w:t>
      </w:r>
      <w:r w:rsidR="00BB13F8" w:rsidRPr="006F25E4">
        <w:rPr>
          <w:rFonts w:ascii="Arial" w:hAnsi="Arial" w:cs="Arial"/>
          <w:sz w:val="22"/>
          <w:szCs w:val="22"/>
        </w:rPr>
        <w:t>net bankacılığı hizmeti veren 2</w:t>
      </w:r>
      <w:r w:rsidR="007A6381" w:rsidRPr="006F25E4">
        <w:rPr>
          <w:rFonts w:ascii="Arial" w:hAnsi="Arial" w:cs="Arial"/>
          <w:sz w:val="22"/>
          <w:szCs w:val="22"/>
        </w:rPr>
        <w:t>8</w:t>
      </w:r>
      <w:r w:rsidRPr="006F25E4">
        <w:rPr>
          <w:rFonts w:ascii="Arial" w:hAnsi="Arial" w:cs="Arial"/>
          <w:sz w:val="22"/>
          <w:szCs w:val="22"/>
        </w:rPr>
        <w:t xml:space="preserve"> banka ile </w:t>
      </w:r>
      <w:r w:rsidRPr="006F25E4">
        <w:rPr>
          <w:rFonts w:ascii="Arial" w:hAnsi="Arial"/>
          <w:sz w:val="22"/>
          <w:szCs w:val="22"/>
        </w:rPr>
        <w:t>m</w:t>
      </w:r>
      <w:r w:rsidR="00391623" w:rsidRPr="006F25E4">
        <w:rPr>
          <w:rFonts w:ascii="Arial" w:hAnsi="Arial"/>
          <w:sz w:val="22"/>
          <w:szCs w:val="22"/>
        </w:rPr>
        <w:t xml:space="preserve">obil bankacılık hizmeti veren </w:t>
      </w:r>
      <w:r w:rsidR="00BB13F8" w:rsidRPr="006F25E4">
        <w:rPr>
          <w:rFonts w:ascii="Arial" w:hAnsi="Arial"/>
          <w:sz w:val="22"/>
          <w:szCs w:val="22"/>
        </w:rPr>
        <w:t>22</w:t>
      </w:r>
      <w:r w:rsidRPr="006F25E4">
        <w:rPr>
          <w:rFonts w:ascii="Arial" w:hAnsi="Arial"/>
          <w:sz w:val="22"/>
          <w:szCs w:val="22"/>
        </w:rPr>
        <w:t xml:space="preserve"> banka verisinden </w:t>
      </w:r>
      <w:r w:rsidRPr="006F25E4">
        <w:rPr>
          <w:rFonts w:ascii="Arial" w:hAnsi="Arial" w:cs="Arial"/>
          <w:sz w:val="22"/>
          <w:szCs w:val="22"/>
        </w:rPr>
        <w:t>oluşmaktadır.</w:t>
      </w:r>
      <w:r w:rsidRPr="006F25E4">
        <w:rPr>
          <w:rFonts w:ascii="Arial" w:hAnsi="Arial"/>
          <w:sz w:val="22"/>
          <w:szCs w:val="22"/>
        </w:rPr>
        <w:t xml:space="preserve"> </w:t>
      </w:r>
    </w:p>
    <w:p w:rsidR="004C0B4B" w:rsidRPr="006F25E4" w:rsidRDefault="004C0B4B" w:rsidP="00CB71D5">
      <w:pPr>
        <w:jc w:val="both"/>
        <w:rPr>
          <w:rFonts w:ascii="Arial" w:hAnsi="Arial"/>
          <w:b/>
          <w:color w:val="000000"/>
          <w:szCs w:val="24"/>
        </w:rPr>
      </w:pPr>
    </w:p>
    <w:p w:rsidR="00EC0D5C" w:rsidRPr="006F25E4" w:rsidRDefault="00CB71D5" w:rsidP="00CB71D5">
      <w:pPr>
        <w:jc w:val="both"/>
        <w:rPr>
          <w:rFonts w:ascii="Arial" w:hAnsi="Arial"/>
          <w:b/>
          <w:color w:val="000000"/>
          <w:szCs w:val="24"/>
        </w:rPr>
      </w:pPr>
      <w:r w:rsidRPr="006F25E4">
        <w:rPr>
          <w:rFonts w:ascii="Arial" w:hAnsi="Arial"/>
          <w:b/>
          <w:color w:val="000000"/>
          <w:szCs w:val="24"/>
        </w:rPr>
        <w:t xml:space="preserve">I. </w:t>
      </w:r>
      <w:r w:rsidR="00B16366" w:rsidRPr="006F25E4">
        <w:rPr>
          <w:rFonts w:ascii="Arial" w:hAnsi="Arial"/>
          <w:b/>
          <w:color w:val="000000"/>
          <w:szCs w:val="24"/>
        </w:rPr>
        <w:t>Dijital Bankacılık</w:t>
      </w:r>
      <w:r w:rsidR="00796318" w:rsidRPr="006F25E4">
        <w:rPr>
          <w:rFonts w:ascii="Arial" w:hAnsi="Arial"/>
          <w:b/>
          <w:color w:val="000000"/>
          <w:szCs w:val="24"/>
        </w:rPr>
        <w:t xml:space="preserve"> İstatistikleri</w:t>
      </w:r>
    </w:p>
    <w:p w:rsidR="008A2E80" w:rsidRPr="006F25E4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  <w:highlight w:val="yellow"/>
        </w:rPr>
      </w:pPr>
    </w:p>
    <w:p w:rsidR="008B3601" w:rsidRPr="004357F6" w:rsidRDefault="00A14853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F602A2"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ktif </w:t>
      </w:r>
      <w:r w:rsidRPr="00F602A2"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4357F6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65441" w:rsidRPr="004357F6">
        <w:rPr>
          <w:rFonts w:ascii="Arial" w:hAnsi="Arial" w:cs="Arial"/>
          <w:b/>
          <w:color w:val="000000"/>
          <w:sz w:val="22"/>
          <w:szCs w:val="22"/>
        </w:rPr>
        <w:t>yaklaşık 1</w:t>
      </w:r>
      <w:r w:rsidR="001B4DE9" w:rsidRPr="004357F6">
        <w:rPr>
          <w:rFonts w:ascii="Arial" w:hAnsi="Arial" w:cs="Arial"/>
          <w:b/>
          <w:color w:val="000000"/>
          <w:sz w:val="22"/>
          <w:szCs w:val="22"/>
        </w:rPr>
        <w:t>1</w:t>
      </w:r>
      <w:r w:rsidR="004357F6" w:rsidRPr="004357F6">
        <w:rPr>
          <w:rFonts w:ascii="Arial" w:hAnsi="Arial" w:cs="Arial"/>
          <w:b/>
          <w:color w:val="000000"/>
          <w:sz w:val="22"/>
          <w:szCs w:val="22"/>
        </w:rPr>
        <w:t>5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 w:rsidRPr="004357F6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 w:rsidRPr="004357F6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:rsidR="00EC0D5C" w:rsidRPr="004357F6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:rsidR="00471B63" w:rsidRPr="00730375" w:rsidRDefault="004357F6" w:rsidP="00471B63">
      <w:pPr>
        <w:pStyle w:val="BodyText"/>
        <w:rPr>
          <w:rFonts w:ascii="Arial" w:hAnsi="Arial" w:cs="Arial"/>
          <w:sz w:val="22"/>
          <w:szCs w:val="22"/>
        </w:rPr>
      </w:pPr>
      <w:r w:rsidRPr="004357F6">
        <w:rPr>
          <w:rFonts w:ascii="Arial" w:hAnsi="Arial" w:cs="Arial"/>
          <w:sz w:val="22"/>
          <w:szCs w:val="22"/>
        </w:rPr>
        <w:t>Nisan-Haziran</w:t>
      </w:r>
      <w:r w:rsidR="00EC71CE" w:rsidRPr="004357F6">
        <w:rPr>
          <w:rFonts w:ascii="Arial" w:hAnsi="Arial" w:cs="Arial"/>
          <w:sz w:val="22"/>
          <w:szCs w:val="22"/>
        </w:rPr>
        <w:t xml:space="preserve"> 2024</w:t>
      </w:r>
      <w:r w:rsidR="00B13BDF" w:rsidRPr="004357F6">
        <w:rPr>
          <w:rFonts w:ascii="Arial" w:hAnsi="Arial" w:cs="Arial"/>
          <w:sz w:val="22"/>
          <w:szCs w:val="22"/>
        </w:rPr>
        <w:t xml:space="preserve"> dönemi içinde toplam (bireysel ve kurumsal) aktif dijital bankacılık müşteri </w:t>
      </w:r>
      <w:r w:rsidR="00AE7F48" w:rsidRPr="004357F6">
        <w:rPr>
          <w:rFonts w:ascii="Arial" w:hAnsi="Arial" w:cs="Arial"/>
          <w:sz w:val="22"/>
          <w:szCs w:val="22"/>
        </w:rPr>
        <w:t>sayısı</w:t>
      </w:r>
      <w:r w:rsidR="00D36670" w:rsidRPr="004357F6">
        <w:rPr>
          <w:rFonts w:ascii="Arial" w:hAnsi="Arial" w:cs="Arial"/>
          <w:sz w:val="22"/>
          <w:szCs w:val="22"/>
        </w:rPr>
        <w:t xml:space="preserve"> </w:t>
      </w:r>
      <w:r w:rsidR="00965441" w:rsidRPr="004357F6">
        <w:rPr>
          <w:rFonts w:ascii="Arial" w:hAnsi="Arial" w:cs="Arial"/>
          <w:sz w:val="22"/>
          <w:szCs w:val="22"/>
        </w:rPr>
        <w:t>1</w:t>
      </w:r>
      <w:r w:rsidR="001B4DE9" w:rsidRPr="004357F6">
        <w:rPr>
          <w:rFonts w:ascii="Arial" w:hAnsi="Arial" w:cs="Arial"/>
          <w:sz w:val="22"/>
          <w:szCs w:val="22"/>
        </w:rPr>
        <w:t>1</w:t>
      </w:r>
      <w:r w:rsidRPr="004357F6">
        <w:rPr>
          <w:rFonts w:ascii="Arial" w:hAnsi="Arial" w:cs="Arial"/>
          <w:sz w:val="22"/>
          <w:szCs w:val="22"/>
        </w:rPr>
        <w:t>4</w:t>
      </w:r>
      <w:r w:rsidR="001B4DE9" w:rsidRPr="004357F6">
        <w:rPr>
          <w:rFonts w:ascii="Arial" w:hAnsi="Arial" w:cs="Arial"/>
          <w:sz w:val="22"/>
          <w:szCs w:val="22"/>
        </w:rPr>
        <w:t xml:space="preserve"> </w:t>
      </w:r>
      <w:r w:rsidR="00B13BDF" w:rsidRPr="004357F6">
        <w:rPr>
          <w:rFonts w:ascii="Arial" w:hAnsi="Arial" w:cs="Arial"/>
          <w:sz w:val="22"/>
          <w:szCs w:val="22"/>
        </w:rPr>
        <w:t xml:space="preserve">milyon </w:t>
      </w:r>
      <w:r w:rsidR="00EC71CE" w:rsidRPr="004357F6">
        <w:rPr>
          <w:rFonts w:ascii="Arial" w:hAnsi="Arial" w:cs="Arial"/>
          <w:sz w:val="22"/>
          <w:szCs w:val="22"/>
        </w:rPr>
        <w:t>6</w:t>
      </w:r>
      <w:r w:rsidRPr="004357F6">
        <w:rPr>
          <w:rFonts w:ascii="Arial" w:hAnsi="Arial" w:cs="Arial"/>
          <w:sz w:val="22"/>
          <w:szCs w:val="22"/>
        </w:rPr>
        <w:t xml:space="preserve">15 </w:t>
      </w:r>
      <w:r w:rsidR="00D36670" w:rsidRPr="004357F6">
        <w:rPr>
          <w:rFonts w:ascii="Arial" w:hAnsi="Arial" w:cs="Arial"/>
          <w:sz w:val="22"/>
          <w:szCs w:val="22"/>
        </w:rPr>
        <w:t>bin kişiye ulaşmıştır</w:t>
      </w:r>
      <w:r w:rsidR="00624212" w:rsidRPr="004357F6">
        <w:rPr>
          <w:rFonts w:ascii="Arial" w:hAnsi="Arial" w:cs="Arial"/>
          <w:sz w:val="22"/>
          <w:szCs w:val="22"/>
        </w:rPr>
        <w:t xml:space="preserve"> </w:t>
      </w:r>
      <w:r w:rsidR="00394B5A" w:rsidRPr="004357F6">
        <w:rPr>
          <w:rFonts w:ascii="Arial" w:hAnsi="Arial" w:cs="Arial"/>
          <w:sz w:val="22"/>
          <w:szCs w:val="22"/>
        </w:rPr>
        <w:t xml:space="preserve">(Bankaların verisi toplulaştırılırken </w:t>
      </w:r>
      <w:r w:rsidR="00CE0B4E" w:rsidRPr="004357F6">
        <w:rPr>
          <w:rFonts w:ascii="Arial" w:hAnsi="Arial" w:cs="Arial"/>
          <w:sz w:val="22"/>
          <w:szCs w:val="22"/>
        </w:rPr>
        <w:t xml:space="preserve">bankalar arasında </w:t>
      </w:r>
      <w:r w:rsidR="00394B5A" w:rsidRPr="004357F6">
        <w:rPr>
          <w:rFonts w:ascii="Arial" w:hAnsi="Arial" w:cs="Arial"/>
          <w:sz w:val="22"/>
          <w:szCs w:val="22"/>
        </w:rPr>
        <w:t>müşteri</w:t>
      </w:r>
      <w:r w:rsidR="00624212" w:rsidRPr="004357F6">
        <w:rPr>
          <w:rFonts w:ascii="Arial" w:hAnsi="Arial" w:cs="Arial"/>
          <w:sz w:val="22"/>
          <w:szCs w:val="22"/>
        </w:rPr>
        <w:t xml:space="preserve"> sayıları tekilleştirilmemiştir</w:t>
      </w:r>
      <w:r w:rsidR="00394B5A" w:rsidRPr="004357F6">
        <w:rPr>
          <w:rFonts w:ascii="Arial" w:hAnsi="Arial" w:cs="Arial"/>
          <w:sz w:val="22"/>
          <w:szCs w:val="22"/>
        </w:rPr>
        <w:t>)</w:t>
      </w:r>
      <w:r w:rsidR="00624212" w:rsidRPr="004357F6">
        <w:rPr>
          <w:rFonts w:ascii="Arial" w:hAnsi="Arial" w:cs="Arial"/>
          <w:sz w:val="22"/>
          <w:szCs w:val="22"/>
        </w:rPr>
        <w:t>.</w:t>
      </w:r>
      <w:r w:rsidR="00AE7F48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Bu sayının </w:t>
      </w:r>
      <w:r w:rsidR="00DC650F" w:rsidRPr="004357F6">
        <w:rPr>
          <w:rFonts w:ascii="Arial" w:hAnsi="Arial" w:cs="Arial"/>
          <w:sz w:val="22"/>
          <w:szCs w:val="22"/>
        </w:rPr>
        <w:t>1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 w:rsidRPr="004357F6">
        <w:rPr>
          <w:rFonts w:ascii="Arial" w:hAnsi="Arial" w:cs="Arial"/>
          <w:sz w:val="22"/>
          <w:szCs w:val="22"/>
        </w:rPr>
        <w:t>582</w:t>
      </w:r>
      <w:r w:rsidR="00471B63" w:rsidRPr="004357F6">
        <w:rPr>
          <w:rFonts w:ascii="Arial" w:hAnsi="Arial" w:cs="Arial"/>
          <w:sz w:val="22"/>
          <w:szCs w:val="22"/>
        </w:rPr>
        <w:t xml:space="preserve"> bin kişisi</w:t>
      </w:r>
      <w:r w:rsidR="004C0B4B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“sadece internet </w:t>
      </w:r>
      <w:r w:rsidR="00277C12" w:rsidRPr="004357F6">
        <w:rPr>
          <w:rFonts w:ascii="Arial" w:hAnsi="Arial" w:cs="Arial"/>
          <w:sz w:val="22"/>
          <w:szCs w:val="22"/>
        </w:rPr>
        <w:t xml:space="preserve">bankacılığı” işlemi yaparken, </w:t>
      </w:r>
      <w:r w:rsidR="00730375" w:rsidRPr="004357F6">
        <w:rPr>
          <w:rFonts w:ascii="Arial" w:hAnsi="Arial" w:cs="Arial"/>
          <w:sz w:val="22"/>
          <w:szCs w:val="22"/>
        </w:rPr>
        <w:t>10</w:t>
      </w:r>
      <w:r w:rsidRPr="004357F6">
        <w:rPr>
          <w:rFonts w:ascii="Arial" w:hAnsi="Arial" w:cs="Arial"/>
          <w:sz w:val="22"/>
          <w:szCs w:val="22"/>
        </w:rPr>
        <w:t>4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 w:rsidR="00730375" w:rsidRPr="004357F6">
        <w:rPr>
          <w:rFonts w:ascii="Arial" w:hAnsi="Arial" w:cs="Arial"/>
          <w:sz w:val="22"/>
          <w:szCs w:val="22"/>
        </w:rPr>
        <w:t>6</w:t>
      </w:r>
      <w:r w:rsidRPr="004357F6">
        <w:rPr>
          <w:rFonts w:ascii="Arial" w:hAnsi="Arial" w:cs="Arial"/>
          <w:sz w:val="22"/>
          <w:szCs w:val="22"/>
        </w:rPr>
        <w:t>56</w:t>
      </w:r>
      <w:r w:rsidR="003654C5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>bin kişisi “sadece mobil bankacılık” işlemi yapmıştır. Hem internet hem mobil bankacılık işl</w:t>
      </w:r>
      <w:r w:rsidR="003654C5" w:rsidRPr="004357F6">
        <w:rPr>
          <w:rFonts w:ascii="Arial" w:hAnsi="Arial" w:cs="Arial"/>
          <w:sz w:val="22"/>
          <w:szCs w:val="22"/>
        </w:rPr>
        <w:t>emi yapan kullanıcı sayısı</w:t>
      </w:r>
      <w:r w:rsidR="003654C5" w:rsidRPr="00730375">
        <w:rPr>
          <w:rFonts w:ascii="Arial" w:hAnsi="Arial" w:cs="Arial"/>
          <w:sz w:val="22"/>
          <w:szCs w:val="22"/>
        </w:rPr>
        <w:t xml:space="preserve"> ise </w:t>
      </w:r>
      <w:r>
        <w:rPr>
          <w:rFonts w:ascii="Arial" w:hAnsi="Arial" w:cs="Arial"/>
          <w:sz w:val="22"/>
          <w:szCs w:val="22"/>
        </w:rPr>
        <w:t>8</w:t>
      </w:r>
      <w:r w:rsidR="00471B63" w:rsidRPr="00730375">
        <w:rPr>
          <w:rFonts w:ascii="Arial" w:hAnsi="Arial" w:cs="Arial"/>
          <w:sz w:val="22"/>
          <w:szCs w:val="22"/>
        </w:rPr>
        <w:t xml:space="preserve"> milyon </w:t>
      </w:r>
      <w:r w:rsidR="00730375" w:rsidRPr="0073037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78</w:t>
      </w:r>
      <w:r w:rsidR="00471B63" w:rsidRPr="00730375">
        <w:rPr>
          <w:rFonts w:ascii="Arial" w:hAnsi="Arial" w:cs="Arial"/>
          <w:sz w:val="22"/>
          <w:szCs w:val="22"/>
        </w:rPr>
        <w:t xml:space="preserve"> bin kişidir.</w:t>
      </w:r>
    </w:p>
    <w:p w:rsidR="001B4DE9" w:rsidRDefault="001B4DE9" w:rsidP="00471B6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EC71CE" w:rsidRDefault="00EC71CE" w:rsidP="00471B6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4357F6" w:rsidRDefault="004357F6" w:rsidP="00471B63">
      <w:pPr>
        <w:pStyle w:val="BodyText"/>
        <w:rPr>
          <w:rFonts w:ascii="Arial" w:hAnsi="Arial" w:cs="Arial"/>
          <w:sz w:val="22"/>
          <w:szCs w:val="22"/>
          <w:highlight w:val="yellow"/>
        </w:rPr>
      </w:pPr>
      <w:r>
        <w:rPr>
          <w:noProof/>
          <w:lang w:val="en-US" w:eastAsia="ko-KR"/>
        </w:rPr>
        <w:drawing>
          <wp:inline distT="0" distB="0" distL="0" distR="0" wp14:anchorId="267D3D1E" wp14:editId="33F56C11">
            <wp:extent cx="5627329" cy="2136058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71CE" w:rsidRDefault="00EC71CE" w:rsidP="00471B6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B13BDF" w:rsidRPr="00101ABD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 w:rsidRPr="00F602A2">
        <w:rPr>
          <w:rFonts w:ascii="Arial" w:hAnsi="Arial" w:cs="Arial"/>
          <w:sz w:val="22"/>
          <w:szCs w:val="22"/>
        </w:rPr>
        <w:t xml:space="preserve">Toplam (bireysel ve kurumsal) aktif dijital bankacılık müşteri sayısında </w:t>
      </w:r>
      <w:r w:rsidRPr="00101ABD">
        <w:rPr>
          <w:rFonts w:ascii="Arial" w:hAnsi="Arial" w:cs="Arial"/>
          <w:sz w:val="22"/>
          <w:szCs w:val="22"/>
        </w:rPr>
        <w:t xml:space="preserve">bir önceki </w:t>
      </w:r>
      <w:r w:rsidR="00D152F2" w:rsidRPr="00101ABD">
        <w:rPr>
          <w:rFonts w:ascii="Arial" w:hAnsi="Arial" w:cs="Arial"/>
          <w:sz w:val="22"/>
          <w:szCs w:val="22"/>
        </w:rPr>
        <w:t>yıla</w:t>
      </w:r>
      <w:r w:rsidRPr="00101ABD">
        <w:rPr>
          <w:rFonts w:ascii="Arial" w:hAnsi="Arial" w:cs="Arial"/>
          <w:sz w:val="22"/>
          <w:szCs w:val="22"/>
        </w:rPr>
        <w:t xml:space="preserve"> göre </w:t>
      </w:r>
      <w:r w:rsidR="00AD57CB" w:rsidRPr="00101ABD">
        <w:rPr>
          <w:rFonts w:ascii="Arial" w:hAnsi="Arial" w:cs="Arial"/>
          <w:sz w:val="22"/>
          <w:szCs w:val="22"/>
        </w:rPr>
        <w:t>1</w:t>
      </w:r>
      <w:r w:rsidR="00101ABD" w:rsidRPr="00101ABD">
        <w:rPr>
          <w:rFonts w:ascii="Arial" w:hAnsi="Arial" w:cs="Arial"/>
          <w:sz w:val="22"/>
          <w:szCs w:val="22"/>
        </w:rPr>
        <w:t xml:space="preserve">5 </w:t>
      </w:r>
      <w:r w:rsidRPr="00101ABD">
        <w:rPr>
          <w:rFonts w:ascii="Arial" w:hAnsi="Arial" w:cs="Arial"/>
          <w:sz w:val="22"/>
          <w:szCs w:val="22"/>
        </w:rPr>
        <w:t>milyon</w:t>
      </w:r>
      <w:r w:rsidR="00E13DE7" w:rsidRPr="00101ABD">
        <w:rPr>
          <w:rFonts w:ascii="Arial" w:hAnsi="Arial" w:cs="Arial"/>
          <w:sz w:val="22"/>
          <w:szCs w:val="22"/>
        </w:rPr>
        <w:t xml:space="preserve"> </w:t>
      </w:r>
      <w:r w:rsidR="00101ABD" w:rsidRPr="00101ABD">
        <w:rPr>
          <w:rFonts w:ascii="Arial" w:hAnsi="Arial" w:cs="Arial"/>
          <w:sz w:val="22"/>
          <w:szCs w:val="22"/>
        </w:rPr>
        <w:t>96</w:t>
      </w:r>
      <w:r w:rsidR="00AD57CB" w:rsidRPr="00101ABD">
        <w:rPr>
          <w:rFonts w:ascii="Arial" w:hAnsi="Arial" w:cs="Arial"/>
          <w:sz w:val="22"/>
          <w:szCs w:val="22"/>
        </w:rPr>
        <w:t xml:space="preserve"> </w:t>
      </w:r>
      <w:r w:rsidR="00E13DE7" w:rsidRPr="00101ABD">
        <w:rPr>
          <w:rFonts w:ascii="Arial" w:hAnsi="Arial" w:cs="Arial"/>
          <w:sz w:val="22"/>
          <w:szCs w:val="22"/>
        </w:rPr>
        <w:t>bin</w:t>
      </w:r>
      <w:r w:rsidRPr="00101ABD">
        <w:rPr>
          <w:rFonts w:ascii="Arial" w:hAnsi="Arial" w:cs="Arial"/>
          <w:sz w:val="22"/>
          <w:szCs w:val="22"/>
        </w:rPr>
        <w:t xml:space="preserve"> kişi artış olmuştur.</w:t>
      </w:r>
    </w:p>
    <w:p w:rsidR="00461867" w:rsidRPr="00101ABD" w:rsidRDefault="00461867" w:rsidP="00B13BDF">
      <w:pPr>
        <w:pStyle w:val="BodyText"/>
        <w:rPr>
          <w:rFonts w:ascii="Arial" w:hAnsi="Arial" w:cs="Arial"/>
          <w:sz w:val="22"/>
          <w:szCs w:val="22"/>
        </w:rPr>
      </w:pPr>
    </w:p>
    <w:p w:rsidR="008B3601" w:rsidRPr="00470F07" w:rsidRDefault="006C7767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470F07">
        <w:rPr>
          <w:rFonts w:ascii="Arial" w:hAnsi="Arial" w:cs="Arial"/>
          <w:b/>
          <w:sz w:val="22"/>
          <w:szCs w:val="22"/>
        </w:rPr>
        <w:t>Aktif Dijital Bankacılık Müşteri Sayıları</w:t>
      </w:r>
    </w:p>
    <w:p w:rsidR="008F438D" w:rsidRPr="00470F07" w:rsidRDefault="008F438D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6"/>
        <w:gridCol w:w="1326"/>
        <w:gridCol w:w="1368"/>
        <w:gridCol w:w="1326"/>
      </w:tblGrid>
      <w:tr w:rsidR="00470F07" w:rsidRPr="00470F07" w:rsidTr="005149C7">
        <w:trPr>
          <w:trHeight w:val="96"/>
        </w:trPr>
        <w:tc>
          <w:tcPr>
            <w:tcW w:w="46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1ABD" w:rsidRPr="00470F07" w:rsidRDefault="00101ABD" w:rsidP="00101ABD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1ABD" w:rsidRPr="00470F07" w:rsidRDefault="00101ABD" w:rsidP="00101ABD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470F07">
              <w:rPr>
                <w:rFonts w:ascii="Arial" w:hAnsi="Arial" w:cs="Arial"/>
                <w:b/>
                <w:bCs/>
                <w:sz w:val="20"/>
              </w:rPr>
              <w:t>Haziran 2023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1ABD" w:rsidRPr="00470F07" w:rsidRDefault="00101ABD" w:rsidP="00101A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70F07">
              <w:rPr>
                <w:rFonts w:ascii="Arial" w:hAnsi="Arial" w:cs="Arial"/>
                <w:b/>
                <w:bCs/>
                <w:sz w:val="20"/>
              </w:rPr>
              <w:t>Mart 2024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1ABD" w:rsidRPr="00470F07" w:rsidRDefault="00101ABD" w:rsidP="00101A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70F07">
              <w:rPr>
                <w:rFonts w:ascii="Arial" w:hAnsi="Arial" w:cs="Arial"/>
                <w:b/>
                <w:bCs/>
                <w:sz w:val="20"/>
              </w:rPr>
              <w:t>Haziran 2024</w:t>
            </w:r>
          </w:p>
        </w:tc>
      </w:tr>
      <w:tr w:rsidR="00470F07" w:rsidRPr="00470F07" w:rsidTr="005149C7">
        <w:trPr>
          <w:trHeight w:val="96"/>
        </w:trPr>
        <w:tc>
          <w:tcPr>
            <w:tcW w:w="46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01ABD" w:rsidRPr="00470F07" w:rsidRDefault="00101ABD" w:rsidP="00101ABD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b/>
                <w:bCs/>
                <w:sz w:val="20"/>
                <w:lang w:eastAsia="tr-TR"/>
              </w:rPr>
              <w:t>Toplam Aktif dijital müşteri sayısı (bin kişi)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ABD" w:rsidRPr="00470F07" w:rsidRDefault="00101ABD" w:rsidP="00101ABD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 w:rsidRPr="00470F07">
              <w:rPr>
                <w:rFonts w:ascii="Arial" w:hAnsi="Arial" w:cs="Arial"/>
                <w:sz w:val="20"/>
              </w:rPr>
              <w:t>99.519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ABD" w:rsidRPr="00470F07" w:rsidRDefault="00101ABD" w:rsidP="00101ABD">
            <w:pPr>
              <w:jc w:val="right"/>
              <w:rPr>
                <w:rFonts w:ascii="Arial" w:hAnsi="Arial" w:cs="Arial"/>
                <w:sz w:val="20"/>
              </w:rPr>
            </w:pPr>
            <w:r w:rsidRPr="00470F07">
              <w:rPr>
                <w:rFonts w:ascii="Arial" w:hAnsi="Arial" w:cs="Arial"/>
                <w:sz w:val="20"/>
              </w:rPr>
              <w:t>110.588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ABD" w:rsidRPr="00470F07" w:rsidRDefault="00101ABD" w:rsidP="00101ABD">
            <w:pPr>
              <w:jc w:val="right"/>
              <w:rPr>
                <w:rFonts w:ascii="Arial" w:hAnsi="Arial" w:cs="Arial"/>
                <w:sz w:val="20"/>
              </w:rPr>
            </w:pPr>
            <w:r w:rsidRPr="00470F07">
              <w:rPr>
                <w:rFonts w:ascii="Arial" w:hAnsi="Arial" w:cs="Arial"/>
                <w:sz w:val="20"/>
              </w:rPr>
              <w:t>114.615</w:t>
            </w:r>
          </w:p>
        </w:tc>
      </w:tr>
      <w:tr w:rsidR="00470F07" w:rsidRPr="00470F07" w:rsidTr="001B5C53">
        <w:trPr>
          <w:trHeight w:val="96"/>
        </w:trPr>
        <w:tc>
          <w:tcPr>
            <w:tcW w:w="4636" w:type="dxa"/>
            <w:tcBorders>
              <w:left w:val="nil"/>
              <w:right w:val="nil"/>
            </w:tcBorders>
            <w:shd w:val="clear" w:color="auto" w:fill="auto"/>
          </w:tcPr>
          <w:p w:rsidR="00101ABD" w:rsidRPr="00470F07" w:rsidRDefault="00101ABD" w:rsidP="00101ABD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-Kurumsal (bin kişi)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ABD" w:rsidRPr="00470F07" w:rsidRDefault="00101ABD" w:rsidP="00101ABD">
            <w:pPr>
              <w:jc w:val="right"/>
              <w:rPr>
                <w:rFonts w:ascii="Arial" w:hAnsi="Arial" w:cs="Arial"/>
                <w:sz w:val="20"/>
              </w:rPr>
            </w:pPr>
            <w:r w:rsidRPr="00470F07">
              <w:rPr>
                <w:rFonts w:ascii="Arial" w:hAnsi="Arial" w:cs="Arial"/>
                <w:sz w:val="20"/>
              </w:rPr>
              <w:t>4.312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ABD" w:rsidRPr="00470F07" w:rsidRDefault="00101ABD" w:rsidP="00101ABD">
            <w:pPr>
              <w:jc w:val="right"/>
              <w:rPr>
                <w:rFonts w:ascii="Arial" w:hAnsi="Arial" w:cs="Arial"/>
                <w:sz w:val="20"/>
              </w:rPr>
            </w:pPr>
            <w:r w:rsidRPr="00470F07">
              <w:rPr>
                <w:rFonts w:ascii="Arial" w:hAnsi="Arial" w:cs="Arial"/>
                <w:sz w:val="20"/>
              </w:rPr>
              <w:t>4.549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ABD" w:rsidRPr="00470F07" w:rsidRDefault="00101ABD" w:rsidP="00101ABD">
            <w:pPr>
              <w:jc w:val="right"/>
              <w:rPr>
                <w:rFonts w:ascii="Arial" w:hAnsi="Arial" w:cs="Arial"/>
                <w:sz w:val="20"/>
              </w:rPr>
            </w:pPr>
            <w:r w:rsidRPr="00470F07">
              <w:rPr>
                <w:rFonts w:ascii="Arial" w:hAnsi="Arial" w:cs="Arial"/>
                <w:sz w:val="20"/>
              </w:rPr>
              <w:t>4.520</w:t>
            </w:r>
          </w:p>
        </w:tc>
      </w:tr>
      <w:tr w:rsidR="00470F07" w:rsidRPr="00470F07" w:rsidTr="001B5C53">
        <w:trPr>
          <w:trHeight w:val="96"/>
        </w:trPr>
        <w:tc>
          <w:tcPr>
            <w:tcW w:w="46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ABD" w:rsidRPr="00470F07" w:rsidRDefault="00101ABD" w:rsidP="00101ABD">
            <w:pPr>
              <w:rPr>
                <w:rFonts w:ascii="Arial" w:hAnsi="Arial" w:cs="Arial"/>
                <w:sz w:val="20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-Bireysel (bin kişi)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1ABD" w:rsidRPr="00470F07" w:rsidRDefault="00101ABD" w:rsidP="00101ABD">
            <w:pPr>
              <w:jc w:val="right"/>
              <w:rPr>
                <w:rFonts w:ascii="Arial" w:hAnsi="Arial" w:cs="Arial"/>
                <w:sz w:val="20"/>
              </w:rPr>
            </w:pPr>
            <w:r w:rsidRPr="00470F07">
              <w:rPr>
                <w:rFonts w:ascii="Arial" w:hAnsi="Arial" w:cs="Arial"/>
                <w:sz w:val="20"/>
              </w:rPr>
              <w:t>95.207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ABD" w:rsidRPr="00470F07" w:rsidRDefault="00101ABD" w:rsidP="00101ABD">
            <w:pPr>
              <w:jc w:val="right"/>
              <w:rPr>
                <w:rFonts w:ascii="Arial" w:hAnsi="Arial" w:cs="Arial"/>
                <w:sz w:val="20"/>
              </w:rPr>
            </w:pPr>
            <w:r w:rsidRPr="00470F07">
              <w:rPr>
                <w:rFonts w:ascii="Arial" w:hAnsi="Arial" w:cs="Arial"/>
                <w:sz w:val="20"/>
              </w:rPr>
              <w:t>106.038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1ABD" w:rsidRPr="00470F07" w:rsidRDefault="00101ABD" w:rsidP="00101ABD">
            <w:pPr>
              <w:jc w:val="right"/>
              <w:rPr>
                <w:rFonts w:ascii="Arial" w:hAnsi="Arial" w:cs="Arial"/>
                <w:sz w:val="20"/>
              </w:rPr>
            </w:pPr>
            <w:r w:rsidRPr="00470F07">
              <w:rPr>
                <w:rFonts w:ascii="Arial" w:hAnsi="Arial" w:cs="Arial"/>
                <w:sz w:val="20"/>
              </w:rPr>
              <w:t>110.096</w:t>
            </w:r>
          </w:p>
        </w:tc>
      </w:tr>
    </w:tbl>
    <w:p w:rsidR="00BA2FAE" w:rsidRPr="00470F07" w:rsidRDefault="00CE4E09" w:rsidP="008F438D">
      <w:pPr>
        <w:rPr>
          <w:rFonts w:ascii="Arial" w:hAnsi="Arial" w:cs="Arial"/>
          <w:sz w:val="20"/>
          <w:lang w:eastAsia="tr-TR"/>
        </w:rPr>
      </w:pPr>
      <w:r w:rsidRPr="00470F07">
        <w:rPr>
          <w:rFonts w:ascii="Arial" w:hAnsi="Arial" w:cs="Arial"/>
          <w:sz w:val="20"/>
          <w:lang w:eastAsia="tr-TR"/>
        </w:rPr>
        <w:t xml:space="preserve">                </w:t>
      </w:r>
    </w:p>
    <w:p w:rsidR="00510749" w:rsidRDefault="00101ABD" w:rsidP="004C0B4B">
      <w:pPr>
        <w:pStyle w:val="BodyText"/>
        <w:rPr>
          <w:rFonts w:ascii="Arial" w:hAnsi="Arial" w:cs="Arial"/>
          <w:sz w:val="22"/>
          <w:szCs w:val="22"/>
        </w:rPr>
      </w:pPr>
      <w:r w:rsidRPr="00470F07">
        <w:rPr>
          <w:rFonts w:ascii="Arial" w:hAnsi="Arial" w:cs="Arial"/>
          <w:sz w:val="22"/>
          <w:szCs w:val="22"/>
        </w:rPr>
        <w:t>Nisan-Haziran</w:t>
      </w:r>
      <w:r w:rsidR="00F602A2" w:rsidRPr="00470F07">
        <w:rPr>
          <w:rFonts w:ascii="Arial" w:hAnsi="Arial" w:cs="Arial"/>
          <w:sz w:val="22"/>
          <w:szCs w:val="22"/>
        </w:rPr>
        <w:t xml:space="preserve"> 2024 </w:t>
      </w:r>
      <w:r w:rsidR="00B13BDF" w:rsidRPr="00470F07">
        <w:rPr>
          <w:rFonts w:ascii="Arial" w:hAnsi="Arial" w:cs="Arial"/>
          <w:sz w:val="22"/>
          <w:szCs w:val="22"/>
        </w:rPr>
        <w:t xml:space="preserve">dönemi içinde az bir kez </w:t>
      </w:r>
      <w:r w:rsidR="00B13BDF" w:rsidRPr="005149C7">
        <w:rPr>
          <w:rFonts w:ascii="Arial" w:hAnsi="Arial" w:cs="Arial"/>
          <w:sz w:val="22"/>
          <w:szCs w:val="22"/>
        </w:rPr>
        <w:t xml:space="preserve">giriş (log-in) işlemi yapmış aktif bireysel dijital bankacılık müşteri </w:t>
      </w:r>
      <w:r w:rsidR="00AE7F48" w:rsidRPr="005149C7">
        <w:rPr>
          <w:rFonts w:ascii="Arial" w:hAnsi="Arial" w:cs="Arial"/>
          <w:sz w:val="22"/>
          <w:szCs w:val="22"/>
        </w:rPr>
        <w:t xml:space="preserve">sayısı </w:t>
      </w:r>
      <w:r w:rsidR="00B709FF" w:rsidRPr="005149C7">
        <w:rPr>
          <w:rFonts w:ascii="Arial" w:hAnsi="Arial" w:cs="Arial"/>
          <w:sz w:val="22"/>
          <w:szCs w:val="22"/>
        </w:rPr>
        <w:t>1</w:t>
      </w:r>
      <w:r w:rsidRPr="005149C7">
        <w:rPr>
          <w:rFonts w:ascii="Arial" w:hAnsi="Arial" w:cs="Arial"/>
          <w:sz w:val="22"/>
          <w:szCs w:val="22"/>
        </w:rPr>
        <w:t>10</w:t>
      </w:r>
      <w:r w:rsidR="00E93BAF" w:rsidRPr="005149C7">
        <w:rPr>
          <w:rFonts w:ascii="Arial" w:hAnsi="Arial" w:cs="Arial"/>
          <w:sz w:val="22"/>
          <w:szCs w:val="22"/>
        </w:rPr>
        <w:t xml:space="preserve"> </w:t>
      </w:r>
      <w:r w:rsidR="00B13BDF" w:rsidRPr="005149C7">
        <w:rPr>
          <w:rFonts w:ascii="Arial" w:hAnsi="Arial" w:cs="Arial"/>
          <w:sz w:val="22"/>
          <w:szCs w:val="22"/>
        </w:rPr>
        <w:t xml:space="preserve">milyon kişidir. </w:t>
      </w:r>
      <w:r w:rsidR="00C935CE" w:rsidRPr="00525A7E">
        <w:rPr>
          <w:rFonts w:ascii="Arial" w:hAnsi="Arial" w:cs="Arial"/>
          <w:sz w:val="22"/>
          <w:szCs w:val="22"/>
        </w:rPr>
        <w:t xml:space="preserve">Aynı dönemde az bir kez giriş (log-in) işlemi yapmış aktif kurumsal dijital bankacılık müşteri sayısı 4 milyon </w:t>
      </w:r>
      <w:r w:rsidR="00525A7E" w:rsidRPr="00525A7E">
        <w:rPr>
          <w:rFonts w:ascii="Arial" w:hAnsi="Arial" w:cs="Arial"/>
          <w:sz w:val="22"/>
          <w:szCs w:val="22"/>
        </w:rPr>
        <w:t>520</w:t>
      </w:r>
      <w:r w:rsidR="00C935CE" w:rsidRPr="00525A7E">
        <w:rPr>
          <w:rFonts w:ascii="Arial" w:hAnsi="Arial" w:cs="Arial"/>
          <w:sz w:val="22"/>
          <w:szCs w:val="22"/>
        </w:rPr>
        <w:t xml:space="preserve"> bin kişidir.</w:t>
      </w:r>
      <w:r w:rsidR="00FB188B" w:rsidRPr="00525A7E">
        <w:rPr>
          <w:rFonts w:ascii="Arial" w:hAnsi="Arial" w:cs="Arial"/>
          <w:sz w:val="22"/>
          <w:szCs w:val="22"/>
        </w:rPr>
        <w:t xml:space="preserve"> </w:t>
      </w:r>
    </w:p>
    <w:p w:rsidR="00486243" w:rsidRPr="00525A7E" w:rsidRDefault="004C0B4B" w:rsidP="004C0B4B">
      <w:pPr>
        <w:pStyle w:val="BodyText"/>
        <w:rPr>
          <w:rFonts w:ascii="Arial" w:hAnsi="Arial" w:cs="Arial"/>
          <w:sz w:val="22"/>
          <w:szCs w:val="22"/>
        </w:rPr>
      </w:pPr>
      <w:r w:rsidRPr="00525A7E">
        <w:rPr>
          <w:rFonts w:ascii="Arial" w:hAnsi="Arial" w:cs="Arial"/>
          <w:sz w:val="22"/>
          <w:szCs w:val="22"/>
        </w:rPr>
        <w:lastRenderedPageBreak/>
        <w:t xml:space="preserve">Aktif bireysel dijital bankacılık müşterileri yaklaşık </w:t>
      </w:r>
      <w:r w:rsidR="00F602A2" w:rsidRPr="00525A7E">
        <w:rPr>
          <w:rFonts w:ascii="Arial" w:hAnsi="Arial" w:cs="Arial"/>
          <w:sz w:val="22"/>
          <w:szCs w:val="22"/>
        </w:rPr>
        <w:t>7</w:t>
      </w:r>
      <w:r w:rsidR="00525A7E" w:rsidRPr="00525A7E">
        <w:rPr>
          <w:rFonts w:ascii="Arial" w:hAnsi="Arial" w:cs="Arial"/>
          <w:sz w:val="22"/>
          <w:szCs w:val="22"/>
        </w:rPr>
        <w:t>2</w:t>
      </w:r>
      <w:r w:rsidRPr="00525A7E">
        <w:rPr>
          <w:rFonts w:ascii="Arial" w:hAnsi="Arial" w:cs="Arial"/>
          <w:sz w:val="22"/>
          <w:szCs w:val="22"/>
        </w:rPr>
        <w:t xml:space="preserve"> milyon erkek (yüzde 6</w:t>
      </w:r>
      <w:r w:rsidR="007F6BAC" w:rsidRPr="00525A7E">
        <w:rPr>
          <w:rFonts w:ascii="Arial" w:hAnsi="Arial" w:cs="Arial"/>
          <w:sz w:val="22"/>
          <w:szCs w:val="22"/>
        </w:rPr>
        <w:t>5</w:t>
      </w:r>
      <w:r w:rsidRPr="00525A7E">
        <w:rPr>
          <w:rFonts w:ascii="Arial" w:hAnsi="Arial" w:cs="Arial"/>
          <w:sz w:val="22"/>
          <w:szCs w:val="22"/>
        </w:rPr>
        <w:t>) ve 3</w:t>
      </w:r>
      <w:r w:rsidR="00F602A2" w:rsidRPr="00525A7E">
        <w:rPr>
          <w:rFonts w:ascii="Arial" w:hAnsi="Arial" w:cs="Arial"/>
          <w:sz w:val="22"/>
          <w:szCs w:val="22"/>
        </w:rPr>
        <w:t>8</w:t>
      </w:r>
      <w:r w:rsidRPr="00525A7E">
        <w:rPr>
          <w:rFonts w:ascii="Arial" w:hAnsi="Arial" w:cs="Arial"/>
          <w:sz w:val="22"/>
          <w:szCs w:val="22"/>
        </w:rPr>
        <w:t xml:space="preserve"> milyon kadın (yüzde 3</w:t>
      </w:r>
      <w:r w:rsidR="007F6BAC" w:rsidRPr="00525A7E">
        <w:rPr>
          <w:rFonts w:ascii="Arial" w:hAnsi="Arial" w:cs="Arial"/>
          <w:sz w:val="22"/>
          <w:szCs w:val="22"/>
        </w:rPr>
        <w:t>5</w:t>
      </w:r>
      <w:r w:rsidRPr="00525A7E">
        <w:rPr>
          <w:rFonts w:ascii="Arial" w:hAnsi="Arial" w:cs="Arial"/>
          <w:sz w:val="22"/>
          <w:szCs w:val="22"/>
        </w:rPr>
        <w:t>) müşteriden oluşmaktadır.</w:t>
      </w:r>
    </w:p>
    <w:p w:rsidR="00AB02FB" w:rsidRPr="004357F6" w:rsidRDefault="00AB02FB" w:rsidP="00A93BF8">
      <w:pPr>
        <w:pStyle w:val="BodyText"/>
        <w:rPr>
          <w:rFonts w:ascii="Arial" w:hAnsi="Arial" w:cs="Arial"/>
          <w:b/>
          <w:sz w:val="22"/>
          <w:szCs w:val="22"/>
          <w:highlight w:val="yellow"/>
        </w:rPr>
      </w:pPr>
    </w:p>
    <w:p w:rsidR="008D730E" w:rsidRDefault="00A93BF8" w:rsidP="001578E3">
      <w:pPr>
        <w:pStyle w:val="BodyText"/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A73562">
        <w:rPr>
          <w:rFonts w:ascii="Arial" w:hAnsi="Arial" w:cs="Arial"/>
          <w:b/>
          <w:sz w:val="22"/>
          <w:szCs w:val="22"/>
        </w:rPr>
        <w:t>Cinsiyet ve Yaş Gruplarına Göre Aktif Bireysel Dijital Bankacılık Müşterileri</w:t>
      </w:r>
    </w:p>
    <w:p w:rsidR="00A73562" w:rsidRPr="00A73562" w:rsidRDefault="00A73562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:rsidR="00A73562" w:rsidRPr="00A73562" w:rsidRDefault="00A73562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A73562">
        <w:rPr>
          <w:rFonts w:ascii="Arial" w:hAnsi="Arial" w:cs="Arial"/>
          <w:b/>
          <w:noProof/>
          <w:sz w:val="22"/>
          <w:szCs w:val="22"/>
          <w:lang w:val="en-US" w:eastAsia="ko-KR"/>
        </w:rPr>
        <w:drawing>
          <wp:inline distT="0" distB="0" distL="0" distR="0" wp14:anchorId="4A563AA5">
            <wp:extent cx="5572125" cy="1520484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876" cy="1529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3562" w:rsidRPr="00A73562" w:rsidRDefault="00A73562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:rsidR="00593418" w:rsidRPr="00A73562" w:rsidRDefault="00A73562" w:rsidP="00593418">
      <w:pPr>
        <w:pStyle w:val="BodyText"/>
        <w:rPr>
          <w:rFonts w:ascii="Arial" w:hAnsi="Arial" w:cs="Arial"/>
          <w:b/>
          <w:sz w:val="22"/>
          <w:szCs w:val="22"/>
        </w:rPr>
      </w:pPr>
      <w:r w:rsidRPr="00A73562">
        <w:rPr>
          <w:rFonts w:ascii="Arial" w:hAnsi="Arial" w:cs="Arial"/>
          <w:sz w:val="22"/>
          <w:szCs w:val="22"/>
        </w:rPr>
        <w:t>Nisan-Haziran</w:t>
      </w:r>
      <w:r w:rsidR="00464AB4" w:rsidRPr="00A73562">
        <w:rPr>
          <w:rFonts w:ascii="Arial" w:hAnsi="Arial" w:cs="Arial"/>
          <w:sz w:val="22"/>
          <w:szCs w:val="22"/>
        </w:rPr>
        <w:t xml:space="preserve"> 2024 </w:t>
      </w:r>
      <w:r w:rsidR="00593418" w:rsidRPr="00A73562">
        <w:rPr>
          <w:rFonts w:ascii="Arial" w:hAnsi="Arial" w:cs="Arial"/>
          <w:sz w:val="22"/>
          <w:szCs w:val="22"/>
        </w:rPr>
        <w:t xml:space="preserve">dönemi içinde aktif bireysel dijital bankacılık müşterilerinin yaş grupları bazında dağılımında ilk sırayı </w:t>
      </w:r>
      <w:r w:rsidR="008D730E" w:rsidRPr="00A73562">
        <w:rPr>
          <w:rFonts w:ascii="Arial" w:hAnsi="Arial" w:cs="Arial"/>
          <w:sz w:val="22"/>
          <w:szCs w:val="22"/>
        </w:rPr>
        <w:t xml:space="preserve">yaklaşık </w:t>
      </w:r>
      <w:r w:rsidR="00593418" w:rsidRPr="00A73562">
        <w:rPr>
          <w:rFonts w:ascii="Arial" w:hAnsi="Arial" w:cs="Arial"/>
          <w:sz w:val="22"/>
          <w:szCs w:val="22"/>
        </w:rPr>
        <w:t>4</w:t>
      </w:r>
      <w:r w:rsidRPr="00A73562">
        <w:rPr>
          <w:rFonts w:ascii="Arial" w:hAnsi="Arial" w:cs="Arial"/>
          <w:sz w:val="22"/>
          <w:szCs w:val="22"/>
        </w:rPr>
        <w:t>4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 xml:space="preserve">kişi ile 36-55 yaş grubu almaktadır. Bunu, </w:t>
      </w:r>
      <w:r w:rsidR="004C0B4B" w:rsidRPr="00A73562">
        <w:rPr>
          <w:rFonts w:ascii="Arial" w:hAnsi="Arial" w:cs="Arial"/>
          <w:sz w:val="22"/>
          <w:szCs w:val="22"/>
        </w:rPr>
        <w:t xml:space="preserve">yaklaşık </w:t>
      </w:r>
      <w:r w:rsidRPr="00A73562">
        <w:rPr>
          <w:rFonts w:ascii="Arial" w:hAnsi="Arial" w:cs="Arial"/>
          <w:sz w:val="22"/>
          <w:szCs w:val="22"/>
        </w:rPr>
        <w:t>30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kişi ile 26-35 yaş grubu</w:t>
      </w:r>
      <w:r w:rsidR="001755FE" w:rsidRPr="00A73562">
        <w:rPr>
          <w:rFonts w:ascii="Arial" w:hAnsi="Arial" w:cs="Arial"/>
          <w:sz w:val="22"/>
          <w:szCs w:val="22"/>
        </w:rPr>
        <w:t xml:space="preserve"> ve 20</w:t>
      </w:r>
      <w:r w:rsidR="00593418" w:rsidRPr="00A73562">
        <w:rPr>
          <w:rFonts w:ascii="Arial" w:hAnsi="Arial" w:cs="Arial"/>
          <w:sz w:val="22"/>
          <w:szCs w:val="22"/>
        </w:rPr>
        <w:t xml:space="preserve"> milyon kişi ile 18-25 yaş grubu izlemektedir. </w:t>
      </w:r>
    </w:p>
    <w:p w:rsidR="00EA771B" w:rsidRPr="004357F6" w:rsidRDefault="00EA771B" w:rsidP="00EA771B">
      <w:pPr>
        <w:pStyle w:val="BodyText"/>
        <w:rPr>
          <w:rFonts w:ascii="Arial" w:hAnsi="Arial" w:cs="Arial"/>
          <w:sz w:val="20"/>
          <w:highlight w:val="yellow"/>
        </w:rPr>
      </w:pPr>
    </w:p>
    <w:p w:rsidR="00B16366" w:rsidRPr="0065131A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 w:rsidRPr="0065131A">
        <w:rPr>
          <w:rFonts w:ascii="Arial" w:hAnsi="Arial"/>
          <w:b/>
          <w:color w:val="000000"/>
          <w:szCs w:val="24"/>
        </w:rPr>
        <w:t>II. İnternet Bankacılığı İstatistikleri</w:t>
      </w:r>
    </w:p>
    <w:p w:rsidR="00AC4646" w:rsidRPr="004357F6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:rsidR="000D2E77" w:rsidRPr="0065131A" w:rsidRDefault="000045B2">
      <w:pPr>
        <w:pStyle w:val="BodyText"/>
        <w:rPr>
          <w:rFonts w:ascii="Arial" w:hAnsi="Arial" w:cs="Arial"/>
          <w:sz w:val="22"/>
          <w:szCs w:val="22"/>
        </w:rPr>
      </w:pPr>
      <w:r w:rsidRPr="0065131A">
        <w:rPr>
          <w:rFonts w:ascii="Arial" w:hAnsi="Arial" w:cs="Arial"/>
          <w:sz w:val="22"/>
          <w:szCs w:val="22"/>
        </w:rPr>
        <w:t>İnternet bankacılığı ya</w:t>
      </w:r>
      <w:r w:rsidR="00E5771F" w:rsidRPr="0065131A">
        <w:rPr>
          <w:rFonts w:ascii="Arial" w:hAnsi="Arial" w:cs="Arial"/>
          <w:sz w:val="22"/>
          <w:szCs w:val="22"/>
        </w:rPr>
        <w:t>pmak üzere sistemde kayıtlı</w:t>
      </w:r>
      <w:r w:rsidRPr="0065131A">
        <w:rPr>
          <w:rFonts w:ascii="Arial" w:hAnsi="Arial" w:cs="Arial"/>
          <w:sz w:val="22"/>
          <w:szCs w:val="22"/>
        </w:rPr>
        <w:t xml:space="preserve"> </w:t>
      </w:r>
      <w:r w:rsidR="00C935CE" w:rsidRPr="0065131A">
        <w:rPr>
          <w:rFonts w:ascii="Arial" w:hAnsi="Arial" w:cs="Arial"/>
          <w:sz w:val="22"/>
          <w:szCs w:val="22"/>
        </w:rPr>
        <w:t xml:space="preserve">olan </w:t>
      </w:r>
      <w:r w:rsidRPr="0065131A">
        <w:rPr>
          <w:rFonts w:ascii="Arial" w:hAnsi="Arial" w:cs="Arial"/>
          <w:sz w:val="22"/>
          <w:szCs w:val="22"/>
        </w:rPr>
        <w:t xml:space="preserve">ve en az bir kez </w:t>
      </w:r>
      <w:r w:rsidR="00CA5F28" w:rsidRPr="0065131A">
        <w:rPr>
          <w:rFonts w:ascii="Arial" w:hAnsi="Arial" w:cs="Arial"/>
          <w:sz w:val="22"/>
          <w:szCs w:val="22"/>
        </w:rPr>
        <w:t>giriş yapmış</w:t>
      </w:r>
      <w:r w:rsidR="006C57C3" w:rsidRPr="0065131A">
        <w:rPr>
          <w:rFonts w:ascii="Arial" w:hAnsi="Arial" w:cs="Arial"/>
          <w:sz w:val="22"/>
          <w:szCs w:val="22"/>
        </w:rPr>
        <w:t xml:space="preserve"> </w:t>
      </w:r>
      <w:r w:rsidR="008D361F" w:rsidRPr="0065131A">
        <w:rPr>
          <w:rFonts w:ascii="Arial" w:hAnsi="Arial" w:cs="Arial"/>
          <w:sz w:val="22"/>
          <w:szCs w:val="22"/>
        </w:rPr>
        <w:t>bireysel müşteri sayısı</w:t>
      </w:r>
      <w:r w:rsidR="00CC626D" w:rsidRPr="0065131A">
        <w:rPr>
          <w:rFonts w:ascii="Arial" w:hAnsi="Arial" w:cs="Arial"/>
          <w:sz w:val="22"/>
          <w:szCs w:val="22"/>
        </w:rPr>
        <w:t xml:space="preserve"> </w:t>
      </w:r>
      <w:r w:rsidR="00943915">
        <w:rPr>
          <w:rFonts w:ascii="Arial" w:hAnsi="Arial" w:cs="Arial"/>
          <w:sz w:val="22"/>
          <w:szCs w:val="22"/>
        </w:rPr>
        <w:t xml:space="preserve">yaklaşık </w:t>
      </w:r>
      <w:r w:rsidR="004A379F" w:rsidRPr="0065131A">
        <w:rPr>
          <w:rFonts w:ascii="Arial" w:hAnsi="Arial" w:cs="Arial"/>
          <w:sz w:val="22"/>
          <w:szCs w:val="22"/>
        </w:rPr>
        <w:t>101</w:t>
      </w:r>
      <w:r w:rsidR="004660D7" w:rsidRPr="0065131A">
        <w:rPr>
          <w:rFonts w:ascii="Arial" w:hAnsi="Arial" w:cs="Arial"/>
          <w:sz w:val="22"/>
          <w:szCs w:val="22"/>
        </w:rPr>
        <w:t xml:space="preserve"> milyon</w:t>
      </w:r>
      <w:r w:rsidR="006063F2" w:rsidRPr="0065131A">
        <w:rPr>
          <w:rFonts w:ascii="Arial" w:hAnsi="Arial" w:cs="Arial"/>
          <w:sz w:val="22"/>
          <w:szCs w:val="22"/>
        </w:rPr>
        <w:t xml:space="preserve"> </w:t>
      </w:r>
      <w:r w:rsidR="00003DA6" w:rsidRPr="0065131A">
        <w:rPr>
          <w:rFonts w:ascii="Arial" w:hAnsi="Arial" w:cs="Arial"/>
          <w:sz w:val="22"/>
          <w:szCs w:val="22"/>
        </w:rPr>
        <w:t>kişi</w:t>
      </w:r>
      <w:r w:rsidR="0095012A" w:rsidRPr="0065131A">
        <w:rPr>
          <w:rFonts w:ascii="Arial" w:hAnsi="Arial" w:cs="Arial"/>
          <w:sz w:val="22"/>
          <w:szCs w:val="22"/>
        </w:rPr>
        <w:t xml:space="preserve">dir. </w:t>
      </w:r>
      <w:r w:rsidR="00FA51E3" w:rsidRPr="0065131A">
        <w:rPr>
          <w:rFonts w:ascii="Arial" w:hAnsi="Arial" w:cs="Arial"/>
          <w:sz w:val="22"/>
          <w:szCs w:val="22"/>
        </w:rPr>
        <w:t xml:space="preserve">Son bir yıl içerisinde </w:t>
      </w:r>
      <w:r w:rsidR="00CA5F28" w:rsidRPr="0065131A">
        <w:rPr>
          <w:rFonts w:ascii="Arial" w:hAnsi="Arial" w:cs="Arial"/>
          <w:sz w:val="22"/>
          <w:szCs w:val="22"/>
        </w:rPr>
        <w:t xml:space="preserve">en az bir kez giriş işlemi yapmış </w:t>
      </w:r>
      <w:r w:rsidR="00E2154D" w:rsidRPr="0065131A">
        <w:rPr>
          <w:rFonts w:ascii="Arial" w:hAnsi="Arial" w:cs="Arial"/>
          <w:sz w:val="22"/>
          <w:szCs w:val="22"/>
        </w:rPr>
        <w:t xml:space="preserve">sistemde kayıtlı </w:t>
      </w:r>
      <w:r w:rsidR="00C935CE" w:rsidRPr="0065131A">
        <w:rPr>
          <w:rFonts w:ascii="Arial" w:hAnsi="Arial" w:cs="Arial"/>
          <w:sz w:val="22"/>
          <w:szCs w:val="22"/>
        </w:rPr>
        <w:t>bireysel müşteri sayısı ise yaklaşık</w:t>
      </w:r>
      <w:r w:rsidR="00005D37" w:rsidRPr="0065131A">
        <w:rPr>
          <w:rFonts w:ascii="Arial" w:hAnsi="Arial" w:cs="Arial"/>
          <w:sz w:val="22"/>
          <w:szCs w:val="22"/>
        </w:rPr>
        <w:t xml:space="preserve"> </w:t>
      </w:r>
      <w:r w:rsidR="00A9024D" w:rsidRPr="0065131A">
        <w:rPr>
          <w:rFonts w:ascii="Arial" w:hAnsi="Arial" w:cs="Arial"/>
          <w:sz w:val="22"/>
          <w:szCs w:val="22"/>
        </w:rPr>
        <w:t>2</w:t>
      </w:r>
      <w:r w:rsidR="0065131A" w:rsidRPr="0065131A">
        <w:rPr>
          <w:rFonts w:ascii="Arial" w:hAnsi="Arial" w:cs="Arial"/>
          <w:sz w:val="22"/>
          <w:szCs w:val="22"/>
        </w:rPr>
        <w:t>5</w:t>
      </w:r>
      <w:r w:rsidR="006C57C3" w:rsidRPr="0065131A">
        <w:rPr>
          <w:rFonts w:ascii="Arial" w:hAnsi="Arial" w:cs="Arial"/>
          <w:sz w:val="22"/>
          <w:szCs w:val="22"/>
        </w:rPr>
        <w:t xml:space="preserve"> milyon </w:t>
      </w:r>
      <w:r w:rsidR="00C41DA6" w:rsidRPr="0065131A">
        <w:rPr>
          <w:rFonts w:ascii="Arial" w:hAnsi="Arial" w:cs="Arial"/>
          <w:sz w:val="22"/>
          <w:szCs w:val="22"/>
        </w:rPr>
        <w:t>kişi</w:t>
      </w:r>
      <w:r w:rsidR="0054087D" w:rsidRPr="0065131A">
        <w:rPr>
          <w:rFonts w:ascii="Arial" w:hAnsi="Arial" w:cs="Arial"/>
          <w:sz w:val="22"/>
          <w:szCs w:val="22"/>
        </w:rPr>
        <w:t>di</w:t>
      </w:r>
      <w:r w:rsidR="004D0816" w:rsidRPr="0065131A">
        <w:rPr>
          <w:rFonts w:ascii="Arial" w:hAnsi="Arial" w:cs="Arial"/>
          <w:sz w:val="22"/>
          <w:szCs w:val="22"/>
        </w:rPr>
        <w:t>r</w:t>
      </w:r>
      <w:r w:rsidR="006960E7" w:rsidRPr="0065131A">
        <w:rPr>
          <w:rFonts w:ascii="Arial" w:hAnsi="Arial" w:cs="Arial"/>
          <w:sz w:val="22"/>
          <w:szCs w:val="22"/>
        </w:rPr>
        <w:t>.</w:t>
      </w:r>
    </w:p>
    <w:p w:rsidR="00E5771F" w:rsidRPr="0065131A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:rsidR="00F91E95" w:rsidRPr="0065131A" w:rsidRDefault="00227B21" w:rsidP="00ED7732">
      <w:pPr>
        <w:pStyle w:val="Heading9"/>
        <w:rPr>
          <w:rFonts w:ascii="Arial" w:hAnsi="Arial" w:cs="Arial"/>
          <w:szCs w:val="22"/>
        </w:rPr>
      </w:pPr>
      <w:r w:rsidRPr="0065131A">
        <w:rPr>
          <w:rFonts w:ascii="Arial" w:hAnsi="Arial" w:cs="Arial"/>
        </w:rPr>
        <w:t>İnternet Bankacılığını Kullanan Müşteri Sayısı</w:t>
      </w:r>
    </w:p>
    <w:tbl>
      <w:tblPr>
        <w:tblW w:w="872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1421"/>
        <w:gridCol w:w="1469"/>
        <w:gridCol w:w="1366"/>
      </w:tblGrid>
      <w:tr w:rsidR="0065131A" w:rsidRPr="0065131A" w:rsidTr="008953D2">
        <w:trPr>
          <w:trHeight w:val="539"/>
          <w:jc w:val="center"/>
        </w:trPr>
        <w:tc>
          <w:tcPr>
            <w:tcW w:w="447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Haziran 2023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Mart 2024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Haziran 2024</w:t>
            </w:r>
          </w:p>
        </w:tc>
      </w:tr>
      <w:tr w:rsidR="004A379F" w:rsidRPr="0065131A" w:rsidTr="000D2E0D">
        <w:trPr>
          <w:trHeight w:val="364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379F" w:rsidRPr="0065131A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65131A" w:rsidRDefault="004A379F" w:rsidP="004A379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65131A" w:rsidRDefault="004A379F" w:rsidP="004A379F">
            <w:pPr>
              <w:jc w:val="right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65131A" w:rsidRDefault="004A379F" w:rsidP="004A379F">
            <w:pPr>
              <w:jc w:val="right"/>
              <w:rPr>
                <w:sz w:val="20"/>
              </w:rPr>
            </w:pPr>
          </w:p>
        </w:tc>
      </w:tr>
      <w:tr w:rsidR="0065131A" w:rsidRPr="0065131A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5131A" w:rsidRPr="0065131A" w:rsidRDefault="0065131A" w:rsidP="0065131A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 w:rsidRPr="0065131A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>.</w:t>
            </w:r>
            <w:r w:rsidRPr="0065131A">
              <w:rPr>
                <w:rFonts w:ascii="Arial" w:hAnsi="Arial" w:cs="Arial"/>
                <w:sz w:val="20"/>
              </w:rPr>
              <w:t>564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  <w:r w:rsidRPr="0065131A">
              <w:rPr>
                <w:rFonts w:ascii="Arial" w:hAnsi="Arial" w:cs="Arial"/>
                <w:sz w:val="20"/>
              </w:rPr>
              <w:t>468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  <w:r w:rsidRPr="0065131A">
              <w:rPr>
                <w:rFonts w:ascii="Arial" w:hAnsi="Arial" w:cs="Arial"/>
                <w:sz w:val="20"/>
              </w:rPr>
              <w:t>426</w:t>
            </w:r>
          </w:p>
        </w:tc>
      </w:tr>
      <w:tr w:rsidR="0065131A" w:rsidRPr="0065131A" w:rsidTr="008953D2">
        <w:trPr>
          <w:trHeight w:val="139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5131A" w:rsidRPr="0065131A" w:rsidRDefault="0065131A" w:rsidP="0065131A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 w:rsidRPr="0065131A">
              <w:rPr>
                <w:rFonts w:ascii="Arial" w:hAnsi="Arial" w:cs="Arial"/>
                <w:sz w:val="20"/>
              </w:rPr>
              <w:t>92</w:t>
            </w:r>
            <w:r>
              <w:rPr>
                <w:rFonts w:ascii="Arial" w:hAnsi="Arial" w:cs="Arial"/>
                <w:sz w:val="20"/>
              </w:rPr>
              <w:t>.</w:t>
            </w:r>
            <w:r w:rsidRPr="0065131A">
              <w:rPr>
                <w:rFonts w:ascii="Arial" w:hAnsi="Arial" w:cs="Arial"/>
                <w:sz w:val="20"/>
              </w:rPr>
              <w:t>088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99.</w:t>
            </w:r>
            <w:r w:rsidRPr="0065131A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</w:t>
            </w:r>
            <w:r w:rsidRPr="0065131A">
              <w:rPr>
                <w:rFonts w:ascii="Arial" w:hAnsi="Arial" w:cs="Arial"/>
                <w:sz w:val="20"/>
              </w:rPr>
              <w:t>994</w:t>
            </w:r>
          </w:p>
        </w:tc>
      </w:tr>
      <w:tr w:rsidR="0065131A" w:rsidRPr="0065131A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5131A" w:rsidRPr="0065131A" w:rsidRDefault="0065131A" w:rsidP="0065131A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</w:t>
            </w:r>
            <w:r w:rsidRPr="0065131A">
              <w:rPr>
                <w:rFonts w:ascii="Arial" w:hAnsi="Arial" w:cs="Arial"/>
                <w:sz w:val="20"/>
              </w:rPr>
              <w:t>834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</w:t>
            </w:r>
            <w:r w:rsidRPr="0065131A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</w:t>
            </w:r>
            <w:r w:rsidRPr="0065131A">
              <w:rPr>
                <w:rFonts w:ascii="Arial" w:hAnsi="Arial" w:cs="Arial"/>
                <w:sz w:val="20"/>
              </w:rPr>
              <w:t>870</w:t>
            </w:r>
          </w:p>
        </w:tc>
      </w:tr>
      <w:tr w:rsidR="0065131A" w:rsidRPr="0065131A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5131A" w:rsidRPr="0065131A" w:rsidRDefault="0065131A" w:rsidP="0065131A">
            <w:pPr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</w:tr>
      <w:tr w:rsidR="004A379F" w:rsidRPr="0065131A" w:rsidTr="004352CA">
        <w:trPr>
          <w:trHeight w:val="131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379F" w:rsidRPr="0065131A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65131A" w:rsidRDefault="004A379F" w:rsidP="004A379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65131A" w:rsidRDefault="004A379F" w:rsidP="004A379F">
            <w:pPr>
              <w:jc w:val="right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65131A" w:rsidRDefault="004A379F" w:rsidP="004A379F">
            <w:pPr>
              <w:jc w:val="right"/>
              <w:rPr>
                <w:sz w:val="20"/>
              </w:rPr>
            </w:pPr>
          </w:p>
        </w:tc>
      </w:tr>
      <w:tr w:rsidR="004A379F" w:rsidRPr="0065131A" w:rsidTr="004352CA">
        <w:trPr>
          <w:trHeight w:val="252"/>
          <w:jc w:val="center"/>
        </w:trPr>
        <w:tc>
          <w:tcPr>
            <w:tcW w:w="4471" w:type="dxa"/>
            <w:shd w:val="clear" w:color="auto" w:fill="auto"/>
            <w:vAlign w:val="center"/>
          </w:tcPr>
          <w:p w:rsidR="004A379F" w:rsidRPr="0065131A" w:rsidRDefault="004A379F" w:rsidP="004A379F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65131A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65131A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65131A" w:rsidRDefault="004A379F" w:rsidP="004A379F">
            <w:pPr>
              <w:jc w:val="righ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65131A" w:rsidRDefault="004A379F" w:rsidP="004A379F">
            <w:pPr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65131A" w:rsidRDefault="004A379F" w:rsidP="004A379F">
            <w:pPr>
              <w:rPr>
                <w:sz w:val="20"/>
              </w:rPr>
            </w:pPr>
          </w:p>
        </w:tc>
      </w:tr>
      <w:tr w:rsidR="0065131A" w:rsidRPr="0065131A" w:rsidTr="004352CA">
        <w:trPr>
          <w:trHeight w:val="170"/>
          <w:jc w:val="center"/>
        </w:trPr>
        <w:tc>
          <w:tcPr>
            <w:tcW w:w="4471" w:type="dxa"/>
            <w:shd w:val="clear" w:color="auto" w:fill="auto"/>
            <w:vAlign w:val="center"/>
          </w:tcPr>
          <w:p w:rsidR="0065131A" w:rsidRPr="0065131A" w:rsidRDefault="0065131A" w:rsidP="0065131A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Pr="0065131A">
              <w:rPr>
                <w:rFonts w:ascii="Arial" w:hAnsi="Arial" w:cs="Arial"/>
                <w:sz w:val="20"/>
              </w:rPr>
              <w:t>593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Pr="0065131A">
              <w:rPr>
                <w:rFonts w:ascii="Arial" w:hAnsi="Arial" w:cs="Arial"/>
                <w:sz w:val="20"/>
              </w:rPr>
              <w:t>577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Pr="0065131A">
              <w:rPr>
                <w:rFonts w:ascii="Arial" w:hAnsi="Arial" w:cs="Arial"/>
                <w:sz w:val="20"/>
              </w:rPr>
              <w:t>534</w:t>
            </w:r>
          </w:p>
        </w:tc>
      </w:tr>
      <w:tr w:rsidR="0065131A" w:rsidRPr="0065131A" w:rsidTr="004352CA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5131A" w:rsidRPr="0065131A" w:rsidRDefault="0065131A" w:rsidP="0065131A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  <w:r w:rsidRPr="0065131A">
              <w:rPr>
                <w:rFonts w:ascii="Arial" w:hAnsi="Arial" w:cs="Arial"/>
                <w:sz w:val="20"/>
              </w:rPr>
              <w:t>172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  <w:r w:rsidRPr="0065131A">
              <w:rPr>
                <w:rFonts w:ascii="Arial" w:hAnsi="Arial" w:cs="Arial"/>
                <w:sz w:val="20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  <w:r w:rsidRPr="0065131A">
              <w:rPr>
                <w:rFonts w:ascii="Arial" w:hAnsi="Arial" w:cs="Arial"/>
                <w:sz w:val="20"/>
              </w:rPr>
              <w:t>484</w:t>
            </w:r>
          </w:p>
        </w:tc>
      </w:tr>
      <w:tr w:rsidR="0065131A" w:rsidRPr="0065131A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5131A" w:rsidRPr="0065131A" w:rsidRDefault="0065131A" w:rsidP="0065131A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Pr="0065131A">
              <w:rPr>
                <w:rFonts w:ascii="Arial" w:hAnsi="Arial" w:cs="Arial"/>
                <w:sz w:val="20"/>
              </w:rPr>
              <w:t>284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Pr="0065131A">
              <w:rPr>
                <w:rFonts w:ascii="Arial" w:hAnsi="Arial" w:cs="Arial"/>
                <w:sz w:val="20"/>
              </w:rPr>
              <w:t>397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Pr="0065131A">
              <w:rPr>
                <w:rFonts w:ascii="Arial" w:hAnsi="Arial" w:cs="Arial"/>
                <w:sz w:val="20"/>
              </w:rPr>
              <w:t>315</w:t>
            </w:r>
          </w:p>
        </w:tc>
      </w:tr>
      <w:tr w:rsidR="0065131A" w:rsidRPr="0065131A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5131A" w:rsidRPr="0065131A" w:rsidRDefault="0065131A" w:rsidP="0065131A">
            <w:pPr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26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</w:tr>
      <w:tr w:rsidR="004A379F" w:rsidRPr="0065131A" w:rsidTr="000D2E0D">
        <w:trPr>
          <w:trHeight w:val="77"/>
          <w:jc w:val="center"/>
        </w:trPr>
        <w:tc>
          <w:tcPr>
            <w:tcW w:w="4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379F" w:rsidRPr="0065131A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65131A" w:rsidRDefault="004A379F" w:rsidP="004A379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65131A" w:rsidRDefault="004A379F" w:rsidP="004A379F">
            <w:pPr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65131A" w:rsidRDefault="004A379F" w:rsidP="004A379F">
            <w:pPr>
              <w:rPr>
                <w:sz w:val="20"/>
              </w:rPr>
            </w:pPr>
          </w:p>
        </w:tc>
      </w:tr>
      <w:tr w:rsidR="004A379F" w:rsidRPr="0065131A" w:rsidTr="000D2E0D">
        <w:trPr>
          <w:trHeight w:val="252"/>
          <w:jc w:val="center"/>
        </w:trPr>
        <w:tc>
          <w:tcPr>
            <w:tcW w:w="44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A379F" w:rsidRPr="0065131A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65131A" w:rsidRDefault="004A379F" w:rsidP="004A379F">
            <w:pPr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65131A" w:rsidRDefault="004A379F" w:rsidP="004A379F">
            <w:pPr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65131A" w:rsidRDefault="004A379F" w:rsidP="004A379F">
            <w:pPr>
              <w:rPr>
                <w:sz w:val="20"/>
              </w:rPr>
            </w:pPr>
          </w:p>
        </w:tc>
      </w:tr>
      <w:tr w:rsidR="0065131A" w:rsidRPr="0065131A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5131A" w:rsidRPr="0065131A" w:rsidRDefault="0065131A" w:rsidP="0065131A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</w:rPr>
              <w:t>12.</w:t>
            </w:r>
            <w:r w:rsidRPr="0065131A">
              <w:rPr>
                <w:rFonts w:ascii="Arial" w:hAnsi="Arial" w:cs="Arial"/>
                <w:sz w:val="20"/>
              </w:rPr>
              <w:t>158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 w:rsidRPr="0065131A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sz w:val="20"/>
              </w:rPr>
              <w:t>.</w:t>
            </w:r>
            <w:r w:rsidRPr="0065131A">
              <w:rPr>
                <w:rFonts w:ascii="Arial" w:hAnsi="Arial" w:cs="Arial"/>
                <w:sz w:val="20"/>
              </w:rPr>
              <w:t>044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  <w:r w:rsidRPr="0065131A">
              <w:rPr>
                <w:rFonts w:ascii="Arial" w:hAnsi="Arial" w:cs="Arial"/>
                <w:sz w:val="20"/>
              </w:rPr>
              <w:t>960</w:t>
            </w:r>
          </w:p>
        </w:tc>
      </w:tr>
      <w:tr w:rsidR="0065131A" w:rsidRPr="0065131A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5131A" w:rsidRPr="0065131A" w:rsidRDefault="0065131A" w:rsidP="0065131A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98.</w:t>
            </w:r>
            <w:r w:rsidRPr="0065131A">
              <w:rPr>
                <w:rFonts w:ascii="Arial" w:hAnsi="Arial" w:cs="Arial"/>
                <w:sz w:val="20"/>
              </w:rPr>
              <w:t>260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105.</w:t>
            </w:r>
            <w:r w:rsidRPr="0065131A">
              <w:rPr>
                <w:rFonts w:ascii="Arial" w:hAnsi="Arial" w:cs="Arial"/>
                <w:sz w:val="20"/>
              </w:rPr>
              <w:t>739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107.</w:t>
            </w:r>
            <w:r w:rsidRPr="0065131A">
              <w:rPr>
                <w:rFonts w:ascii="Arial" w:hAnsi="Arial" w:cs="Arial"/>
                <w:sz w:val="20"/>
              </w:rPr>
              <w:t>477</w:t>
            </w:r>
          </w:p>
        </w:tc>
      </w:tr>
      <w:tr w:rsidR="0065131A" w:rsidRPr="0065131A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5131A" w:rsidRPr="0065131A" w:rsidRDefault="0065131A" w:rsidP="0065131A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</w:t>
            </w:r>
            <w:r w:rsidRPr="0065131A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</w:t>
            </w:r>
            <w:r w:rsidRPr="0065131A">
              <w:rPr>
                <w:rFonts w:ascii="Arial" w:hAnsi="Arial" w:cs="Arial"/>
                <w:sz w:val="20"/>
              </w:rPr>
              <w:t>546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</w:t>
            </w:r>
            <w:r w:rsidRPr="0065131A">
              <w:rPr>
                <w:rFonts w:ascii="Arial" w:hAnsi="Arial" w:cs="Arial"/>
                <w:sz w:val="20"/>
              </w:rPr>
              <w:t>185</w:t>
            </w:r>
          </w:p>
        </w:tc>
      </w:tr>
      <w:tr w:rsidR="0065131A" w:rsidRPr="004357F6" w:rsidTr="008953D2">
        <w:trPr>
          <w:trHeight w:val="100"/>
          <w:jc w:val="center"/>
        </w:trPr>
        <w:tc>
          <w:tcPr>
            <w:tcW w:w="4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131A" w:rsidRPr="0065131A" w:rsidRDefault="0065131A" w:rsidP="0065131A">
            <w:pPr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5131A" w:rsidRPr="0065131A" w:rsidRDefault="0065131A" w:rsidP="0065131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5131A" w:rsidRDefault="0065131A" w:rsidP="0065131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</w:tr>
    </w:tbl>
    <w:p w:rsidR="00FB188B" w:rsidRPr="004357F6" w:rsidRDefault="00FB188B" w:rsidP="0007429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ED6942" w:rsidRPr="00D74A96" w:rsidRDefault="00D74A96" w:rsidP="00074293">
      <w:pPr>
        <w:pStyle w:val="BodyText"/>
        <w:rPr>
          <w:rFonts w:ascii="Arial" w:hAnsi="Arial" w:cs="Arial"/>
          <w:sz w:val="22"/>
          <w:szCs w:val="22"/>
        </w:rPr>
      </w:pPr>
      <w:r w:rsidRPr="00D74A96">
        <w:rPr>
          <w:rFonts w:ascii="Arial" w:hAnsi="Arial" w:cs="Arial"/>
          <w:sz w:val="22"/>
          <w:szCs w:val="22"/>
        </w:rPr>
        <w:t>Nisan</w:t>
      </w:r>
      <w:r w:rsidR="004A379F" w:rsidRPr="00D74A96">
        <w:rPr>
          <w:rFonts w:ascii="Arial" w:hAnsi="Arial" w:cs="Arial"/>
          <w:sz w:val="22"/>
          <w:szCs w:val="22"/>
        </w:rPr>
        <w:t>-</w:t>
      </w:r>
      <w:r w:rsidRPr="00D74A96">
        <w:rPr>
          <w:rFonts w:ascii="Arial" w:hAnsi="Arial" w:cs="Arial"/>
          <w:sz w:val="22"/>
          <w:szCs w:val="22"/>
        </w:rPr>
        <w:t>Haziran</w:t>
      </w:r>
      <w:r w:rsidR="004A379F" w:rsidRPr="00D74A96">
        <w:rPr>
          <w:rFonts w:ascii="Arial" w:hAnsi="Arial" w:cs="Arial"/>
          <w:sz w:val="22"/>
          <w:szCs w:val="22"/>
        </w:rPr>
        <w:t xml:space="preserve"> 2024 </w:t>
      </w:r>
      <w:r w:rsidR="00ED6942" w:rsidRPr="00D74A96">
        <w:rPr>
          <w:rFonts w:ascii="Arial" w:hAnsi="Arial" w:cs="Arial"/>
          <w:sz w:val="22"/>
          <w:szCs w:val="22"/>
        </w:rPr>
        <w:t xml:space="preserve">dönemi içinde en az bir kez internet bankacılığı giriş işlemi yapmış aktif bireysel müşteri </w:t>
      </w:r>
      <w:r w:rsidR="00EC207B" w:rsidRPr="00D74A96">
        <w:rPr>
          <w:rFonts w:ascii="Arial" w:hAnsi="Arial" w:cs="Arial"/>
          <w:sz w:val="22"/>
          <w:szCs w:val="22"/>
        </w:rPr>
        <w:t xml:space="preserve">sayısı </w:t>
      </w:r>
      <w:r w:rsidRPr="00D74A96">
        <w:rPr>
          <w:rFonts w:ascii="Arial" w:hAnsi="Arial" w:cs="Arial"/>
          <w:sz w:val="22"/>
          <w:szCs w:val="22"/>
        </w:rPr>
        <w:t>8</w:t>
      </w:r>
      <w:r w:rsidR="00ED6942" w:rsidRPr="00D74A96">
        <w:rPr>
          <w:rFonts w:ascii="Arial" w:hAnsi="Arial" w:cs="Arial"/>
          <w:sz w:val="22"/>
          <w:szCs w:val="22"/>
        </w:rPr>
        <w:t xml:space="preserve"> milyon </w:t>
      </w:r>
      <w:r w:rsidR="008B6ECA" w:rsidRPr="00D74A96">
        <w:rPr>
          <w:rFonts w:ascii="Arial" w:hAnsi="Arial" w:cs="Arial"/>
          <w:sz w:val="22"/>
          <w:szCs w:val="22"/>
        </w:rPr>
        <w:t>4</w:t>
      </w:r>
      <w:r w:rsidRPr="00D74A96">
        <w:rPr>
          <w:rFonts w:ascii="Arial" w:hAnsi="Arial" w:cs="Arial"/>
          <w:sz w:val="22"/>
          <w:szCs w:val="22"/>
        </w:rPr>
        <w:t>26</w:t>
      </w:r>
      <w:r w:rsidR="00ED6942" w:rsidRPr="00D74A96">
        <w:rPr>
          <w:rFonts w:ascii="Arial" w:hAnsi="Arial" w:cs="Arial"/>
          <w:sz w:val="22"/>
          <w:szCs w:val="22"/>
        </w:rPr>
        <w:t xml:space="preserve"> bin kişidir. Bu miktar kayıtlı toplam bireysel müşteri sayısının yüzde </w:t>
      </w:r>
      <w:r w:rsidRPr="00D74A96">
        <w:rPr>
          <w:rFonts w:ascii="Arial" w:hAnsi="Arial" w:cs="Arial"/>
          <w:sz w:val="22"/>
          <w:szCs w:val="22"/>
        </w:rPr>
        <w:t>8</w:t>
      </w:r>
      <w:r w:rsidR="00ED6942" w:rsidRPr="00D74A96">
        <w:rPr>
          <w:rFonts w:ascii="Arial" w:hAnsi="Arial" w:cs="Arial"/>
          <w:sz w:val="22"/>
          <w:szCs w:val="22"/>
        </w:rPr>
        <w:t>’</w:t>
      </w:r>
      <w:r w:rsidRPr="00D74A96">
        <w:rPr>
          <w:rFonts w:ascii="Arial" w:hAnsi="Arial" w:cs="Arial"/>
          <w:sz w:val="22"/>
          <w:szCs w:val="22"/>
        </w:rPr>
        <w:t>ini</w:t>
      </w:r>
      <w:r w:rsidR="00ED6942" w:rsidRPr="00D74A96">
        <w:rPr>
          <w:rFonts w:ascii="Arial" w:hAnsi="Arial" w:cs="Arial"/>
          <w:sz w:val="22"/>
          <w:szCs w:val="22"/>
        </w:rPr>
        <w:t xml:space="preserve"> oluşturmaktadır.</w:t>
      </w:r>
    </w:p>
    <w:p w:rsidR="000C1782" w:rsidRPr="004357F6" w:rsidRDefault="000C1782" w:rsidP="00074293">
      <w:pPr>
        <w:pStyle w:val="BodyText"/>
        <w:rPr>
          <w:rFonts w:ascii="Arial" w:hAnsi="Arial" w:cs="Arial"/>
          <w:bCs/>
          <w:sz w:val="16"/>
          <w:szCs w:val="16"/>
          <w:highlight w:val="yellow"/>
        </w:rPr>
      </w:pPr>
    </w:p>
    <w:p w:rsidR="00F950A5" w:rsidRDefault="00F950A5" w:rsidP="00074293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F950A5" w:rsidRDefault="00F950A5" w:rsidP="00074293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074293" w:rsidRPr="00F217E7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F217E7">
        <w:rPr>
          <w:rFonts w:ascii="Arial" w:hAnsi="Arial" w:cs="Arial"/>
          <w:color w:val="000000"/>
          <w:sz w:val="22"/>
          <w:szCs w:val="22"/>
        </w:rPr>
        <w:lastRenderedPageBreak/>
        <w:t>İnternet bankacılığı</w:t>
      </w:r>
      <w:r w:rsidR="00F950A5">
        <w:rPr>
          <w:rFonts w:ascii="Arial" w:hAnsi="Arial" w:cs="Arial"/>
          <w:color w:val="000000"/>
          <w:sz w:val="22"/>
          <w:szCs w:val="22"/>
        </w:rPr>
        <w:t>nda</w:t>
      </w:r>
      <w:bookmarkStart w:id="0" w:name="_GoBack"/>
      <w:bookmarkEnd w:id="0"/>
      <w:r w:rsidRPr="00F217E7">
        <w:rPr>
          <w:rFonts w:ascii="Arial" w:hAnsi="Arial" w:cs="Arial"/>
          <w:sz w:val="22"/>
          <w:szCs w:val="22"/>
        </w:rPr>
        <w:t xml:space="preserve"> sistemde kayıtlı olan ve en az bir kez </w:t>
      </w:r>
      <w:r w:rsidR="00CA5F28" w:rsidRPr="00F217E7">
        <w:rPr>
          <w:rFonts w:ascii="Arial" w:hAnsi="Arial" w:cs="Arial"/>
          <w:sz w:val="22"/>
          <w:szCs w:val="22"/>
        </w:rPr>
        <w:t>giriş işlemi yapmış</w:t>
      </w:r>
      <w:r w:rsidRPr="00F217E7">
        <w:rPr>
          <w:rFonts w:ascii="Arial" w:hAnsi="Arial" w:cs="Arial"/>
          <w:sz w:val="22"/>
          <w:szCs w:val="22"/>
        </w:rPr>
        <w:t xml:space="preserve"> kurumsal müşteri sayısı</w:t>
      </w:r>
      <w:r w:rsidR="00E5771F" w:rsidRPr="00F217E7">
        <w:rPr>
          <w:rFonts w:ascii="Arial" w:hAnsi="Arial" w:cs="Arial"/>
          <w:sz w:val="22"/>
          <w:szCs w:val="22"/>
        </w:rPr>
        <w:t>,</w:t>
      </w:r>
      <w:r w:rsidRPr="00F217E7">
        <w:rPr>
          <w:rFonts w:ascii="Arial" w:hAnsi="Arial" w:cs="Arial"/>
          <w:sz w:val="22"/>
          <w:szCs w:val="22"/>
        </w:rPr>
        <w:t xml:space="preserve"> </w:t>
      </w:r>
      <w:r w:rsidR="00F217E7" w:rsidRPr="00F217E7">
        <w:rPr>
          <w:rFonts w:ascii="Arial" w:hAnsi="Arial" w:cs="Arial"/>
          <w:sz w:val="22"/>
          <w:szCs w:val="22"/>
        </w:rPr>
        <w:t>Haziran</w:t>
      </w:r>
      <w:r w:rsidR="00D21E93" w:rsidRPr="00F217E7">
        <w:rPr>
          <w:rFonts w:ascii="Arial" w:hAnsi="Arial" w:cs="Arial"/>
          <w:sz w:val="22"/>
          <w:szCs w:val="22"/>
        </w:rPr>
        <w:t xml:space="preserve"> 202</w:t>
      </w:r>
      <w:r w:rsidR="004A379F" w:rsidRPr="00F217E7">
        <w:rPr>
          <w:rFonts w:ascii="Arial" w:hAnsi="Arial" w:cs="Arial"/>
          <w:sz w:val="22"/>
          <w:szCs w:val="22"/>
        </w:rPr>
        <w:t>4</w:t>
      </w:r>
      <w:r w:rsidR="003E7F86" w:rsidRPr="00F217E7">
        <w:rPr>
          <w:rFonts w:ascii="Arial" w:hAnsi="Arial" w:cs="Arial"/>
          <w:sz w:val="22"/>
          <w:szCs w:val="22"/>
        </w:rPr>
        <w:t xml:space="preserve"> </w:t>
      </w:r>
      <w:r w:rsidR="006073A7" w:rsidRPr="00F217E7">
        <w:rPr>
          <w:rFonts w:ascii="Arial" w:hAnsi="Arial" w:cs="Arial"/>
          <w:sz w:val="22"/>
          <w:szCs w:val="22"/>
        </w:rPr>
        <w:t>itibarıyla</w:t>
      </w:r>
      <w:r w:rsidR="002463B3" w:rsidRPr="00F217E7">
        <w:rPr>
          <w:rFonts w:ascii="Arial" w:hAnsi="Arial" w:cs="Arial"/>
          <w:sz w:val="22"/>
          <w:szCs w:val="22"/>
        </w:rPr>
        <w:t xml:space="preserve"> </w:t>
      </w:r>
      <w:r w:rsidR="0068204B" w:rsidRPr="00F217E7">
        <w:rPr>
          <w:rFonts w:ascii="Arial" w:hAnsi="Arial" w:cs="Arial"/>
          <w:sz w:val="22"/>
          <w:szCs w:val="22"/>
        </w:rPr>
        <w:t>6</w:t>
      </w:r>
      <w:r w:rsidR="002463B3" w:rsidRPr="00F217E7">
        <w:rPr>
          <w:rFonts w:ascii="Arial" w:hAnsi="Arial" w:cs="Arial"/>
          <w:sz w:val="22"/>
          <w:szCs w:val="22"/>
        </w:rPr>
        <w:t xml:space="preserve"> milyon</w:t>
      </w:r>
      <w:r w:rsidR="004A79AB" w:rsidRPr="00F217E7">
        <w:rPr>
          <w:rFonts w:ascii="Arial" w:hAnsi="Arial" w:cs="Arial"/>
          <w:sz w:val="22"/>
          <w:szCs w:val="22"/>
        </w:rPr>
        <w:t xml:space="preserve"> </w:t>
      </w:r>
      <w:r w:rsidR="008B6ECA" w:rsidRPr="00F217E7">
        <w:rPr>
          <w:rFonts w:ascii="Arial" w:hAnsi="Arial" w:cs="Arial"/>
          <w:sz w:val="22"/>
          <w:szCs w:val="22"/>
        </w:rPr>
        <w:t>4</w:t>
      </w:r>
      <w:r w:rsidR="00F217E7" w:rsidRPr="00F217E7">
        <w:rPr>
          <w:rFonts w:ascii="Arial" w:hAnsi="Arial" w:cs="Arial"/>
          <w:sz w:val="22"/>
          <w:szCs w:val="22"/>
        </w:rPr>
        <w:t>84</w:t>
      </w:r>
      <w:r w:rsidR="004A79AB" w:rsidRPr="00F217E7">
        <w:rPr>
          <w:rFonts w:ascii="Arial" w:hAnsi="Arial" w:cs="Arial"/>
          <w:sz w:val="22"/>
          <w:szCs w:val="22"/>
        </w:rPr>
        <w:t xml:space="preserve"> bin</w:t>
      </w:r>
      <w:r w:rsidR="00593165" w:rsidRPr="00F217E7">
        <w:rPr>
          <w:rFonts w:ascii="Arial" w:hAnsi="Arial" w:cs="Arial"/>
          <w:sz w:val="22"/>
          <w:szCs w:val="22"/>
        </w:rPr>
        <w:t xml:space="preserve"> kişi</w:t>
      </w:r>
      <w:r w:rsidR="00F950A5">
        <w:rPr>
          <w:rFonts w:ascii="Arial" w:hAnsi="Arial" w:cs="Arial"/>
          <w:sz w:val="22"/>
          <w:szCs w:val="22"/>
        </w:rPr>
        <w:t>dir</w:t>
      </w:r>
      <w:r w:rsidR="00593165" w:rsidRPr="00F217E7">
        <w:rPr>
          <w:rFonts w:ascii="Arial" w:hAnsi="Arial" w:cs="Arial"/>
          <w:sz w:val="22"/>
          <w:szCs w:val="22"/>
        </w:rPr>
        <w:t>.</w:t>
      </w:r>
      <w:r w:rsidR="00F950A5">
        <w:rPr>
          <w:rFonts w:ascii="Arial" w:hAnsi="Arial" w:cs="Arial"/>
          <w:sz w:val="22"/>
          <w:szCs w:val="22"/>
        </w:rPr>
        <w:t xml:space="preserve"> Bunu</w:t>
      </w:r>
      <w:r w:rsidRPr="00F217E7">
        <w:rPr>
          <w:rFonts w:ascii="Arial" w:hAnsi="Arial" w:cs="Arial"/>
          <w:sz w:val="22"/>
          <w:szCs w:val="22"/>
        </w:rPr>
        <w:t xml:space="preserve">n </w:t>
      </w:r>
      <w:r w:rsidR="00565669" w:rsidRPr="00F217E7">
        <w:rPr>
          <w:rFonts w:ascii="Arial" w:hAnsi="Arial" w:cs="Arial"/>
          <w:sz w:val="22"/>
          <w:szCs w:val="22"/>
        </w:rPr>
        <w:t xml:space="preserve">1 milyon </w:t>
      </w:r>
      <w:r w:rsidR="008B6ECA" w:rsidRPr="00F217E7">
        <w:rPr>
          <w:rFonts w:ascii="Arial" w:hAnsi="Arial" w:cs="Arial"/>
          <w:sz w:val="22"/>
          <w:szCs w:val="22"/>
        </w:rPr>
        <w:t>5</w:t>
      </w:r>
      <w:r w:rsidR="00F217E7" w:rsidRPr="00F217E7">
        <w:rPr>
          <w:rFonts w:ascii="Arial" w:hAnsi="Arial" w:cs="Arial"/>
          <w:sz w:val="22"/>
          <w:szCs w:val="22"/>
        </w:rPr>
        <w:t>34</w:t>
      </w:r>
      <w:r w:rsidR="006A115F" w:rsidRPr="00F217E7">
        <w:rPr>
          <w:rFonts w:ascii="Arial" w:hAnsi="Arial" w:cs="Arial"/>
          <w:sz w:val="22"/>
          <w:szCs w:val="22"/>
        </w:rPr>
        <w:t xml:space="preserve"> </w:t>
      </w:r>
      <w:r w:rsidR="00E4414F" w:rsidRPr="00F217E7">
        <w:rPr>
          <w:rFonts w:ascii="Arial" w:hAnsi="Arial" w:cs="Arial"/>
          <w:sz w:val="22"/>
          <w:szCs w:val="22"/>
        </w:rPr>
        <w:t>bini</w:t>
      </w:r>
      <w:r w:rsidRPr="00F217E7">
        <w:rPr>
          <w:rFonts w:ascii="Arial" w:hAnsi="Arial" w:cs="Arial"/>
          <w:sz w:val="22"/>
          <w:szCs w:val="22"/>
        </w:rPr>
        <w:t xml:space="preserve"> (yüzde </w:t>
      </w:r>
      <w:r w:rsidR="00A9024D" w:rsidRPr="00F217E7">
        <w:rPr>
          <w:rFonts w:ascii="Arial" w:hAnsi="Arial" w:cs="Arial"/>
          <w:sz w:val="22"/>
          <w:szCs w:val="22"/>
        </w:rPr>
        <w:t>2</w:t>
      </w:r>
      <w:r w:rsidR="00B53F3F">
        <w:rPr>
          <w:rFonts w:ascii="Arial" w:hAnsi="Arial" w:cs="Arial"/>
          <w:sz w:val="22"/>
          <w:szCs w:val="22"/>
        </w:rPr>
        <w:t>4</w:t>
      </w:r>
      <w:r w:rsidR="00C22B35" w:rsidRPr="00F217E7">
        <w:rPr>
          <w:rFonts w:ascii="Arial" w:hAnsi="Arial" w:cs="Arial"/>
          <w:sz w:val="22"/>
          <w:szCs w:val="22"/>
        </w:rPr>
        <w:t>’</w:t>
      </w:r>
      <w:r w:rsidR="00F217E7" w:rsidRPr="00F217E7">
        <w:rPr>
          <w:rFonts w:ascii="Arial" w:hAnsi="Arial" w:cs="Arial"/>
          <w:sz w:val="22"/>
          <w:szCs w:val="22"/>
        </w:rPr>
        <w:t>ü</w:t>
      </w:r>
      <w:r w:rsidRPr="00F217E7">
        <w:rPr>
          <w:rFonts w:ascii="Arial" w:hAnsi="Arial" w:cs="Arial"/>
          <w:sz w:val="22"/>
          <w:szCs w:val="22"/>
        </w:rPr>
        <w:t xml:space="preserve">) </w:t>
      </w:r>
      <w:r w:rsidR="00F217E7" w:rsidRPr="00F217E7">
        <w:rPr>
          <w:rFonts w:ascii="Arial" w:hAnsi="Arial" w:cs="Arial"/>
          <w:sz w:val="22"/>
          <w:szCs w:val="22"/>
        </w:rPr>
        <w:t>Nisan</w:t>
      </w:r>
      <w:r w:rsidR="004A379F" w:rsidRPr="00F217E7">
        <w:rPr>
          <w:rFonts w:ascii="Arial" w:hAnsi="Arial" w:cs="Arial"/>
          <w:sz w:val="22"/>
          <w:szCs w:val="22"/>
        </w:rPr>
        <w:t>-</w:t>
      </w:r>
      <w:r w:rsidR="00F217E7" w:rsidRPr="00F217E7">
        <w:rPr>
          <w:rFonts w:ascii="Arial" w:hAnsi="Arial" w:cs="Arial"/>
          <w:sz w:val="22"/>
          <w:szCs w:val="22"/>
        </w:rPr>
        <w:t>Haziran</w:t>
      </w:r>
      <w:r w:rsidR="004A379F" w:rsidRPr="00F217E7">
        <w:rPr>
          <w:rFonts w:ascii="Arial" w:hAnsi="Arial" w:cs="Arial"/>
          <w:sz w:val="22"/>
          <w:szCs w:val="22"/>
        </w:rPr>
        <w:t xml:space="preserve"> 2024 </w:t>
      </w:r>
      <w:r w:rsidR="003E7F86" w:rsidRPr="00F217E7">
        <w:rPr>
          <w:rFonts w:ascii="Arial" w:hAnsi="Arial" w:cs="Arial"/>
          <w:sz w:val="22"/>
          <w:szCs w:val="22"/>
        </w:rPr>
        <w:t xml:space="preserve">dönemi içerisinde </w:t>
      </w:r>
      <w:r w:rsidRPr="00F217E7">
        <w:rPr>
          <w:rFonts w:ascii="Arial" w:hAnsi="Arial" w:cs="Arial"/>
          <w:sz w:val="22"/>
          <w:szCs w:val="22"/>
        </w:rPr>
        <w:t xml:space="preserve">en az bir kez </w:t>
      </w:r>
      <w:r w:rsidR="00CA5F28" w:rsidRPr="00F217E7">
        <w:rPr>
          <w:rFonts w:ascii="Arial" w:hAnsi="Arial" w:cs="Arial"/>
          <w:sz w:val="22"/>
          <w:szCs w:val="22"/>
        </w:rPr>
        <w:t xml:space="preserve">giriş </w:t>
      </w:r>
      <w:r w:rsidRPr="00F217E7">
        <w:rPr>
          <w:rFonts w:ascii="Arial" w:hAnsi="Arial" w:cs="Arial"/>
          <w:sz w:val="22"/>
          <w:szCs w:val="22"/>
        </w:rPr>
        <w:t>işlem</w:t>
      </w:r>
      <w:r w:rsidR="00CA5F28" w:rsidRPr="00F217E7">
        <w:rPr>
          <w:rFonts w:ascii="Arial" w:hAnsi="Arial" w:cs="Arial"/>
          <w:sz w:val="22"/>
          <w:szCs w:val="22"/>
        </w:rPr>
        <w:t>i</w:t>
      </w:r>
      <w:r w:rsidRPr="00F217E7">
        <w:rPr>
          <w:rFonts w:ascii="Arial" w:hAnsi="Arial" w:cs="Arial"/>
          <w:sz w:val="22"/>
          <w:szCs w:val="22"/>
        </w:rPr>
        <w:t xml:space="preserve"> yapmıştır. Son bir yıl içerisinde </w:t>
      </w:r>
      <w:r w:rsidR="00CA5F28" w:rsidRPr="00F217E7">
        <w:rPr>
          <w:rFonts w:ascii="Arial" w:hAnsi="Arial" w:cs="Arial"/>
          <w:sz w:val="22"/>
          <w:szCs w:val="22"/>
        </w:rPr>
        <w:t>en az bir kez giriş işlemi yapmış</w:t>
      </w:r>
      <w:r w:rsidRPr="00F217E7">
        <w:rPr>
          <w:rFonts w:ascii="Arial" w:hAnsi="Arial" w:cs="Arial"/>
          <w:sz w:val="22"/>
          <w:szCs w:val="22"/>
        </w:rPr>
        <w:t xml:space="preserve"> kurumsal müşteri sayısı ise </w:t>
      </w:r>
      <w:r w:rsidR="00D35366" w:rsidRPr="00F217E7">
        <w:rPr>
          <w:rFonts w:ascii="Arial" w:hAnsi="Arial" w:cs="Arial"/>
          <w:sz w:val="22"/>
          <w:szCs w:val="22"/>
        </w:rPr>
        <w:t>2</w:t>
      </w:r>
      <w:r w:rsidR="007D200F" w:rsidRPr="00F217E7">
        <w:rPr>
          <w:rFonts w:ascii="Arial" w:hAnsi="Arial" w:cs="Arial"/>
          <w:sz w:val="22"/>
          <w:szCs w:val="22"/>
        </w:rPr>
        <w:t xml:space="preserve"> </w:t>
      </w:r>
      <w:r w:rsidR="008E187F" w:rsidRPr="00F217E7">
        <w:rPr>
          <w:rFonts w:ascii="Arial" w:hAnsi="Arial" w:cs="Arial"/>
          <w:sz w:val="22"/>
          <w:szCs w:val="22"/>
        </w:rPr>
        <w:t>milyon</w:t>
      </w:r>
      <w:r w:rsidR="00EC207B" w:rsidRPr="00F217E7">
        <w:rPr>
          <w:rFonts w:ascii="Arial" w:hAnsi="Arial" w:cs="Arial"/>
          <w:sz w:val="22"/>
          <w:szCs w:val="22"/>
        </w:rPr>
        <w:t xml:space="preserve"> </w:t>
      </w:r>
      <w:r w:rsidR="004A379F" w:rsidRPr="00F217E7">
        <w:rPr>
          <w:rFonts w:ascii="Arial" w:hAnsi="Arial" w:cs="Arial"/>
          <w:sz w:val="22"/>
          <w:szCs w:val="22"/>
        </w:rPr>
        <w:t>31</w:t>
      </w:r>
      <w:r w:rsidR="00F217E7" w:rsidRPr="00F217E7">
        <w:rPr>
          <w:rFonts w:ascii="Arial" w:hAnsi="Arial" w:cs="Arial"/>
          <w:sz w:val="22"/>
          <w:szCs w:val="22"/>
        </w:rPr>
        <w:t xml:space="preserve">5 </w:t>
      </w:r>
      <w:r w:rsidR="004A79AB" w:rsidRPr="00F217E7">
        <w:rPr>
          <w:rFonts w:ascii="Arial" w:hAnsi="Arial" w:cs="Arial"/>
          <w:sz w:val="22"/>
          <w:szCs w:val="22"/>
        </w:rPr>
        <w:t>bin</w:t>
      </w:r>
      <w:r w:rsidR="00977F01" w:rsidRPr="00F217E7">
        <w:rPr>
          <w:rFonts w:ascii="Arial" w:hAnsi="Arial" w:cs="Arial"/>
          <w:sz w:val="22"/>
          <w:szCs w:val="22"/>
        </w:rPr>
        <w:t xml:space="preserve"> kişi</w:t>
      </w:r>
      <w:r w:rsidR="00E4414F" w:rsidRPr="00F217E7">
        <w:rPr>
          <w:rFonts w:ascii="Arial" w:hAnsi="Arial" w:cs="Arial"/>
          <w:sz w:val="22"/>
          <w:szCs w:val="22"/>
        </w:rPr>
        <w:t>dir.</w:t>
      </w:r>
    </w:p>
    <w:p w:rsidR="001F39AE" w:rsidRPr="004357F6" w:rsidRDefault="001F39AE" w:rsidP="00F04D3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9A38EB" w:rsidRPr="00EE5934" w:rsidRDefault="00CA46CC" w:rsidP="00F04D3B">
      <w:pPr>
        <w:pStyle w:val="BodyText"/>
        <w:rPr>
          <w:rFonts w:ascii="Arial" w:hAnsi="Arial" w:cs="Arial"/>
          <w:sz w:val="22"/>
          <w:szCs w:val="22"/>
        </w:rPr>
      </w:pPr>
      <w:r w:rsidRPr="001B5C53">
        <w:rPr>
          <w:rFonts w:ascii="Arial" w:hAnsi="Arial" w:cs="Arial"/>
          <w:sz w:val="22"/>
          <w:szCs w:val="22"/>
        </w:rPr>
        <w:t>İnternet</w:t>
      </w:r>
      <w:r w:rsidR="003A0807" w:rsidRPr="001B5C53">
        <w:rPr>
          <w:rFonts w:ascii="Arial" w:hAnsi="Arial" w:cs="Arial"/>
          <w:sz w:val="22"/>
          <w:szCs w:val="22"/>
        </w:rPr>
        <w:t xml:space="preserve"> bankacılığı için kayıt </w:t>
      </w:r>
      <w:r w:rsidR="003A0807" w:rsidRPr="00EE5934">
        <w:rPr>
          <w:rFonts w:ascii="Arial" w:hAnsi="Arial" w:cs="Arial"/>
          <w:sz w:val="22"/>
          <w:szCs w:val="22"/>
        </w:rPr>
        <w:t xml:space="preserve">yaptıran ve en az bir kez </w:t>
      </w:r>
      <w:r w:rsidR="00CA5F28" w:rsidRPr="00EE5934">
        <w:rPr>
          <w:rFonts w:ascii="Arial" w:hAnsi="Arial" w:cs="Arial"/>
          <w:sz w:val="22"/>
          <w:szCs w:val="22"/>
        </w:rPr>
        <w:t>giriş işlemi yapmış</w:t>
      </w:r>
      <w:r w:rsidR="003A0807" w:rsidRPr="00EE5934">
        <w:rPr>
          <w:rFonts w:ascii="Arial" w:hAnsi="Arial" w:cs="Arial"/>
          <w:sz w:val="22"/>
          <w:szCs w:val="22"/>
        </w:rPr>
        <w:t xml:space="preserve"> toplam </w:t>
      </w:r>
      <w:r w:rsidR="008873D6" w:rsidRPr="00EE5934">
        <w:rPr>
          <w:rFonts w:ascii="Arial" w:hAnsi="Arial" w:cs="Arial"/>
          <w:sz w:val="22"/>
          <w:szCs w:val="22"/>
        </w:rPr>
        <w:t xml:space="preserve">(bireysel ve </w:t>
      </w:r>
      <w:r w:rsidR="000D2E77" w:rsidRPr="00EE5934">
        <w:rPr>
          <w:rFonts w:ascii="Arial" w:hAnsi="Arial" w:cs="Arial"/>
          <w:sz w:val="22"/>
          <w:szCs w:val="22"/>
        </w:rPr>
        <w:t xml:space="preserve">kurumsal) </w:t>
      </w:r>
      <w:r w:rsidR="003D04F6" w:rsidRPr="00EE5934">
        <w:rPr>
          <w:rFonts w:ascii="Arial" w:hAnsi="Arial" w:cs="Arial"/>
          <w:sz w:val="22"/>
          <w:szCs w:val="22"/>
        </w:rPr>
        <w:t>müşteriler</w:t>
      </w:r>
      <w:r w:rsidR="003A0807" w:rsidRPr="00EE5934">
        <w:rPr>
          <w:rFonts w:ascii="Arial" w:hAnsi="Arial" w:cs="Arial"/>
          <w:sz w:val="22"/>
          <w:szCs w:val="22"/>
        </w:rPr>
        <w:t>in</w:t>
      </w:r>
      <w:r w:rsidR="003D04F6" w:rsidRPr="00EE5934">
        <w:rPr>
          <w:rFonts w:ascii="Arial" w:hAnsi="Arial" w:cs="Arial"/>
          <w:sz w:val="22"/>
          <w:szCs w:val="22"/>
        </w:rPr>
        <w:t xml:space="preserve"> </w:t>
      </w:r>
      <w:r w:rsidR="008760AE" w:rsidRPr="00EE5934">
        <w:rPr>
          <w:rFonts w:ascii="Arial" w:hAnsi="Arial" w:cs="Arial"/>
          <w:sz w:val="22"/>
          <w:szCs w:val="22"/>
        </w:rPr>
        <w:t xml:space="preserve">yüzde </w:t>
      </w:r>
      <w:r w:rsidR="00EE5934" w:rsidRPr="00EE5934">
        <w:rPr>
          <w:rFonts w:ascii="Arial" w:hAnsi="Arial" w:cs="Arial"/>
          <w:sz w:val="22"/>
          <w:szCs w:val="22"/>
        </w:rPr>
        <w:t>9</w:t>
      </w:r>
      <w:r w:rsidR="000A1811" w:rsidRPr="00EE5934">
        <w:rPr>
          <w:rFonts w:ascii="Arial" w:hAnsi="Arial" w:cs="Arial"/>
          <w:sz w:val="22"/>
          <w:szCs w:val="22"/>
        </w:rPr>
        <w:t>’</w:t>
      </w:r>
      <w:r w:rsidR="004A379F" w:rsidRPr="00EE5934">
        <w:rPr>
          <w:rFonts w:ascii="Arial" w:hAnsi="Arial" w:cs="Arial"/>
          <w:sz w:val="22"/>
          <w:szCs w:val="22"/>
        </w:rPr>
        <w:t>u</w:t>
      </w:r>
      <w:r w:rsidR="003D04F6" w:rsidRPr="00EE5934">
        <w:rPr>
          <w:rFonts w:ascii="Arial" w:hAnsi="Arial" w:cs="Arial"/>
          <w:sz w:val="22"/>
          <w:szCs w:val="22"/>
        </w:rPr>
        <w:t xml:space="preserve"> </w:t>
      </w:r>
      <w:r w:rsidR="00B53F3F" w:rsidRPr="00F217E7">
        <w:rPr>
          <w:rFonts w:ascii="Arial" w:hAnsi="Arial" w:cs="Arial"/>
          <w:sz w:val="22"/>
          <w:szCs w:val="22"/>
        </w:rPr>
        <w:t>Nisan-Haziran</w:t>
      </w:r>
      <w:r w:rsidR="00B53F3F">
        <w:rPr>
          <w:rFonts w:ascii="Arial" w:hAnsi="Arial" w:cs="Arial"/>
          <w:sz w:val="22"/>
          <w:szCs w:val="22"/>
        </w:rPr>
        <w:t xml:space="preserve"> </w:t>
      </w:r>
      <w:r w:rsidR="004A379F" w:rsidRPr="00EE5934">
        <w:rPr>
          <w:rFonts w:ascii="Arial" w:hAnsi="Arial" w:cs="Arial"/>
          <w:sz w:val="22"/>
          <w:szCs w:val="22"/>
        </w:rPr>
        <w:t xml:space="preserve">2024 </w:t>
      </w:r>
      <w:r w:rsidRPr="00EE5934">
        <w:rPr>
          <w:rFonts w:ascii="Arial" w:hAnsi="Arial" w:cs="Arial"/>
          <w:sz w:val="22"/>
          <w:szCs w:val="22"/>
        </w:rPr>
        <w:t xml:space="preserve">döneminde </w:t>
      </w:r>
      <w:r w:rsidR="0014694B" w:rsidRPr="00EE5934">
        <w:rPr>
          <w:rFonts w:ascii="Arial" w:hAnsi="Arial" w:cs="Arial"/>
          <w:sz w:val="22"/>
          <w:szCs w:val="22"/>
        </w:rPr>
        <w:t xml:space="preserve">en az bir kez internet bankacılığı işlemi </w:t>
      </w:r>
      <w:r w:rsidRPr="00EE5934">
        <w:rPr>
          <w:rFonts w:ascii="Arial" w:hAnsi="Arial" w:cs="Arial"/>
          <w:sz w:val="22"/>
          <w:szCs w:val="22"/>
        </w:rPr>
        <w:t>yapmıştır.</w:t>
      </w:r>
      <w:r w:rsidR="0064789F" w:rsidRPr="00EE5934">
        <w:rPr>
          <w:rFonts w:ascii="Arial" w:hAnsi="Arial" w:cs="Arial"/>
          <w:sz w:val="22"/>
          <w:szCs w:val="22"/>
        </w:rPr>
        <w:t xml:space="preserve"> Toplam </w:t>
      </w:r>
      <w:r w:rsidR="00C91455" w:rsidRPr="00EE5934">
        <w:rPr>
          <w:rFonts w:ascii="Arial" w:hAnsi="Arial" w:cs="Arial"/>
          <w:sz w:val="22"/>
          <w:szCs w:val="22"/>
        </w:rPr>
        <w:t xml:space="preserve">(bireysel ve kurumsal) </w:t>
      </w:r>
      <w:r w:rsidR="00330442" w:rsidRPr="00EE5934">
        <w:rPr>
          <w:rFonts w:ascii="Arial" w:hAnsi="Arial" w:cs="Arial"/>
          <w:sz w:val="22"/>
          <w:szCs w:val="22"/>
        </w:rPr>
        <w:t>aktif müşteri sayısı</w:t>
      </w:r>
      <w:r w:rsidR="0064789F" w:rsidRPr="00EE5934">
        <w:rPr>
          <w:rFonts w:ascii="Arial" w:hAnsi="Arial" w:cs="Arial"/>
          <w:sz w:val="22"/>
          <w:szCs w:val="22"/>
        </w:rPr>
        <w:t xml:space="preserve"> bir önceki </w:t>
      </w:r>
      <w:r w:rsidR="00C91455" w:rsidRPr="00EE5934">
        <w:rPr>
          <w:rFonts w:ascii="Arial" w:hAnsi="Arial" w:cs="Arial"/>
          <w:sz w:val="22"/>
          <w:szCs w:val="22"/>
        </w:rPr>
        <w:t xml:space="preserve">döneme </w:t>
      </w:r>
      <w:r w:rsidR="0064789F" w:rsidRPr="00EE5934">
        <w:rPr>
          <w:rFonts w:ascii="Arial" w:hAnsi="Arial" w:cs="Arial"/>
          <w:sz w:val="22"/>
          <w:szCs w:val="22"/>
        </w:rPr>
        <w:t xml:space="preserve">göre </w:t>
      </w:r>
      <w:r w:rsidR="00EE5934" w:rsidRPr="00EE5934">
        <w:rPr>
          <w:rFonts w:ascii="Arial" w:hAnsi="Arial" w:cs="Arial"/>
          <w:sz w:val="22"/>
          <w:szCs w:val="22"/>
        </w:rPr>
        <w:t>2</w:t>
      </w:r>
      <w:r w:rsidR="005915D6" w:rsidRPr="00EE5934">
        <w:rPr>
          <w:rFonts w:ascii="Arial" w:hAnsi="Arial" w:cs="Arial"/>
          <w:sz w:val="22"/>
          <w:szCs w:val="22"/>
        </w:rPr>
        <w:t xml:space="preserve"> milyon </w:t>
      </w:r>
      <w:r w:rsidR="00EE5934">
        <w:rPr>
          <w:rFonts w:ascii="Arial" w:hAnsi="Arial" w:cs="Arial"/>
          <w:sz w:val="22"/>
          <w:szCs w:val="22"/>
        </w:rPr>
        <w:t>85</w:t>
      </w:r>
      <w:r w:rsidR="004A79AB" w:rsidRPr="00EE5934">
        <w:rPr>
          <w:rFonts w:ascii="Arial" w:hAnsi="Arial" w:cs="Arial"/>
          <w:sz w:val="22"/>
          <w:szCs w:val="22"/>
        </w:rPr>
        <w:t xml:space="preserve"> bin</w:t>
      </w:r>
      <w:r w:rsidR="000416C7" w:rsidRPr="00EE5934">
        <w:rPr>
          <w:rFonts w:ascii="Arial" w:hAnsi="Arial" w:cs="Arial"/>
          <w:sz w:val="22"/>
          <w:szCs w:val="22"/>
        </w:rPr>
        <w:t xml:space="preserve"> </w:t>
      </w:r>
      <w:r w:rsidR="000300A1" w:rsidRPr="00EE5934">
        <w:rPr>
          <w:rFonts w:ascii="Arial" w:hAnsi="Arial" w:cs="Arial"/>
          <w:sz w:val="22"/>
          <w:szCs w:val="22"/>
        </w:rPr>
        <w:t>kişi</w:t>
      </w:r>
      <w:r w:rsidR="00B53F3F">
        <w:rPr>
          <w:rFonts w:ascii="Arial" w:hAnsi="Arial" w:cs="Arial"/>
          <w:sz w:val="22"/>
          <w:szCs w:val="22"/>
        </w:rPr>
        <w:t xml:space="preserve"> </w:t>
      </w:r>
      <w:r w:rsidR="008B6ECA" w:rsidRPr="00EE5934">
        <w:rPr>
          <w:rFonts w:ascii="Arial" w:hAnsi="Arial" w:cs="Arial"/>
          <w:sz w:val="22"/>
          <w:szCs w:val="22"/>
        </w:rPr>
        <w:t>azalmıştır</w:t>
      </w:r>
      <w:r w:rsidR="00330442" w:rsidRPr="00EE5934">
        <w:rPr>
          <w:rFonts w:ascii="Arial" w:hAnsi="Arial" w:cs="Arial"/>
          <w:sz w:val="22"/>
          <w:szCs w:val="22"/>
        </w:rPr>
        <w:t>.</w:t>
      </w:r>
    </w:p>
    <w:p w:rsidR="00EA4F7F" w:rsidRPr="004357F6" w:rsidRDefault="00EA4F7F" w:rsidP="00387023">
      <w:pPr>
        <w:pStyle w:val="BodyText"/>
        <w:jc w:val="left"/>
        <w:rPr>
          <w:rFonts w:ascii="Arial" w:hAnsi="Arial" w:cs="Arial"/>
          <w:sz w:val="22"/>
          <w:szCs w:val="22"/>
          <w:highlight w:val="yellow"/>
        </w:rPr>
      </w:pPr>
    </w:p>
    <w:p w:rsidR="00EA4F7F" w:rsidRPr="002953BF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t>Finansal İşlemler</w:t>
      </w:r>
    </w:p>
    <w:p w:rsidR="00EA4F7F" w:rsidRPr="002953BF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tab/>
      </w:r>
    </w:p>
    <w:p w:rsidR="001A2BC1" w:rsidRPr="002953BF" w:rsidRDefault="002953BF" w:rsidP="00D67F71">
      <w:pPr>
        <w:pStyle w:val="BodyText"/>
        <w:rPr>
          <w:rFonts w:ascii="Arial" w:hAnsi="Arial" w:cs="Arial"/>
          <w:sz w:val="22"/>
          <w:szCs w:val="22"/>
        </w:rPr>
      </w:pPr>
      <w:r w:rsidRPr="002953BF">
        <w:rPr>
          <w:rFonts w:ascii="Arial" w:hAnsi="Arial" w:cs="Arial"/>
          <w:sz w:val="22"/>
          <w:szCs w:val="22"/>
        </w:rPr>
        <w:t>Nisan</w:t>
      </w:r>
      <w:r w:rsidR="00453BD1" w:rsidRPr="002953BF">
        <w:rPr>
          <w:rFonts w:ascii="Arial" w:hAnsi="Arial" w:cs="Arial"/>
          <w:sz w:val="22"/>
          <w:szCs w:val="22"/>
        </w:rPr>
        <w:t>-</w:t>
      </w:r>
      <w:r w:rsidRPr="002953BF">
        <w:rPr>
          <w:rFonts w:ascii="Arial" w:hAnsi="Arial" w:cs="Arial"/>
          <w:sz w:val="22"/>
          <w:szCs w:val="22"/>
        </w:rPr>
        <w:t>Haziran</w:t>
      </w:r>
      <w:r w:rsidR="00453BD1" w:rsidRPr="002953BF">
        <w:rPr>
          <w:rFonts w:ascii="Arial" w:hAnsi="Arial" w:cs="Arial"/>
          <w:sz w:val="22"/>
          <w:szCs w:val="22"/>
        </w:rPr>
        <w:t xml:space="preserve"> 2024 </w:t>
      </w:r>
      <w:r w:rsidR="00EA4F7F" w:rsidRPr="002953BF">
        <w:rPr>
          <w:rFonts w:ascii="Arial" w:hAnsi="Arial" w:cs="Arial"/>
          <w:sz w:val="22"/>
          <w:szCs w:val="22"/>
        </w:rPr>
        <w:t xml:space="preserve">dönemi </w:t>
      </w:r>
      <w:r w:rsidR="006073A7" w:rsidRPr="002953BF">
        <w:rPr>
          <w:rFonts w:ascii="Arial" w:hAnsi="Arial" w:cs="Arial"/>
          <w:sz w:val="22"/>
          <w:szCs w:val="22"/>
        </w:rPr>
        <w:t>itibarıyla</w:t>
      </w:r>
      <w:r w:rsidR="00EA4F7F" w:rsidRPr="002953BF">
        <w:rPr>
          <w:rFonts w:ascii="Arial" w:hAnsi="Arial" w:cs="Arial"/>
          <w:sz w:val="22"/>
          <w:szCs w:val="22"/>
        </w:rPr>
        <w:t xml:space="preserve">, internet bankacılığı hizmeti kullanılarak yapılan finansal işlemlerin toplam adedi </w:t>
      </w:r>
      <w:r w:rsidRPr="002953BF">
        <w:rPr>
          <w:rFonts w:ascii="Arial" w:hAnsi="Arial" w:cs="Arial"/>
          <w:sz w:val="22"/>
          <w:szCs w:val="22"/>
        </w:rPr>
        <w:t>111</w:t>
      </w:r>
      <w:r w:rsidR="004A79AB" w:rsidRPr="002953BF">
        <w:rPr>
          <w:rFonts w:ascii="Arial" w:hAnsi="Arial" w:cs="Arial"/>
          <w:sz w:val="22"/>
          <w:szCs w:val="22"/>
        </w:rPr>
        <w:t xml:space="preserve"> </w:t>
      </w:r>
      <w:r w:rsidR="00EA4F7F" w:rsidRPr="002953BF">
        <w:rPr>
          <w:rFonts w:ascii="Arial" w:hAnsi="Arial" w:cs="Arial"/>
          <w:sz w:val="22"/>
          <w:szCs w:val="22"/>
        </w:rPr>
        <w:t xml:space="preserve">milyon, tutarı ise </w:t>
      </w:r>
      <w:r w:rsidRPr="002953BF">
        <w:rPr>
          <w:rFonts w:ascii="Arial" w:hAnsi="Arial" w:cs="Arial"/>
          <w:sz w:val="22"/>
          <w:szCs w:val="22"/>
        </w:rPr>
        <w:t>11</w:t>
      </w:r>
      <w:r w:rsidR="00B54882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trilyon</w:t>
      </w:r>
      <w:r w:rsidR="004749ED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TL</w:t>
      </w:r>
      <w:r w:rsidR="00074963" w:rsidRPr="002953BF">
        <w:rPr>
          <w:rFonts w:ascii="Arial" w:hAnsi="Arial" w:cs="Arial"/>
          <w:sz w:val="22"/>
          <w:szCs w:val="22"/>
        </w:rPr>
        <w:t>’dir.</w:t>
      </w:r>
      <w:r w:rsidR="00EA4F7F" w:rsidRPr="002953BF">
        <w:rPr>
          <w:rFonts w:ascii="Arial" w:hAnsi="Arial" w:cs="Arial"/>
          <w:sz w:val="22"/>
          <w:szCs w:val="22"/>
        </w:rPr>
        <w:t xml:space="preserve"> </w:t>
      </w:r>
      <w:r w:rsidR="004D7444" w:rsidRPr="002953BF">
        <w:rPr>
          <w:rFonts w:ascii="Arial" w:hAnsi="Arial" w:cs="Arial"/>
          <w:sz w:val="22"/>
          <w:szCs w:val="22"/>
        </w:rPr>
        <w:t>EFT, havale ve döviz transferi işlemlerini kaps</w:t>
      </w:r>
      <w:r w:rsidR="001A2BC1" w:rsidRPr="002953BF">
        <w:rPr>
          <w:rFonts w:ascii="Arial" w:hAnsi="Arial" w:cs="Arial"/>
          <w:sz w:val="22"/>
          <w:szCs w:val="22"/>
        </w:rPr>
        <w:t>ayan para transferleri</w:t>
      </w:r>
      <w:r w:rsidR="004D7444" w:rsidRPr="002953BF">
        <w:rPr>
          <w:rFonts w:ascii="Arial" w:hAnsi="Arial" w:cs="Arial"/>
          <w:sz w:val="22"/>
          <w:szCs w:val="22"/>
        </w:rPr>
        <w:t xml:space="preserve">, </w:t>
      </w:r>
      <w:r w:rsidR="001A2BC1" w:rsidRPr="002953BF">
        <w:rPr>
          <w:rFonts w:ascii="Arial" w:hAnsi="Arial" w:cs="Arial"/>
          <w:sz w:val="22"/>
          <w:szCs w:val="22"/>
        </w:rPr>
        <w:t>finansal işlem hacminin yüzde 7</w:t>
      </w:r>
      <w:r w:rsidR="00D825AC" w:rsidRPr="002953BF">
        <w:rPr>
          <w:rFonts w:ascii="Arial" w:hAnsi="Arial" w:cs="Arial"/>
          <w:sz w:val="22"/>
          <w:szCs w:val="22"/>
        </w:rPr>
        <w:t>5’ini</w:t>
      </w:r>
      <w:r w:rsidR="001A2BC1" w:rsidRPr="002953BF">
        <w:rPr>
          <w:rFonts w:ascii="Arial" w:hAnsi="Arial" w:cs="Arial"/>
          <w:sz w:val="22"/>
          <w:szCs w:val="22"/>
        </w:rPr>
        <w:t>, yatırım işlemleri ise yüzde 1</w:t>
      </w:r>
      <w:r w:rsidRPr="002953BF">
        <w:rPr>
          <w:rFonts w:ascii="Arial" w:hAnsi="Arial" w:cs="Arial"/>
          <w:sz w:val="22"/>
          <w:szCs w:val="22"/>
        </w:rPr>
        <w:t>5</w:t>
      </w:r>
      <w:r w:rsidR="001A2BC1" w:rsidRPr="002953BF">
        <w:rPr>
          <w:rFonts w:ascii="Arial" w:hAnsi="Arial" w:cs="Arial"/>
          <w:sz w:val="22"/>
          <w:szCs w:val="22"/>
        </w:rPr>
        <w:t>’</w:t>
      </w:r>
      <w:r w:rsidRPr="002953BF">
        <w:rPr>
          <w:rFonts w:ascii="Arial" w:hAnsi="Arial" w:cs="Arial"/>
          <w:sz w:val="22"/>
          <w:szCs w:val="22"/>
        </w:rPr>
        <w:t>ini</w:t>
      </w:r>
      <w:r w:rsidR="001A2BC1" w:rsidRPr="002953BF">
        <w:rPr>
          <w:rFonts w:ascii="Arial" w:hAnsi="Arial" w:cs="Arial"/>
          <w:sz w:val="22"/>
          <w:szCs w:val="22"/>
        </w:rPr>
        <w:t xml:space="preserve"> oluşturmuştur.</w:t>
      </w:r>
    </w:p>
    <w:p w:rsidR="00743750" w:rsidRPr="004357F6" w:rsidRDefault="00743750" w:rsidP="00D67F71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743750" w:rsidRPr="008B63DE" w:rsidRDefault="00743750" w:rsidP="00743750">
      <w:pPr>
        <w:pStyle w:val="Heading9"/>
        <w:rPr>
          <w:rFonts w:ascii="Arial" w:hAnsi="Arial" w:cs="Arial"/>
          <w:szCs w:val="22"/>
        </w:rPr>
      </w:pPr>
      <w:r w:rsidRPr="008B63DE">
        <w:rPr>
          <w:rFonts w:ascii="Arial" w:hAnsi="Arial" w:cs="Arial"/>
          <w:szCs w:val="22"/>
        </w:rPr>
        <w:t>İnternet Bankacılığında Finansal İşlemler</w:t>
      </w:r>
    </w:p>
    <w:p w:rsidR="00743750" w:rsidRPr="004357F6" w:rsidRDefault="00743750" w:rsidP="0074375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80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956"/>
        <w:gridCol w:w="993"/>
        <w:gridCol w:w="868"/>
        <w:gridCol w:w="1134"/>
      </w:tblGrid>
      <w:tr w:rsidR="00743750" w:rsidRPr="008B63DE" w:rsidTr="00A36D6B">
        <w:trPr>
          <w:trHeight w:val="332"/>
          <w:jc w:val="center"/>
        </w:trPr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743750" w:rsidRPr="008B63DE" w:rsidRDefault="00743750" w:rsidP="0048624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3750" w:rsidRPr="008B63DE" w:rsidRDefault="008B63DE" w:rsidP="008B63D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Nisan</w:t>
            </w:r>
            <w:r w:rsidR="00453BD1" w:rsidRPr="008B63DE">
              <w:rPr>
                <w:rFonts w:ascii="Arial" w:hAnsi="Arial" w:cs="Arial"/>
                <w:b/>
                <w:bCs/>
                <w:sz w:val="20"/>
              </w:rPr>
              <w:t>-</w:t>
            </w:r>
            <w:r w:rsidRPr="008B63DE">
              <w:rPr>
                <w:rFonts w:ascii="Arial" w:hAnsi="Arial" w:cs="Arial"/>
                <w:b/>
                <w:bCs/>
                <w:sz w:val="20"/>
              </w:rPr>
              <w:t>Haziran</w:t>
            </w:r>
            <w:r w:rsidR="00743750" w:rsidRPr="008B63DE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 w:rsidR="00453BD1" w:rsidRPr="008B63DE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8B63DE" w:rsidRDefault="008B63DE" w:rsidP="00205E8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Ocak-Mart</w:t>
            </w:r>
            <w:r w:rsidR="00453BD1" w:rsidRPr="008B63DE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 w:rsidR="00205E81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DE" w:rsidRPr="008B63DE" w:rsidRDefault="008B63DE" w:rsidP="00453BD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Nisan-Haziran</w:t>
            </w:r>
          </w:p>
          <w:p w:rsidR="00743750" w:rsidRPr="008B63DE" w:rsidRDefault="00743750" w:rsidP="00453BD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202</w:t>
            </w:r>
            <w:r w:rsidR="00453BD1" w:rsidRPr="008B63DE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743750" w:rsidRPr="008B63DE" w:rsidTr="00A36D6B">
        <w:trPr>
          <w:trHeight w:val="240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3750" w:rsidRPr="008B63DE" w:rsidRDefault="00743750" w:rsidP="0048624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3750" w:rsidRPr="008B63DE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B63DE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3750" w:rsidRPr="008B63DE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743750" w:rsidRPr="008B63DE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63DE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8B63DE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B63DE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8B63DE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743750" w:rsidRPr="008B63DE" w:rsidRDefault="00743750" w:rsidP="0048624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B63DE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8B63DE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B63DE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8B63DE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743750" w:rsidRPr="008B63DE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63DE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8B63DE" w:rsidRPr="008B63DE" w:rsidTr="00A36D6B">
        <w:trPr>
          <w:trHeight w:val="22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B63DE" w:rsidRPr="008B63DE" w:rsidRDefault="008B63DE" w:rsidP="008B63DE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B63DE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 w:rsidRPr="008B63DE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4.195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6.939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8.294</w:t>
            </w:r>
          </w:p>
        </w:tc>
      </w:tr>
      <w:tr w:rsidR="008B63DE" w:rsidRPr="008B63DE" w:rsidTr="00A36D6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B63DE" w:rsidRPr="008B63DE" w:rsidRDefault="008B63DE" w:rsidP="008B63DE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B63DE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460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551</w:t>
            </w:r>
          </w:p>
        </w:tc>
      </w:tr>
      <w:tr w:rsidR="008B63DE" w:rsidRPr="008B63DE" w:rsidTr="00A36D6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B63DE" w:rsidRPr="008B63DE" w:rsidRDefault="008B63DE" w:rsidP="008B63DE">
            <w:pPr>
              <w:rPr>
                <w:rFonts w:ascii="Arial" w:hAnsi="Arial" w:cs="Arial"/>
                <w:sz w:val="20"/>
                <w:vertAlign w:val="superscript"/>
              </w:rPr>
            </w:pPr>
            <w:r w:rsidRPr="008B63DE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1,283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1.336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1.691</w:t>
            </w:r>
          </w:p>
        </w:tc>
      </w:tr>
      <w:tr w:rsidR="008B63DE" w:rsidRPr="008B63DE" w:rsidTr="00A36D6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B63DE" w:rsidRPr="008B63DE" w:rsidRDefault="008B63DE" w:rsidP="008B63DE">
            <w:pPr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167</w:t>
            </w:r>
          </w:p>
        </w:tc>
      </w:tr>
      <w:tr w:rsidR="008B63DE" w:rsidRPr="008B63DE" w:rsidTr="00A36D6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B63DE" w:rsidRPr="008B63DE" w:rsidRDefault="008B63DE" w:rsidP="008B63DE">
            <w:pPr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308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346</w:t>
            </w:r>
          </w:p>
        </w:tc>
      </w:tr>
      <w:tr w:rsidR="008B63DE" w:rsidRPr="004357F6" w:rsidTr="00A36D6B">
        <w:trPr>
          <w:trHeight w:val="228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DE" w:rsidRPr="008B63DE" w:rsidRDefault="008B63DE" w:rsidP="008B63DE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8B63DE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126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5.996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9.173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B63DE" w:rsidRPr="008B63DE" w:rsidRDefault="008B63DE" w:rsidP="008B63D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B63DE" w:rsidRDefault="008B63DE" w:rsidP="008B63D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11.050</w:t>
            </w:r>
          </w:p>
        </w:tc>
      </w:tr>
    </w:tbl>
    <w:p w:rsidR="00743750" w:rsidRPr="004357F6" w:rsidRDefault="00743750" w:rsidP="00D67F71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5748E3" w:rsidRPr="00B45B07" w:rsidRDefault="005748E3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color w:val="000000"/>
          <w:sz w:val="22"/>
          <w:szCs w:val="22"/>
        </w:rPr>
      </w:pPr>
      <w:r w:rsidRPr="00B45B07">
        <w:rPr>
          <w:rFonts w:ascii="Arial" w:hAnsi="Arial" w:cs="Arial"/>
          <w:b/>
          <w:color w:val="000000"/>
          <w:sz w:val="22"/>
          <w:szCs w:val="22"/>
        </w:rPr>
        <w:t>Yatırım İşlemleri</w:t>
      </w:r>
    </w:p>
    <w:p w:rsidR="000045B2" w:rsidRPr="004357F6" w:rsidRDefault="000045B2" w:rsidP="000045B2">
      <w:pPr>
        <w:pStyle w:val="BodyText"/>
        <w:rPr>
          <w:rFonts w:ascii="Arial" w:hAnsi="Arial" w:cs="Arial"/>
          <w:b/>
          <w:sz w:val="22"/>
          <w:szCs w:val="22"/>
          <w:highlight w:val="yellow"/>
        </w:rPr>
      </w:pPr>
    </w:p>
    <w:p w:rsidR="00D615D4" w:rsidRPr="00044557" w:rsidRDefault="00B45B07" w:rsidP="00F47223">
      <w:pPr>
        <w:pStyle w:val="BodyText"/>
        <w:rPr>
          <w:rFonts w:ascii="Arial" w:hAnsi="Arial" w:cs="Arial"/>
          <w:sz w:val="22"/>
          <w:szCs w:val="22"/>
        </w:rPr>
      </w:pPr>
      <w:r w:rsidRPr="00B45B07">
        <w:rPr>
          <w:rFonts w:ascii="Arial" w:hAnsi="Arial" w:cs="Arial"/>
          <w:sz w:val="22"/>
          <w:szCs w:val="22"/>
        </w:rPr>
        <w:t>Nisan-Haziran</w:t>
      </w:r>
      <w:r w:rsidR="00BC2606" w:rsidRPr="00B45B07">
        <w:rPr>
          <w:rFonts w:ascii="Arial" w:hAnsi="Arial" w:cs="Arial"/>
          <w:sz w:val="22"/>
          <w:szCs w:val="22"/>
        </w:rPr>
        <w:t xml:space="preserve"> 2024 </w:t>
      </w:r>
      <w:r w:rsidR="005A2BE6" w:rsidRPr="00B45B07">
        <w:rPr>
          <w:rFonts w:ascii="Arial" w:hAnsi="Arial" w:cs="Arial"/>
          <w:sz w:val="22"/>
          <w:szCs w:val="22"/>
        </w:rPr>
        <w:t xml:space="preserve">dönemi itibarıyla, internet bankacılığı hizmeti kullanılarak yapılan yatırım işlemlerinin toplam </w:t>
      </w:r>
      <w:r w:rsidR="005A2BE6" w:rsidRPr="00044557">
        <w:rPr>
          <w:rFonts w:ascii="Arial" w:hAnsi="Arial" w:cs="Arial"/>
          <w:sz w:val="22"/>
          <w:szCs w:val="22"/>
        </w:rPr>
        <w:t xml:space="preserve">adedi </w:t>
      </w:r>
      <w:r w:rsidR="00590F0A" w:rsidRPr="00044557">
        <w:rPr>
          <w:rFonts w:ascii="Arial" w:hAnsi="Arial" w:cs="Arial"/>
          <w:sz w:val="22"/>
          <w:szCs w:val="22"/>
        </w:rPr>
        <w:t>1</w:t>
      </w:r>
      <w:r w:rsidR="00044557" w:rsidRPr="00044557">
        <w:rPr>
          <w:rFonts w:ascii="Arial" w:hAnsi="Arial" w:cs="Arial"/>
          <w:sz w:val="22"/>
          <w:szCs w:val="22"/>
        </w:rPr>
        <w:t>4</w:t>
      </w:r>
      <w:r w:rsidR="005A2BE6" w:rsidRPr="00044557">
        <w:rPr>
          <w:rFonts w:ascii="Arial" w:hAnsi="Arial" w:cs="Arial"/>
          <w:sz w:val="22"/>
          <w:szCs w:val="22"/>
        </w:rPr>
        <w:t xml:space="preserve"> milyon</w:t>
      </w:r>
      <w:r w:rsidR="00B962B9" w:rsidRPr="00044557">
        <w:rPr>
          <w:rFonts w:ascii="Arial" w:hAnsi="Arial" w:cs="Arial"/>
          <w:sz w:val="22"/>
          <w:szCs w:val="22"/>
        </w:rPr>
        <w:t xml:space="preserve"> </w:t>
      </w:r>
      <w:r w:rsidR="00044557" w:rsidRPr="00044557">
        <w:rPr>
          <w:rFonts w:ascii="Arial" w:hAnsi="Arial" w:cs="Arial"/>
          <w:sz w:val="22"/>
          <w:szCs w:val="22"/>
        </w:rPr>
        <w:t>520</w:t>
      </w:r>
      <w:r w:rsidR="00B962B9" w:rsidRPr="00044557">
        <w:rPr>
          <w:rFonts w:ascii="Arial" w:hAnsi="Arial" w:cs="Arial"/>
          <w:sz w:val="22"/>
          <w:szCs w:val="22"/>
        </w:rPr>
        <w:t xml:space="preserve"> bin</w:t>
      </w:r>
      <w:r w:rsidR="005A2BE6" w:rsidRPr="00044557">
        <w:rPr>
          <w:rFonts w:ascii="Arial" w:hAnsi="Arial" w:cs="Arial"/>
          <w:sz w:val="22"/>
          <w:szCs w:val="22"/>
        </w:rPr>
        <w:t xml:space="preserve">, tutarı ise </w:t>
      </w:r>
      <w:r w:rsidR="002D74EE" w:rsidRPr="00044557">
        <w:rPr>
          <w:rFonts w:ascii="Arial" w:hAnsi="Arial" w:cs="Arial"/>
          <w:sz w:val="22"/>
          <w:szCs w:val="22"/>
        </w:rPr>
        <w:t xml:space="preserve">1 trilyon </w:t>
      </w:r>
      <w:r w:rsidR="00BC2606" w:rsidRPr="00044557">
        <w:rPr>
          <w:rFonts w:ascii="Arial" w:hAnsi="Arial" w:cs="Arial"/>
          <w:sz w:val="22"/>
          <w:szCs w:val="22"/>
        </w:rPr>
        <w:t>6</w:t>
      </w:r>
      <w:r w:rsidR="00044557" w:rsidRPr="00044557">
        <w:rPr>
          <w:rFonts w:ascii="Arial" w:hAnsi="Arial" w:cs="Arial"/>
          <w:sz w:val="22"/>
          <w:szCs w:val="22"/>
        </w:rPr>
        <w:t>91</w:t>
      </w:r>
      <w:r w:rsidR="002D74EE" w:rsidRPr="00044557">
        <w:rPr>
          <w:rFonts w:ascii="Arial" w:hAnsi="Arial" w:cs="Arial"/>
          <w:sz w:val="22"/>
          <w:szCs w:val="22"/>
        </w:rPr>
        <w:t xml:space="preserve"> milyar</w:t>
      </w:r>
      <w:r w:rsidR="005A2BE6" w:rsidRPr="00044557">
        <w:rPr>
          <w:rFonts w:ascii="Arial" w:hAnsi="Arial" w:cs="Arial"/>
          <w:sz w:val="22"/>
          <w:szCs w:val="22"/>
        </w:rPr>
        <w:t xml:space="preserve"> TL’dir. </w:t>
      </w:r>
    </w:p>
    <w:p w:rsidR="00D615D4" w:rsidRPr="004357F6" w:rsidRDefault="00D615D4" w:rsidP="00F4722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2730F7" w:rsidRPr="00F602B7" w:rsidRDefault="000045B2" w:rsidP="002E3B04">
      <w:pPr>
        <w:pStyle w:val="Heading9"/>
        <w:rPr>
          <w:rFonts w:ascii="Arial" w:hAnsi="Arial" w:cs="Arial"/>
          <w:szCs w:val="22"/>
        </w:rPr>
      </w:pPr>
      <w:r w:rsidRPr="00F602B7">
        <w:rPr>
          <w:rFonts w:ascii="Arial" w:hAnsi="Arial" w:cs="Arial"/>
          <w:szCs w:val="22"/>
        </w:rPr>
        <w:t xml:space="preserve">İnternet Bankacılığında Yatırım İşlemleri </w:t>
      </w:r>
    </w:p>
    <w:tbl>
      <w:tblPr>
        <w:tblpPr w:leftFromText="141" w:rightFromText="141" w:vertAnchor="text" w:horzAnchor="page" w:tblpXSpec="center" w:tblpY="165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837"/>
        <w:gridCol w:w="844"/>
        <w:gridCol w:w="841"/>
        <w:gridCol w:w="822"/>
        <w:gridCol w:w="850"/>
        <w:gridCol w:w="851"/>
        <w:gridCol w:w="850"/>
        <w:gridCol w:w="851"/>
        <w:gridCol w:w="1101"/>
      </w:tblGrid>
      <w:tr w:rsidR="00F602B7" w:rsidRPr="00F602B7" w:rsidTr="008F6374">
        <w:trPr>
          <w:trHeight w:val="270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Default="00F602B7" w:rsidP="00F602B7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Haziran 2023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Default="00F602B7" w:rsidP="00F602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Mart 2024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Default="00F602B7" w:rsidP="00F602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Haziran 2024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2B7" w:rsidRPr="00F602B7" w:rsidRDefault="00F602B7" w:rsidP="00F602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Bir Önceki Yıldan Net Değişim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2B7" w:rsidRPr="00F602B7" w:rsidRDefault="00F602B7" w:rsidP="00F602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</w:t>
            </w:r>
            <w:r w:rsidRPr="00F602B7">
              <w:rPr>
                <w:rFonts w:ascii="Arial" w:hAnsi="Arial" w:cs="Arial"/>
                <w:b/>
                <w:bCs/>
                <w:sz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</w:rPr>
              <w:t>Haziran</w:t>
            </w:r>
            <w:r w:rsidRPr="00F602B7">
              <w:rPr>
                <w:rFonts w:ascii="Arial" w:hAnsi="Arial" w:cs="Arial"/>
                <w:b/>
                <w:bCs/>
                <w:sz w:val="20"/>
              </w:rPr>
              <w:t xml:space="preserve"> 2024</w:t>
            </w:r>
          </w:p>
        </w:tc>
      </w:tr>
      <w:tr w:rsidR="008B7729" w:rsidRPr="00F602B7" w:rsidTr="008F6374">
        <w:trPr>
          <w:trHeight w:val="303"/>
        </w:trPr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729" w:rsidRPr="00F602B7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Pr="00F602B7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İşlem Adedi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Pr="00F602B7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Pr="00F602B7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İşlem Adedi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Pr="00F602B7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Pr="00F602B7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İşlem Adedi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Pr="00F602B7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Pr="00F602B7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İşlem Adedi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Pr="00F602B7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Pr="00F602B7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 xml:space="preserve">Ort. İşlem Hacmi    </w:t>
            </w:r>
          </w:p>
        </w:tc>
      </w:tr>
      <w:tr w:rsidR="000D2E0D" w:rsidRPr="00F602B7" w:rsidTr="008F6374">
        <w:trPr>
          <w:trHeight w:val="58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F602B7" w:rsidRDefault="000D2E0D" w:rsidP="000D2E0D">
            <w:pPr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F602B7">
              <w:rPr>
                <w:rFonts w:ascii="Arial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F602B7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02B7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F602B7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02B7">
              <w:rPr>
                <w:rFonts w:ascii="Arial" w:hAnsi="Arial" w:cs="Arial"/>
                <w:b/>
                <w:bCs/>
                <w:sz w:val="14"/>
                <w:szCs w:val="14"/>
              </w:rPr>
              <w:t>(Milyar TL)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F602B7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02B7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F602B7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02B7">
              <w:rPr>
                <w:rFonts w:ascii="Arial" w:hAnsi="Arial" w:cs="Arial"/>
                <w:b/>
                <w:bCs/>
                <w:sz w:val="14"/>
                <w:szCs w:val="14"/>
              </w:rPr>
              <w:t>(Milyar TL)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F602B7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02B7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F602B7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02B7">
              <w:rPr>
                <w:rFonts w:ascii="Arial" w:hAnsi="Arial" w:cs="Arial"/>
                <w:b/>
                <w:bCs/>
                <w:sz w:val="14"/>
                <w:szCs w:val="14"/>
              </w:rPr>
              <w:t>(Milyar TL)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F602B7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02B7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F602B7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02B7">
              <w:rPr>
                <w:rFonts w:ascii="Arial" w:hAnsi="Arial" w:cs="Arial"/>
                <w:b/>
                <w:bCs/>
                <w:sz w:val="14"/>
                <w:szCs w:val="14"/>
              </w:rPr>
              <w:t>(Milyar TL)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F602B7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02B7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</w:tr>
      <w:tr w:rsidR="00F602B7" w:rsidRPr="00F602B7" w:rsidTr="008F6374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rPr>
                <w:rFonts w:ascii="Arial" w:hAnsi="Arial" w:cs="Arial"/>
                <w:sz w:val="20"/>
                <w:lang w:eastAsia="tr-TR"/>
              </w:rPr>
            </w:pPr>
            <w:r w:rsidRPr="00F602B7">
              <w:rPr>
                <w:rFonts w:ascii="Arial" w:hAnsi="Arial" w:cs="Arial"/>
                <w:sz w:val="20"/>
                <w:lang w:eastAsia="tr-TR"/>
              </w:rPr>
              <w:t>Yatırım Fonları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 w:rsidRPr="00F602B7">
              <w:rPr>
                <w:rFonts w:ascii="Arial" w:hAnsi="Arial" w:cs="Arial"/>
                <w:sz w:val="20"/>
              </w:rPr>
              <w:t>1.719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421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2.146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487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2.256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788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538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367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349</w:t>
            </w:r>
          </w:p>
        </w:tc>
      </w:tr>
      <w:tr w:rsidR="00F602B7" w:rsidRPr="00F602B7" w:rsidTr="008F6374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rPr>
                <w:rFonts w:ascii="Arial" w:hAnsi="Arial" w:cs="Arial"/>
                <w:sz w:val="20"/>
                <w:lang w:eastAsia="tr-TR"/>
              </w:rPr>
            </w:pPr>
            <w:r w:rsidRPr="00F602B7">
              <w:rPr>
                <w:rFonts w:ascii="Arial" w:hAnsi="Arial" w:cs="Arial"/>
                <w:sz w:val="20"/>
                <w:lang w:eastAsia="tr-TR"/>
              </w:rPr>
              <w:t>Döviz İşlemleri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1.557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165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1.237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-566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200</w:t>
            </w:r>
          </w:p>
        </w:tc>
      </w:tr>
      <w:tr w:rsidR="00F602B7" w:rsidRPr="00F602B7" w:rsidTr="008F6374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rPr>
                <w:rFonts w:ascii="Arial" w:hAnsi="Arial" w:cs="Arial"/>
                <w:sz w:val="20"/>
                <w:lang w:eastAsia="tr-TR"/>
              </w:rPr>
            </w:pPr>
            <w:r w:rsidRPr="00F602B7">
              <w:rPr>
                <w:rFonts w:ascii="Arial" w:hAnsi="Arial" w:cs="Arial"/>
                <w:sz w:val="20"/>
                <w:lang w:eastAsia="tr-TR"/>
              </w:rPr>
              <w:t>Vadeli hesaplar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630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623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-29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244</w:t>
            </w:r>
          </w:p>
        </w:tc>
      </w:tr>
      <w:tr w:rsidR="00F602B7" w:rsidRPr="00F602B7" w:rsidTr="008F6374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 w:rsidRPr="00F602B7">
              <w:rPr>
                <w:rFonts w:ascii="Arial" w:hAnsi="Arial" w:cs="Arial"/>
                <w:sz w:val="20"/>
                <w:lang w:eastAsia="tr-TR"/>
              </w:rPr>
              <w:t>Hisse senedi*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19.292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477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13.686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9.913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-9.379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-114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37</w:t>
            </w:r>
          </w:p>
        </w:tc>
      </w:tr>
      <w:tr w:rsidR="00F602B7" w:rsidRPr="00F602B7" w:rsidTr="008F6374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rPr>
                <w:rFonts w:ascii="Arial" w:hAnsi="Arial" w:cs="Arial"/>
                <w:sz w:val="20"/>
                <w:lang w:eastAsia="tr-TR"/>
              </w:rPr>
            </w:pPr>
            <w:r w:rsidRPr="00F602B7">
              <w:rPr>
                <w:rFonts w:ascii="Arial" w:hAnsi="Arial" w:cs="Arial"/>
                <w:sz w:val="20"/>
                <w:lang w:eastAsia="tr-TR"/>
              </w:rPr>
              <w:t>Repo İşlemleri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151</w:t>
            </w:r>
          </w:p>
        </w:tc>
      </w:tr>
      <w:tr w:rsidR="00F602B7" w:rsidRPr="00F602B7" w:rsidTr="008F6374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rPr>
                <w:rFonts w:ascii="Arial" w:hAnsi="Arial" w:cs="Arial"/>
                <w:sz w:val="20"/>
                <w:lang w:eastAsia="tr-TR"/>
              </w:rPr>
            </w:pPr>
            <w:r w:rsidRPr="00F602B7">
              <w:rPr>
                <w:rFonts w:ascii="Arial" w:hAnsi="Arial" w:cs="Arial"/>
                <w:sz w:val="20"/>
                <w:lang w:eastAsia="tr-TR"/>
              </w:rPr>
              <w:t>Tahvil ve bono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174</w:t>
            </w:r>
          </w:p>
        </w:tc>
      </w:tr>
      <w:tr w:rsidR="00F602B7" w:rsidRPr="00F602B7" w:rsidTr="008F6374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rPr>
                <w:rFonts w:ascii="Arial" w:hAnsi="Arial" w:cs="Arial"/>
                <w:sz w:val="20"/>
                <w:lang w:eastAsia="tr-TR"/>
              </w:rPr>
            </w:pPr>
            <w:r w:rsidRPr="00F602B7">
              <w:rPr>
                <w:rFonts w:ascii="Arial" w:hAnsi="Arial" w:cs="Arial"/>
                <w:sz w:val="20"/>
                <w:lang w:eastAsia="tr-TR"/>
              </w:rPr>
              <w:t>Altın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342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-141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-2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36</w:t>
            </w:r>
          </w:p>
        </w:tc>
      </w:tr>
      <w:tr w:rsidR="00F602B7" w:rsidRPr="00F602B7" w:rsidTr="008F6374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rPr>
                <w:rFonts w:ascii="Arial" w:hAnsi="Arial" w:cs="Arial"/>
                <w:sz w:val="20"/>
                <w:lang w:eastAsia="tr-TR"/>
              </w:rPr>
            </w:pPr>
            <w:r w:rsidRPr="00F602B7">
              <w:rPr>
                <w:rFonts w:ascii="Arial" w:hAnsi="Arial" w:cs="Arial"/>
                <w:sz w:val="20"/>
                <w:lang w:eastAsia="tr-TR"/>
              </w:rPr>
              <w:t>VİOP**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380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387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sz w:val="20"/>
              </w:rPr>
            </w:pPr>
            <w:r w:rsidRPr="00F602B7">
              <w:rPr>
                <w:rFonts w:ascii="Arial" w:hAnsi="Arial" w:cs="Arial"/>
                <w:sz w:val="20"/>
              </w:rPr>
              <w:t>429</w:t>
            </w:r>
          </w:p>
        </w:tc>
      </w:tr>
      <w:tr w:rsidR="00F602B7" w:rsidRPr="00F602B7" w:rsidTr="008F6374">
        <w:trPr>
          <w:trHeight w:val="62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F602B7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24.073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1.283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18.491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1.336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14.520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1.691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-9.553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408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B7" w:rsidRPr="00F602B7" w:rsidRDefault="00F602B7" w:rsidP="00F602B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602B7">
              <w:rPr>
                <w:rFonts w:ascii="Arial" w:hAnsi="Arial" w:cs="Arial"/>
                <w:b/>
                <w:bCs/>
                <w:sz w:val="20"/>
              </w:rPr>
              <w:t>116</w:t>
            </w:r>
          </w:p>
        </w:tc>
      </w:tr>
    </w:tbl>
    <w:p w:rsidR="004E4067" w:rsidRPr="00F602B7" w:rsidRDefault="004E4067" w:rsidP="004E4067">
      <w:pPr>
        <w:pStyle w:val="BodyText"/>
        <w:jc w:val="left"/>
        <w:rPr>
          <w:rFonts w:ascii="Arial" w:hAnsi="Arial" w:cs="Arial"/>
          <w:i/>
          <w:sz w:val="16"/>
          <w:szCs w:val="16"/>
        </w:rPr>
      </w:pPr>
      <w:r w:rsidRPr="00F602B7">
        <w:rPr>
          <w:rFonts w:ascii="Arial" w:hAnsi="Arial" w:cs="Arial"/>
          <w:i/>
          <w:sz w:val="16"/>
          <w:szCs w:val="16"/>
        </w:rPr>
        <w:t xml:space="preserve">* </w:t>
      </w:r>
      <w:r w:rsidR="00265606" w:rsidRPr="00F602B7">
        <w:rPr>
          <w:rFonts w:ascii="Arial" w:hAnsi="Arial" w:cs="Arial"/>
          <w:i/>
          <w:sz w:val="16"/>
          <w:szCs w:val="16"/>
        </w:rPr>
        <w:t xml:space="preserve"> </w:t>
      </w:r>
      <w:r w:rsidRPr="00F602B7">
        <w:rPr>
          <w:rFonts w:ascii="Arial" w:hAnsi="Arial" w:cs="Arial"/>
          <w:i/>
          <w:sz w:val="16"/>
          <w:szCs w:val="16"/>
        </w:rPr>
        <w:t>Gerçekleşen hisse senedi işlemleri</w:t>
      </w:r>
      <w:r w:rsidR="00611377" w:rsidRPr="00F602B7">
        <w:rPr>
          <w:rFonts w:ascii="Arial" w:hAnsi="Arial" w:cs="Arial"/>
          <w:i/>
          <w:sz w:val="16"/>
          <w:szCs w:val="16"/>
        </w:rPr>
        <w:t>,</w:t>
      </w:r>
      <w:r w:rsidR="00611377" w:rsidRPr="00F602B7">
        <w:t xml:space="preserve"> </w:t>
      </w:r>
    </w:p>
    <w:p w:rsidR="0072304F" w:rsidRPr="00F602B7" w:rsidRDefault="004E4067" w:rsidP="004E4067">
      <w:pPr>
        <w:pStyle w:val="BodyText"/>
        <w:jc w:val="left"/>
        <w:rPr>
          <w:rFonts w:ascii="Arial" w:hAnsi="Arial" w:cs="Arial"/>
          <w:i/>
          <w:color w:val="000000"/>
          <w:sz w:val="16"/>
          <w:szCs w:val="16"/>
        </w:rPr>
      </w:pPr>
      <w:r w:rsidRPr="00F602B7">
        <w:rPr>
          <w:rFonts w:ascii="Arial" w:hAnsi="Arial" w:cs="Arial"/>
          <w:i/>
          <w:color w:val="000000"/>
          <w:sz w:val="16"/>
          <w:szCs w:val="16"/>
        </w:rPr>
        <w:t>** Vadeli İşlem ve Opsiyon Borsası</w:t>
      </w:r>
    </w:p>
    <w:p w:rsidR="000C50E1" w:rsidRPr="004357F6" w:rsidRDefault="000C50E1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3C32DB" w:rsidRDefault="003C32DB" w:rsidP="00FB7356">
      <w:pPr>
        <w:pStyle w:val="BodyText"/>
        <w:rPr>
          <w:rFonts w:ascii="Arial" w:hAnsi="Arial" w:cs="Arial"/>
          <w:sz w:val="22"/>
          <w:szCs w:val="22"/>
        </w:rPr>
      </w:pPr>
    </w:p>
    <w:p w:rsidR="00FB7356" w:rsidRPr="00044557" w:rsidRDefault="00FB7356" w:rsidP="00FB7356">
      <w:pPr>
        <w:pStyle w:val="BodyText"/>
        <w:rPr>
          <w:rFonts w:ascii="Arial" w:hAnsi="Arial" w:cs="Arial"/>
          <w:sz w:val="22"/>
          <w:szCs w:val="22"/>
        </w:rPr>
      </w:pPr>
      <w:r w:rsidRPr="00044557">
        <w:rPr>
          <w:rFonts w:ascii="Arial" w:hAnsi="Arial" w:cs="Arial"/>
          <w:sz w:val="22"/>
          <w:szCs w:val="22"/>
        </w:rPr>
        <w:t>Yatırım işlemleri hacminde birinci sırayı 788 milyar TL ile yatırım fonu işlemleri almıştır. Bunu, 363 milyar TL ile hisse senedi işlemleri izlemiştir. Yatırım işlemleri işlem adedinde ise 9 milyon 913 bin adetle hisse senedi işlemleri birinci sırada, 2 milyon 256 bin adetle yatırım fonu işlemleri ikinci sırada yer almıştır.</w:t>
      </w:r>
    </w:p>
    <w:p w:rsidR="00FB7356" w:rsidRPr="004357F6" w:rsidRDefault="00FB7356" w:rsidP="00FB7356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FB7356" w:rsidRPr="00044557" w:rsidRDefault="00FB7356" w:rsidP="00FB7356">
      <w:pPr>
        <w:pStyle w:val="BodyText"/>
        <w:rPr>
          <w:rFonts w:ascii="Arial" w:hAnsi="Arial" w:cs="Arial"/>
          <w:color w:val="000000"/>
          <w:sz w:val="22"/>
          <w:szCs w:val="22"/>
        </w:rPr>
      </w:pPr>
      <w:r w:rsidRPr="00044557">
        <w:rPr>
          <w:rFonts w:ascii="Arial" w:hAnsi="Arial" w:cs="Arial"/>
          <w:sz w:val="22"/>
          <w:szCs w:val="22"/>
        </w:rPr>
        <w:t>En yüksek ortalama işlem hacimleri 429 bin TL ile VİOP işlemlerinde gerçekleşmiştir.</w:t>
      </w:r>
      <w:r w:rsidRPr="00044557">
        <w:rPr>
          <w:rFonts w:ascii="Arial" w:hAnsi="Arial" w:cs="Arial"/>
          <w:color w:val="FF0000"/>
          <w:sz w:val="22"/>
          <w:szCs w:val="22"/>
        </w:rPr>
        <w:t xml:space="preserve"> </w:t>
      </w:r>
      <w:r w:rsidRPr="00044557">
        <w:rPr>
          <w:rFonts w:ascii="Arial" w:hAnsi="Arial" w:cs="Arial"/>
          <w:color w:val="000000"/>
          <w:sz w:val="22"/>
          <w:szCs w:val="22"/>
        </w:rPr>
        <w:t>Bunu, 349 bin TL’lik ortalama işlem hacmiyle yatırım fonları işlemleri takip etmiştir.</w:t>
      </w:r>
    </w:p>
    <w:p w:rsidR="00FB7356" w:rsidRPr="004357F6" w:rsidRDefault="00FB7356" w:rsidP="00FB7356">
      <w:pPr>
        <w:rPr>
          <w:highlight w:val="yellow"/>
        </w:rPr>
      </w:pPr>
    </w:p>
    <w:p w:rsidR="0064789F" w:rsidRPr="00650709" w:rsidRDefault="00650709" w:rsidP="00B962B9">
      <w:pPr>
        <w:pStyle w:val="BodyText"/>
        <w:rPr>
          <w:rFonts w:ascii="Arial" w:hAnsi="Arial" w:cs="Arial"/>
          <w:sz w:val="22"/>
          <w:szCs w:val="22"/>
        </w:rPr>
      </w:pPr>
      <w:r w:rsidRPr="00650709">
        <w:rPr>
          <w:rFonts w:ascii="Arial" w:hAnsi="Arial" w:cs="Arial"/>
          <w:sz w:val="22"/>
          <w:szCs w:val="22"/>
        </w:rPr>
        <w:t>Nisan</w:t>
      </w:r>
      <w:r w:rsidR="008B7729" w:rsidRPr="00650709">
        <w:rPr>
          <w:rFonts w:ascii="Arial" w:hAnsi="Arial" w:cs="Arial"/>
          <w:sz w:val="22"/>
          <w:szCs w:val="22"/>
        </w:rPr>
        <w:t>-</w:t>
      </w:r>
      <w:r w:rsidRPr="00650709">
        <w:rPr>
          <w:rFonts w:ascii="Arial" w:hAnsi="Arial" w:cs="Arial"/>
          <w:sz w:val="22"/>
          <w:szCs w:val="22"/>
        </w:rPr>
        <w:t>Haziran</w:t>
      </w:r>
      <w:r w:rsidR="008B7729" w:rsidRPr="00650709">
        <w:rPr>
          <w:rFonts w:ascii="Arial" w:hAnsi="Arial" w:cs="Arial"/>
          <w:sz w:val="22"/>
          <w:szCs w:val="22"/>
        </w:rPr>
        <w:t xml:space="preserve"> 2024 </w:t>
      </w:r>
      <w:r w:rsidR="0073292E" w:rsidRPr="00650709">
        <w:rPr>
          <w:rFonts w:ascii="Arial" w:hAnsi="Arial" w:cs="Arial"/>
          <w:sz w:val="22"/>
          <w:szCs w:val="22"/>
        </w:rPr>
        <w:t xml:space="preserve">döneminde internet bankacılığı kanalıyla kullandırılan anlık kredi adedi </w:t>
      </w:r>
      <w:r w:rsidR="008B7729" w:rsidRPr="00650709">
        <w:rPr>
          <w:rFonts w:ascii="Arial" w:hAnsi="Arial" w:cs="Arial"/>
          <w:sz w:val="22"/>
          <w:szCs w:val="22"/>
        </w:rPr>
        <w:t>7</w:t>
      </w:r>
      <w:r w:rsidRPr="00650709">
        <w:rPr>
          <w:rFonts w:ascii="Arial" w:hAnsi="Arial" w:cs="Arial"/>
          <w:sz w:val="22"/>
          <w:szCs w:val="22"/>
        </w:rPr>
        <w:t xml:space="preserve">0 </w:t>
      </w:r>
      <w:r w:rsidR="0073292E" w:rsidRPr="00650709">
        <w:rPr>
          <w:rFonts w:ascii="Arial" w:hAnsi="Arial" w:cs="Arial"/>
          <w:sz w:val="22"/>
          <w:szCs w:val="22"/>
        </w:rPr>
        <w:t xml:space="preserve">bin, hacmi </w:t>
      </w:r>
      <w:r w:rsidR="00614485">
        <w:rPr>
          <w:rFonts w:ascii="Arial" w:hAnsi="Arial" w:cs="Arial"/>
          <w:sz w:val="22"/>
          <w:szCs w:val="22"/>
        </w:rPr>
        <w:t xml:space="preserve">yaklaşık </w:t>
      </w:r>
      <w:r w:rsidR="003332E7">
        <w:rPr>
          <w:rFonts w:ascii="Arial" w:hAnsi="Arial" w:cs="Arial"/>
          <w:sz w:val="22"/>
          <w:szCs w:val="22"/>
        </w:rPr>
        <w:t>9</w:t>
      </w:r>
      <w:r w:rsidR="00F07949" w:rsidRPr="00650709">
        <w:rPr>
          <w:rFonts w:ascii="Arial" w:hAnsi="Arial" w:cs="Arial"/>
          <w:sz w:val="22"/>
          <w:szCs w:val="22"/>
        </w:rPr>
        <w:t xml:space="preserve"> </w:t>
      </w:r>
      <w:r w:rsidR="00056DB1" w:rsidRPr="00650709">
        <w:rPr>
          <w:rFonts w:ascii="Arial" w:hAnsi="Arial" w:cs="Arial"/>
          <w:sz w:val="22"/>
          <w:szCs w:val="22"/>
        </w:rPr>
        <w:t xml:space="preserve">milyar </w:t>
      </w:r>
      <w:r w:rsidR="0073292E" w:rsidRPr="00650709">
        <w:rPr>
          <w:rFonts w:ascii="Arial" w:hAnsi="Arial" w:cs="Arial"/>
          <w:sz w:val="22"/>
          <w:szCs w:val="22"/>
        </w:rPr>
        <w:t xml:space="preserve">TL’dir. </w:t>
      </w:r>
      <w:r w:rsidR="006618DF" w:rsidRPr="00650709">
        <w:rPr>
          <w:rFonts w:ascii="Arial" w:hAnsi="Arial" w:cs="Arial"/>
          <w:sz w:val="22"/>
          <w:szCs w:val="22"/>
        </w:rPr>
        <w:t>G</w:t>
      </w:r>
      <w:r w:rsidR="0073292E" w:rsidRPr="00650709">
        <w:rPr>
          <w:rFonts w:ascii="Arial" w:hAnsi="Arial" w:cs="Arial"/>
          <w:sz w:val="22"/>
          <w:szCs w:val="22"/>
        </w:rPr>
        <w:t>erçekle</w:t>
      </w:r>
      <w:r w:rsidR="000D3E36" w:rsidRPr="00650709">
        <w:rPr>
          <w:rFonts w:ascii="Arial" w:hAnsi="Arial" w:cs="Arial"/>
          <w:sz w:val="22"/>
          <w:szCs w:val="22"/>
        </w:rPr>
        <w:t xml:space="preserve">ştirilen sigorta satışı adedi </w:t>
      </w:r>
      <w:r w:rsidR="006618DF" w:rsidRPr="00650709">
        <w:rPr>
          <w:rFonts w:ascii="Arial" w:hAnsi="Arial" w:cs="Arial"/>
          <w:sz w:val="22"/>
          <w:szCs w:val="22"/>
        </w:rPr>
        <w:t xml:space="preserve">ise </w:t>
      </w:r>
      <w:r w:rsidRPr="00650709">
        <w:rPr>
          <w:rFonts w:ascii="Arial" w:hAnsi="Arial" w:cs="Arial"/>
          <w:sz w:val="22"/>
          <w:szCs w:val="22"/>
        </w:rPr>
        <w:t>58</w:t>
      </w:r>
      <w:r w:rsidR="00187EF9" w:rsidRPr="00650709">
        <w:rPr>
          <w:rFonts w:ascii="Arial" w:hAnsi="Arial" w:cs="Arial"/>
          <w:sz w:val="22"/>
          <w:szCs w:val="22"/>
        </w:rPr>
        <w:t xml:space="preserve"> </w:t>
      </w:r>
      <w:r w:rsidR="00400C85" w:rsidRPr="00650709">
        <w:rPr>
          <w:rFonts w:ascii="Arial" w:hAnsi="Arial" w:cs="Arial"/>
          <w:sz w:val="22"/>
          <w:szCs w:val="22"/>
        </w:rPr>
        <w:t>bindir</w:t>
      </w:r>
      <w:r w:rsidR="00147096" w:rsidRPr="00650709">
        <w:rPr>
          <w:rFonts w:ascii="Arial" w:hAnsi="Arial" w:cs="Arial"/>
          <w:sz w:val="22"/>
          <w:szCs w:val="22"/>
        </w:rPr>
        <w:t>.</w:t>
      </w:r>
    </w:p>
    <w:p w:rsidR="007966FC" w:rsidRPr="004357F6" w:rsidRDefault="008D3F8D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  <w:r w:rsidRPr="004357F6">
        <w:rPr>
          <w:rFonts w:ascii="Arial" w:hAnsi="Arial" w:cs="Arial"/>
          <w:sz w:val="22"/>
          <w:szCs w:val="22"/>
          <w:highlight w:val="yellow"/>
        </w:rPr>
        <w:t xml:space="preserve">    </w:t>
      </w:r>
    </w:p>
    <w:p w:rsidR="000D2FB0" w:rsidRPr="000D1E4F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0D1E4F">
        <w:rPr>
          <w:rFonts w:ascii="Arial" w:hAnsi="Arial" w:cs="Arial"/>
          <w:b/>
          <w:szCs w:val="24"/>
        </w:rPr>
        <w:t>II</w:t>
      </w:r>
      <w:r w:rsidR="00387023" w:rsidRPr="000D1E4F">
        <w:rPr>
          <w:rFonts w:ascii="Arial" w:hAnsi="Arial" w:cs="Arial"/>
          <w:b/>
          <w:szCs w:val="24"/>
        </w:rPr>
        <w:t>I</w:t>
      </w:r>
      <w:r w:rsidRPr="000D1E4F">
        <w:rPr>
          <w:rFonts w:ascii="Arial" w:hAnsi="Arial" w:cs="Arial"/>
          <w:b/>
          <w:szCs w:val="24"/>
        </w:rPr>
        <w:t xml:space="preserve">.   </w:t>
      </w:r>
      <w:r w:rsidR="000D2FB0" w:rsidRPr="000D1E4F">
        <w:rPr>
          <w:rFonts w:ascii="Arial" w:hAnsi="Arial" w:cs="Arial"/>
          <w:b/>
          <w:szCs w:val="24"/>
        </w:rPr>
        <w:t>Mobil Bankacılık İstatistikleri</w:t>
      </w:r>
    </w:p>
    <w:p w:rsidR="000D2FB0" w:rsidRPr="004357F6" w:rsidRDefault="000D2FB0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3C32DB" w:rsidRDefault="000D2FB0" w:rsidP="00144CF8">
      <w:pPr>
        <w:pStyle w:val="BodyText"/>
        <w:rPr>
          <w:rFonts w:ascii="Arial" w:hAnsi="Arial" w:cs="Arial"/>
          <w:sz w:val="22"/>
          <w:szCs w:val="22"/>
        </w:rPr>
      </w:pPr>
      <w:r w:rsidRPr="000D1E4F">
        <w:rPr>
          <w:rFonts w:ascii="Arial" w:hAnsi="Arial" w:cs="Arial"/>
          <w:sz w:val="22"/>
          <w:szCs w:val="22"/>
        </w:rPr>
        <w:t xml:space="preserve">Mobil bankacılık yapmak üzere sistemde kayıtlı olan ve en az bir kez </w:t>
      </w:r>
      <w:r w:rsidR="00CA5F28" w:rsidRPr="000D1E4F">
        <w:rPr>
          <w:rFonts w:ascii="Arial" w:hAnsi="Arial" w:cs="Arial"/>
          <w:sz w:val="22"/>
          <w:szCs w:val="22"/>
        </w:rPr>
        <w:t>giriş işlemi yapmış</w:t>
      </w:r>
      <w:r w:rsidRPr="000D1E4F">
        <w:rPr>
          <w:rFonts w:ascii="Arial" w:hAnsi="Arial" w:cs="Arial"/>
          <w:sz w:val="22"/>
          <w:szCs w:val="22"/>
        </w:rPr>
        <w:t xml:space="preserve"> </w:t>
      </w:r>
      <w:r w:rsidR="00CC03CB" w:rsidRPr="000D1E4F">
        <w:rPr>
          <w:rFonts w:ascii="Arial" w:hAnsi="Arial" w:cs="Arial"/>
          <w:sz w:val="22"/>
          <w:szCs w:val="22"/>
        </w:rPr>
        <w:t xml:space="preserve">toplam </w:t>
      </w:r>
      <w:r w:rsidRPr="000D1E4F">
        <w:rPr>
          <w:rFonts w:ascii="Arial" w:hAnsi="Arial" w:cs="Arial"/>
          <w:sz w:val="22"/>
          <w:szCs w:val="22"/>
        </w:rPr>
        <w:t>müşteri sayısı</w:t>
      </w:r>
      <w:r w:rsidR="00362ABB" w:rsidRPr="000D1E4F">
        <w:rPr>
          <w:rFonts w:ascii="Arial" w:hAnsi="Arial" w:cs="Arial"/>
          <w:sz w:val="22"/>
          <w:szCs w:val="22"/>
        </w:rPr>
        <w:t xml:space="preserve"> </w:t>
      </w:r>
      <w:r w:rsidR="002E06E7" w:rsidRPr="000D1E4F">
        <w:rPr>
          <w:rFonts w:ascii="Arial" w:hAnsi="Arial" w:cs="Arial"/>
          <w:sz w:val="22"/>
          <w:szCs w:val="22"/>
        </w:rPr>
        <w:t>(bireysel ve kurumsal)</w:t>
      </w:r>
      <w:r w:rsidR="008C3187" w:rsidRPr="000D1E4F">
        <w:rPr>
          <w:rFonts w:ascii="Arial" w:hAnsi="Arial" w:cs="Arial"/>
          <w:sz w:val="22"/>
          <w:szCs w:val="22"/>
        </w:rPr>
        <w:t xml:space="preserve"> </w:t>
      </w:r>
      <w:r w:rsidR="000D1E4F">
        <w:rPr>
          <w:rFonts w:ascii="Arial" w:hAnsi="Arial" w:cs="Arial"/>
          <w:sz w:val="22"/>
          <w:szCs w:val="22"/>
        </w:rPr>
        <w:t>Haziran</w:t>
      </w:r>
      <w:r w:rsidR="00D21E93" w:rsidRPr="000D1E4F">
        <w:rPr>
          <w:rFonts w:ascii="Arial" w:hAnsi="Arial" w:cs="Arial"/>
          <w:sz w:val="22"/>
          <w:szCs w:val="22"/>
        </w:rPr>
        <w:t xml:space="preserve"> 202</w:t>
      </w:r>
      <w:r w:rsidR="000B5806" w:rsidRPr="000D1E4F">
        <w:rPr>
          <w:rFonts w:ascii="Arial" w:hAnsi="Arial" w:cs="Arial"/>
          <w:sz w:val="22"/>
          <w:szCs w:val="22"/>
        </w:rPr>
        <w:t>4</w:t>
      </w:r>
      <w:r w:rsidR="006922F2" w:rsidRPr="000D1E4F">
        <w:rPr>
          <w:rFonts w:ascii="Arial" w:hAnsi="Arial" w:cs="Arial"/>
          <w:sz w:val="22"/>
          <w:szCs w:val="22"/>
        </w:rPr>
        <w:t xml:space="preserve"> </w:t>
      </w:r>
      <w:r w:rsidR="006073A7" w:rsidRPr="001D1325">
        <w:rPr>
          <w:rFonts w:ascii="Arial" w:hAnsi="Arial" w:cs="Arial"/>
          <w:sz w:val="22"/>
          <w:szCs w:val="22"/>
        </w:rPr>
        <w:t>itibarıyla</w:t>
      </w:r>
      <w:r w:rsidR="00F87537" w:rsidRPr="001D1325">
        <w:rPr>
          <w:rFonts w:ascii="Arial" w:hAnsi="Arial" w:cs="Arial"/>
          <w:sz w:val="22"/>
          <w:szCs w:val="22"/>
        </w:rPr>
        <w:t xml:space="preserve"> </w:t>
      </w:r>
      <w:r w:rsidR="001D1325">
        <w:rPr>
          <w:rFonts w:ascii="Arial" w:hAnsi="Arial" w:cs="Arial"/>
          <w:sz w:val="22"/>
          <w:szCs w:val="22"/>
        </w:rPr>
        <w:t xml:space="preserve">yaklaşık </w:t>
      </w:r>
      <w:r w:rsidR="00CC3373" w:rsidRPr="001D1325">
        <w:rPr>
          <w:rFonts w:ascii="Arial" w:hAnsi="Arial" w:cs="Arial"/>
          <w:sz w:val="22"/>
          <w:szCs w:val="22"/>
        </w:rPr>
        <w:t>1</w:t>
      </w:r>
      <w:r w:rsidR="001D1325" w:rsidRPr="001D1325">
        <w:rPr>
          <w:rFonts w:ascii="Arial" w:hAnsi="Arial" w:cs="Arial"/>
          <w:sz w:val="22"/>
          <w:szCs w:val="22"/>
        </w:rPr>
        <w:t>84</w:t>
      </w:r>
      <w:r w:rsidR="007F3723" w:rsidRPr="001D1325">
        <w:rPr>
          <w:rFonts w:ascii="Arial" w:hAnsi="Arial" w:cs="Arial"/>
          <w:sz w:val="22"/>
          <w:szCs w:val="22"/>
        </w:rPr>
        <w:t xml:space="preserve"> milyon</w:t>
      </w:r>
      <w:r w:rsidR="003B3F2F" w:rsidRPr="001D1325">
        <w:rPr>
          <w:rFonts w:ascii="Arial" w:hAnsi="Arial" w:cs="Arial"/>
          <w:sz w:val="22"/>
          <w:szCs w:val="22"/>
        </w:rPr>
        <w:t xml:space="preserve"> </w:t>
      </w:r>
      <w:r w:rsidRPr="001D1325">
        <w:rPr>
          <w:rFonts w:ascii="Arial" w:hAnsi="Arial" w:cs="Arial"/>
          <w:sz w:val="22"/>
          <w:szCs w:val="22"/>
        </w:rPr>
        <w:t xml:space="preserve">kişidir. Bunların </w:t>
      </w:r>
      <w:r w:rsidR="00C24098" w:rsidRPr="001D1325">
        <w:rPr>
          <w:rFonts w:ascii="Arial" w:hAnsi="Arial" w:cs="Arial"/>
          <w:sz w:val="22"/>
          <w:szCs w:val="22"/>
        </w:rPr>
        <w:t>1</w:t>
      </w:r>
      <w:r w:rsidR="00376DBA" w:rsidRPr="001D1325">
        <w:rPr>
          <w:rFonts w:ascii="Arial" w:hAnsi="Arial" w:cs="Arial"/>
          <w:sz w:val="22"/>
          <w:szCs w:val="22"/>
        </w:rPr>
        <w:t>1</w:t>
      </w:r>
      <w:r w:rsidR="001D1325" w:rsidRPr="001D1325">
        <w:rPr>
          <w:rFonts w:ascii="Arial" w:hAnsi="Arial" w:cs="Arial"/>
          <w:sz w:val="22"/>
          <w:szCs w:val="22"/>
        </w:rPr>
        <w:t>3</w:t>
      </w:r>
      <w:r w:rsidR="002F2B50" w:rsidRPr="001D1325">
        <w:rPr>
          <w:rFonts w:ascii="Arial" w:hAnsi="Arial" w:cs="Arial"/>
          <w:sz w:val="22"/>
          <w:szCs w:val="22"/>
        </w:rPr>
        <w:t xml:space="preserve"> </w:t>
      </w:r>
      <w:r w:rsidR="007F3723" w:rsidRPr="001D1325">
        <w:rPr>
          <w:rFonts w:ascii="Arial" w:hAnsi="Arial" w:cs="Arial"/>
          <w:sz w:val="22"/>
          <w:szCs w:val="22"/>
        </w:rPr>
        <w:t>milyon</w:t>
      </w:r>
      <w:r w:rsidR="006618DF" w:rsidRPr="001D1325">
        <w:rPr>
          <w:rFonts w:ascii="Arial" w:hAnsi="Arial" w:cs="Arial"/>
          <w:sz w:val="22"/>
          <w:szCs w:val="22"/>
        </w:rPr>
        <w:t>u</w:t>
      </w:r>
      <w:r w:rsidR="00BD7212" w:rsidRPr="001D1325">
        <w:rPr>
          <w:rFonts w:ascii="Arial" w:hAnsi="Arial" w:cs="Arial"/>
          <w:sz w:val="22"/>
          <w:szCs w:val="22"/>
        </w:rPr>
        <w:t xml:space="preserve"> </w:t>
      </w:r>
      <w:r w:rsidRPr="001D1325">
        <w:rPr>
          <w:rFonts w:ascii="Arial" w:hAnsi="Arial" w:cs="Arial"/>
          <w:sz w:val="22"/>
          <w:szCs w:val="22"/>
        </w:rPr>
        <w:t xml:space="preserve">(yüzde </w:t>
      </w:r>
      <w:r w:rsidR="00263E87" w:rsidRPr="001D1325">
        <w:rPr>
          <w:rFonts w:ascii="Arial" w:hAnsi="Arial" w:cs="Arial"/>
          <w:sz w:val="22"/>
          <w:szCs w:val="22"/>
        </w:rPr>
        <w:t>6</w:t>
      </w:r>
      <w:r w:rsidR="001D1325" w:rsidRPr="001D1325">
        <w:rPr>
          <w:rFonts w:ascii="Arial" w:hAnsi="Arial" w:cs="Arial"/>
          <w:sz w:val="22"/>
          <w:szCs w:val="22"/>
        </w:rPr>
        <w:t>2</w:t>
      </w:r>
      <w:r w:rsidR="00A127DC" w:rsidRPr="001D1325">
        <w:rPr>
          <w:rFonts w:ascii="Arial" w:hAnsi="Arial" w:cs="Arial"/>
          <w:sz w:val="22"/>
          <w:szCs w:val="22"/>
        </w:rPr>
        <w:t>’</w:t>
      </w:r>
      <w:r w:rsidR="001D1325" w:rsidRPr="001D1325">
        <w:rPr>
          <w:rFonts w:ascii="Arial" w:hAnsi="Arial" w:cs="Arial"/>
          <w:sz w:val="22"/>
          <w:szCs w:val="22"/>
        </w:rPr>
        <w:t>si</w:t>
      </w:r>
      <w:r w:rsidR="007F3723" w:rsidRPr="001D1325">
        <w:rPr>
          <w:rFonts w:ascii="Arial" w:hAnsi="Arial" w:cs="Arial"/>
          <w:sz w:val="22"/>
          <w:szCs w:val="22"/>
        </w:rPr>
        <w:t>)</w:t>
      </w:r>
      <w:r w:rsidRPr="001D1325">
        <w:rPr>
          <w:rFonts w:ascii="Arial" w:hAnsi="Arial" w:cs="Arial"/>
          <w:sz w:val="22"/>
          <w:szCs w:val="22"/>
        </w:rPr>
        <w:t xml:space="preserve"> </w:t>
      </w:r>
      <w:r w:rsidR="003C32DB">
        <w:rPr>
          <w:rFonts w:ascii="Arial" w:hAnsi="Arial" w:cs="Arial"/>
          <w:sz w:val="22"/>
          <w:szCs w:val="22"/>
        </w:rPr>
        <w:t>Nisan-Haziran</w:t>
      </w:r>
      <w:r w:rsidR="00346FAA" w:rsidRPr="001D1325">
        <w:rPr>
          <w:rFonts w:ascii="Arial" w:hAnsi="Arial" w:cs="Arial"/>
          <w:sz w:val="22"/>
          <w:szCs w:val="22"/>
        </w:rPr>
        <w:t xml:space="preserve"> 202</w:t>
      </w:r>
      <w:r w:rsidR="00376DBA" w:rsidRPr="001D1325">
        <w:rPr>
          <w:rFonts w:ascii="Arial" w:hAnsi="Arial" w:cs="Arial"/>
          <w:sz w:val="22"/>
          <w:szCs w:val="22"/>
        </w:rPr>
        <w:t>4</w:t>
      </w:r>
      <w:r w:rsidR="00400C85" w:rsidRPr="001D1325">
        <w:rPr>
          <w:rFonts w:ascii="Arial" w:hAnsi="Arial" w:cs="Arial"/>
          <w:sz w:val="22"/>
          <w:szCs w:val="22"/>
        </w:rPr>
        <w:t xml:space="preserve"> </w:t>
      </w:r>
      <w:r w:rsidR="008C3187" w:rsidRPr="001D1325">
        <w:rPr>
          <w:rFonts w:ascii="Arial" w:hAnsi="Arial" w:cs="Arial"/>
          <w:sz w:val="22"/>
          <w:szCs w:val="22"/>
        </w:rPr>
        <w:t>dönem</w:t>
      </w:r>
      <w:r w:rsidR="00D62C5C" w:rsidRPr="001D1325">
        <w:rPr>
          <w:rFonts w:ascii="Arial" w:hAnsi="Arial" w:cs="Arial"/>
          <w:sz w:val="22"/>
          <w:szCs w:val="22"/>
        </w:rPr>
        <w:t>i</w:t>
      </w:r>
      <w:r w:rsidRPr="001D1325">
        <w:rPr>
          <w:rFonts w:ascii="Arial" w:hAnsi="Arial" w:cs="Arial"/>
          <w:sz w:val="22"/>
          <w:szCs w:val="22"/>
        </w:rPr>
        <w:t xml:space="preserve"> içerisinde en az bir kez </w:t>
      </w:r>
      <w:r w:rsidR="00CA5F28" w:rsidRPr="001D1325">
        <w:rPr>
          <w:rFonts w:ascii="Arial" w:hAnsi="Arial" w:cs="Arial"/>
          <w:sz w:val="22"/>
          <w:szCs w:val="22"/>
        </w:rPr>
        <w:t xml:space="preserve">giriş </w:t>
      </w:r>
      <w:r w:rsidRPr="001D1325">
        <w:rPr>
          <w:rFonts w:ascii="Arial" w:hAnsi="Arial" w:cs="Arial"/>
          <w:sz w:val="22"/>
          <w:szCs w:val="22"/>
        </w:rPr>
        <w:t>işlem</w:t>
      </w:r>
      <w:r w:rsidR="00CA5F28" w:rsidRPr="001D1325">
        <w:rPr>
          <w:rFonts w:ascii="Arial" w:hAnsi="Arial" w:cs="Arial"/>
          <w:sz w:val="22"/>
          <w:szCs w:val="22"/>
        </w:rPr>
        <w:t>i</w:t>
      </w:r>
      <w:r w:rsidR="00282B7A" w:rsidRPr="001D1325">
        <w:rPr>
          <w:rFonts w:ascii="Arial" w:hAnsi="Arial" w:cs="Arial"/>
          <w:sz w:val="22"/>
          <w:szCs w:val="22"/>
        </w:rPr>
        <w:t xml:space="preserve"> yapmıştır. </w:t>
      </w:r>
    </w:p>
    <w:p w:rsidR="00FB188B" w:rsidRPr="001D1325" w:rsidRDefault="00FB188B" w:rsidP="00144CF8">
      <w:pPr>
        <w:pStyle w:val="BodyText"/>
        <w:rPr>
          <w:rFonts w:ascii="Arial" w:hAnsi="Arial" w:cs="Arial"/>
          <w:sz w:val="22"/>
          <w:szCs w:val="22"/>
        </w:rPr>
      </w:pPr>
    </w:p>
    <w:p w:rsidR="002E3B04" w:rsidRPr="001D1325" w:rsidRDefault="00F77DD3" w:rsidP="00CC2DCA">
      <w:pPr>
        <w:pStyle w:val="Heading9"/>
      </w:pPr>
      <w:r w:rsidRPr="001D1325">
        <w:rPr>
          <w:rFonts w:ascii="Arial" w:hAnsi="Arial" w:cs="Arial"/>
        </w:rPr>
        <w:t>Mobil Bankacılık Kullanan Müşteri Sayısı</w:t>
      </w:r>
    </w:p>
    <w:tbl>
      <w:tblPr>
        <w:tblW w:w="861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9"/>
        <w:gridCol w:w="1475"/>
        <w:gridCol w:w="1222"/>
        <w:gridCol w:w="1458"/>
      </w:tblGrid>
      <w:tr w:rsidR="001D1325" w:rsidRPr="001D1325" w:rsidTr="001D1325">
        <w:trPr>
          <w:trHeight w:val="549"/>
          <w:jc w:val="center"/>
        </w:trPr>
        <w:tc>
          <w:tcPr>
            <w:tcW w:w="445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Haziran 2023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Mart 2024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Haziran 2024</w:t>
            </w:r>
          </w:p>
        </w:tc>
      </w:tr>
      <w:tr w:rsidR="00174A96" w:rsidRPr="001D1325" w:rsidTr="001D1325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4A96" w:rsidRPr="001D1325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75" w:type="dxa"/>
            <w:tcBorders>
              <w:left w:val="nil"/>
              <w:right w:val="nil"/>
            </w:tcBorders>
            <w:shd w:val="clear" w:color="auto" w:fill="auto"/>
          </w:tcPr>
          <w:p w:rsidR="00174A96" w:rsidRPr="001D1325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22" w:type="dxa"/>
            <w:tcBorders>
              <w:left w:val="nil"/>
              <w:right w:val="nil"/>
            </w:tcBorders>
          </w:tcPr>
          <w:p w:rsidR="00174A96" w:rsidRPr="001D1325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</w:tcPr>
          <w:p w:rsidR="00174A96" w:rsidRPr="001D1325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1D1325" w:rsidRPr="001D1325" w:rsidTr="001D1325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 w:rsidRPr="001D1325">
              <w:rPr>
                <w:rFonts w:ascii="Arial" w:hAnsi="Arial" w:cs="Arial"/>
                <w:sz w:val="20"/>
              </w:rPr>
              <w:t>97.774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107.940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109.060</w:t>
            </w:r>
          </w:p>
        </w:tc>
      </w:tr>
      <w:tr w:rsidR="001D1325" w:rsidRPr="001D1325" w:rsidTr="001D1325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151.360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170.553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175.802</w:t>
            </w:r>
          </w:p>
        </w:tc>
      </w:tr>
      <w:tr w:rsidR="001D1325" w:rsidRPr="001D1325" w:rsidTr="001D1325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115.444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127.389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129.776</w:t>
            </w:r>
          </w:p>
        </w:tc>
      </w:tr>
      <w:tr w:rsidR="001D1325" w:rsidRPr="001D1325" w:rsidTr="001D1325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62</w:t>
            </w:r>
          </w:p>
        </w:tc>
      </w:tr>
      <w:tr w:rsidR="001D1325" w:rsidRPr="001D1325" w:rsidTr="001D1325">
        <w:trPr>
          <w:trHeight w:val="79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rPr>
                <w:sz w:val="20"/>
              </w:rPr>
            </w:pPr>
          </w:p>
        </w:tc>
      </w:tr>
      <w:tr w:rsidR="001D1325" w:rsidRPr="001D1325" w:rsidTr="001D1325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1D1325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1D1325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rPr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rPr>
                <w:sz w:val="20"/>
              </w:rPr>
            </w:pPr>
          </w:p>
        </w:tc>
      </w:tr>
      <w:tr w:rsidR="001D1325" w:rsidRPr="001D1325" w:rsidTr="001D1325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3.851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4.019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3.973</w:t>
            </w:r>
          </w:p>
        </w:tc>
      </w:tr>
      <w:tr w:rsidR="001D1325" w:rsidRPr="001D1325" w:rsidTr="001D1325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6.979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7.604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7.761</w:t>
            </w:r>
          </w:p>
        </w:tc>
      </w:tr>
      <w:tr w:rsidR="001D1325" w:rsidRPr="001D1325" w:rsidTr="001D1325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4.715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4.954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4.941</w:t>
            </w:r>
          </w:p>
        </w:tc>
      </w:tr>
      <w:tr w:rsidR="001D1325" w:rsidRPr="001D1325" w:rsidTr="001D1325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55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53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51</w:t>
            </w:r>
          </w:p>
        </w:tc>
      </w:tr>
      <w:tr w:rsidR="001D1325" w:rsidRPr="001D1325" w:rsidTr="001D1325">
        <w:trPr>
          <w:trHeight w:val="10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sz w:val="20"/>
              </w:rPr>
            </w:pPr>
          </w:p>
        </w:tc>
      </w:tr>
      <w:tr w:rsidR="001D1325" w:rsidRPr="001D1325" w:rsidTr="001D1325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rPr>
                <w:sz w:val="20"/>
              </w:rPr>
            </w:pPr>
          </w:p>
        </w:tc>
      </w:tr>
      <w:tr w:rsidR="001D1325" w:rsidRPr="001D1325" w:rsidTr="001D1325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101.625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111.959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113.033</w:t>
            </w:r>
          </w:p>
        </w:tc>
      </w:tr>
      <w:tr w:rsidR="001D1325" w:rsidRPr="001D1325" w:rsidTr="001D1325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158.339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178.157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183.563</w:t>
            </w:r>
          </w:p>
        </w:tc>
      </w:tr>
      <w:tr w:rsidR="001D1325" w:rsidRPr="001D1325" w:rsidTr="001D1325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120.159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132.343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sz w:val="20"/>
              </w:rPr>
            </w:pPr>
            <w:r w:rsidRPr="001D1325">
              <w:rPr>
                <w:rFonts w:ascii="Arial" w:hAnsi="Arial" w:cs="Arial"/>
                <w:sz w:val="20"/>
              </w:rPr>
              <w:t>134.717</w:t>
            </w:r>
          </w:p>
        </w:tc>
      </w:tr>
      <w:tr w:rsidR="001D1325" w:rsidRPr="004357F6" w:rsidTr="001D1325">
        <w:trPr>
          <w:trHeight w:val="79"/>
          <w:jc w:val="center"/>
        </w:trPr>
        <w:tc>
          <w:tcPr>
            <w:tcW w:w="44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1325" w:rsidRPr="001D1325" w:rsidRDefault="001D1325" w:rsidP="001D1325">
            <w:pPr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D1325" w:rsidRPr="001D1325" w:rsidRDefault="001D1325" w:rsidP="001D13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62</w:t>
            </w:r>
          </w:p>
        </w:tc>
      </w:tr>
    </w:tbl>
    <w:p w:rsidR="006618DF" w:rsidRPr="004357F6" w:rsidRDefault="006618DF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F619D7" w:rsidRPr="001D1325" w:rsidRDefault="00F619D7" w:rsidP="00F619D7">
      <w:pPr>
        <w:pStyle w:val="BodyText"/>
        <w:rPr>
          <w:rFonts w:ascii="Arial" w:hAnsi="Arial" w:cs="Arial"/>
          <w:sz w:val="22"/>
          <w:szCs w:val="22"/>
        </w:rPr>
      </w:pPr>
      <w:r w:rsidRPr="001D1325">
        <w:rPr>
          <w:rFonts w:ascii="Arial" w:hAnsi="Arial" w:cs="Arial"/>
          <w:sz w:val="22"/>
          <w:szCs w:val="22"/>
        </w:rPr>
        <w:t>Toplam (bireysel ve kurumsal) aktif müşteri sayısında bir önceki döneme göre 1 milyon 74 bin kişi, bir önceki yıla göre 11 milyon 408 bin kişi artış olmuştur.</w:t>
      </w:r>
    </w:p>
    <w:p w:rsidR="003C32DB" w:rsidRDefault="003C32DB" w:rsidP="007E093E">
      <w:pPr>
        <w:pStyle w:val="BodyText"/>
        <w:rPr>
          <w:rFonts w:ascii="Arial" w:hAnsi="Arial" w:cs="Arial"/>
          <w:sz w:val="22"/>
          <w:szCs w:val="22"/>
        </w:rPr>
      </w:pPr>
    </w:p>
    <w:p w:rsidR="003C32DB" w:rsidRDefault="003C32DB" w:rsidP="007E093E">
      <w:pPr>
        <w:pStyle w:val="BodyText"/>
        <w:rPr>
          <w:rFonts w:ascii="Arial" w:hAnsi="Arial" w:cs="Arial"/>
          <w:sz w:val="22"/>
          <w:szCs w:val="22"/>
        </w:rPr>
      </w:pPr>
    </w:p>
    <w:p w:rsidR="003C32DB" w:rsidRDefault="003C32DB" w:rsidP="007E093E">
      <w:pPr>
        <w:pStyle w:val="BodyText"/>
        <w:rPr>
          <w:rFonts w:ascii="Arial" w:hAnsi="Arial" w:cs="Arial"/>
          <w:sz w:val="22"/>
          <w:szCs w:val="22"/>
        </w:rPr>
      </w:pPr>
    </w:p>
    <w:p w:rsidR="003C32DB" w:rsidRDefault="003C32DB" w:rsidP="007E093E">
      <w:pPr>
        <w:pStyle w:val="BodyText"/>
        <w:rPr>
          <w:rFonts w:ascii="Arial" w:hAnsi="Arial" w:cs="Arial"/>
          <w:sz w:val="22"/>
          <w:szCs w:val="22"/>
        </w:rPr>
      </w:pPr>
    </w:p>
    <w:p w:rsidR="003C32DB" w:rsidRDefault="003C32DB" w:rsidP="007E093E">
      <w:pPr>
        <w:pStyle w:val="BodyText"/>
        <w:rPr>
          <w:rFonts w:ascii="Arial" w:hAnsi="Arial" w:cs="Arial"/>
          <w:sz w:val="22"/>
          <w:szCs w:val="22"/>
        </w:rPr>
      </w:pPr>
    </w:p>
    <w:p w:rsidR="003C32DB" w:rsidRDefault="003C32DB" w:rsidP="007E093E">
      <w:pPr>
        <w:pStyle w:val="BodyText"/>
        <w:rPr>
          <w:rFonts w:ascii="Arial" w:hAnsi="Arial" w:cs="Arial"/>
          <w:sz w:val="22"/>
          <w:szCs w:val="22"/>
        </w:rPr>
      </w:pPr>
    </w:p>
    <w:p w:rsidR="003C32DB" w:rsidRDefault="003C32DB" w:rsidP="007E093E">
      <w:pPr>
        <w:pStyle w:val="BodyText"/>
        <w:rPr>
          <w:rFonts w:ascii="Arial" w:hAnsi="Arial" w:cs="Arial"/>
          <w:sz w:val="22"/>
          <w:szCs w:val="22"/>
        </w:rPr>
      </w:pPr>
    </w:p>
    <w:p w:rsidR="003C32DB" w:rsidRDefault="003C32DB" w:rsidP="007E093E">
      <w:pPr>
        <w:pStyle w:val="BodyText"/>
        <w:rPr>
          <w:rFonts w:ascii="Arial" w:hAnsi="Arial" w:cs="Arial"/>
          <w:sz w:val="22"/>
          <w:szCs w:val="22"/>
        </w:rPr>
      </w:pPr>
    </w:p>
    <w:p w:rsidR="003C32DB" w:rsidRDefault="003C32DB" w:rsidP="007E093E">
      <w:pPr>
        <w:pStyle w:val="BodyText"/>
        <w:rPr>
          <w:rFonts w:ascii="Arial" w:hAnsi="Arial" w:cs="Arial"/>
          <w:sz w:val="22"/>
          <w:szCs w:val="22"/>
        </w:rPr>
      </w:pPr>
    </w:p>
    <w:p w:rsidR="003C32DB" w:rsidRDefault="003C32DB" w:rsidP="007E093E">
      <w:pPr>
        <w:pStyle w:val="BodyText"/>
        <w:rPr>
          <w:rFonts w:ascii="Arial" w:hAnsi="Arial" w:cs="Arial"/>
          <w:sz w:val="22"/>
          <w:szCs w:val="22"/>
        </w:rPr>
      </w:pPr>
    </w:p>
    <w:p w:rsidR="003C32DB" w:rsidRDefault="003C32DB" w:rsidP="007E093E">
      <w:pPr>
        <w:pStyle w:val="BodyText"/>
        <w:rPr>
          <w:rFonts w:ascii="Arial" w:hAnsi="Arial" w:cs="Arial"/>
          <w:sz w:val="22"/>
          <w:szCs w:val="22"/>
        </w:rPr>
      </w:pPr>
    </w:p>
    <w:p w:rsidR="00CA1F8B" w:rsidRDefault="004947E8" w:rsidP="007E093E">
      <w:pPr>
        <w:pStyle w:val="BodyText"/>
        <w:rPr>
          <w:rFonts w:ascii="Arial" w:hAnsi="Arial" w:cs="Arial"/>
          <w:sz w:val="22"/>
          <w:szCs w:val="22"/>
        </w:rPr>
      </w:pPr>
      <w:r w:rsidRPr="004947E8">
        <w:rPr>
          <w:rFonts w:ascii="Arial" w:hAnsi="Arial" w:cs="Arial"/>
          <w:sz w:val="22"/>
          <w:szCs w:val="22"/>
        </w:rPr>
        <w:lastRenderedPageBreak/>
        <w:t>Nisan</w:t>
      </w:r>
      <w:r w:rsidR="00906628" w:rsidRPr="004947E8">
        <w:rPr>
          <w:rFonts w:ascii="Arial" w:hAnsi="Arial" w:cs="Arial"/>
          <w:sz w:val="22"/>
          <w:szCs w:val="22"/>
        </w:rPr>
        <w:t>-</w:t>
      </w:r>
      <w:r w:rsidRPr="004947E8">
        <w:rPr>
          <w:rFonts w:ascii="Arial" w:hAnsi="Arial" w:cs="Arial"/>
          <w:sz w:val="22"/>
          <w:szCs w:val="22"/>
        </w:rPr>
        <w:t>Haziran</w:t>
      </w:r>
      <w:r w:rsidR="00906628" w:rsidRPr="004947E8">
        <w:rPr>
          <w:rFonts w:ascii="Arial" w:hAnsi="Arial" w:cs="Arial"/>
          <w:sz w:val="22"/>
          <w:szCs w:val="22"/>
        </w:rPr>
        <w:t xml:space="preserve"> 2024 </w:t>
      </w:r>
      <w:r w:rsidR="003432E1" w:rsidRPr="004947E8">
        <w:rPr>
          <w:rFonts w:ascii="Arial" w:hAnsi="Arial" w:cs="Arial"/>
          <w:sz w:val="22"/>
          <w:szCs w:val="22"/>
        </w:rPr>
        <w:t xml:space="preserve">dönemi </w:t>
      </w:r>
      <w:r w:rsidR="006073A7" w:rsidRPr="004947E8">
        <w:rPr>
          <w:rFonts w:ascii="Arial" w:hAnsi="Arial" w:cs="Arial"/>
          <w:sz w:val="22"/>
          <w:szCs w:val="22"/>
        </w:rPr>
        <w:t>itibarıyla</w:t>
      </w:r>
      <w:r w:rsidR="003432E1" w:rsidRPr="004947E8">
        <w:rPr>
          <w:rFonts w:ascii="Arial" w:hAnsi="Arial" w:cs="Arial"/>
          <w:sz w:val="22"/>
          <w:szCs w:val="22"/>
        </w:rPr>
        <w:t xml:space="preserve">, mobil bankacılık hizmeti kullanılarak yapılan finansal işlemlerin toplam adedi </w:t>
      </w:r>
      <w:r w:rsidR="00C24098" w:rsidRPr="004947E8">
        <w:rPr>
          <w:rFonts w:ascii="Arial" w:hAnsi="Arial" w:cs="Arial"/>
          <w:sz w:val="22"/>
          <w:szCs w:val="22"/>
        </w:rPr>
        <w:t>2</w:t>
      </w:r>
      <w:r w:rsidR="00263E87" w:rsidRPr="004947E8">
        <w:rPr>
          <w:rFonts w:ascii="Arial" w:hAnsi="Arial" w:cs="Arial"/>
          <w:sz w:val="22"/>
          <w:szCs w:val="22"/>
        </w:rPr>
        <w:t xml:space="preserve"> </w:t>
      </w:r>
      <w:r w:rsidR="00EB7049" w:rsidRPr="004947E8">
        <w:rPr>
          <w:rFonts w:ascii="Arial" w:hAnsi="Arial" w:cs="Arial"/>
          <w:sz w:val="22"/>
          <w:szCs w:val="22"/>
        </w:rPr>
        <w:t>milyar</w:t>
      </w:r>
      <w:r w:rsidR="00D60EB8" w:rsidRPr="004947E8">
        <w:rPr>
          <w:rFonts w:ascii="Arial" w:hAnsi="Arial" w:cs="Arial"/>
          <w:sz w:val="22"/>
          <w:szCs w:val="22"/>
        </w:rPr>
        <w:t xml:space="preserve"> </w:t>
      </w:r>
      <w:r w:rsidRPr="004947E8">
        <w:rPr>
          <w:rFonts w:ascii="Arial" w:hAnsi="Arial" w:cs="Arial"/>
          <w:sz w:val="22"/>
          <w:szCs w:val="22"/>
        </w:rPr>
        <w:t>483</w:t>
      </w:r>
      <w:r w:rsidR="00D60EB8" w:rsidRPr="004947E8">
        <w:rPr>
          <w:rFonts w:ascii="Arial" w:hAnsi="Arial" w:cs="Arial"/>
          <w:sz w:val="22"/>
          <w:szCs w:val="22"/>
        </w:rPr>
        <w:t xml:space="preserve"> milyon</w:t>
      </w:r>
      <w:r w:rsidR="00EB7049" w:rsidRPr="004947E8">
        <w:rPr>
          <w:rFonts w:ascii="Arial" w:hAnsi="Arial" w:cs="Arial"/>
          <w:sz w:val="22"/>
          <w:szCs w:val="22"/>
        </w:rPr>
        <w:t>, tutarı</w:t>
      </w:r>
      <w:r w:rsidR="003432E1" w:rsidRPr="004947E8">
        <w:rPr>
          <w:rFonts w:ascii="Arial" w:hAnsi="Arial" w:cs="Arial"/>
          <w:sz w:val="22"/>
          <w:szCs w:val="22"/>
        </w:rPr>
        <w:t xml:space="preserve"> ise </w:t>
      </w:r>
      <w:r w:rsidRPr="004947E8">
        <w:rPr>
          <w:rFonts w:ascii="Arial" w:hAnsi="Arial" w:cs="Arial"/>
          <w:sz w:val="22"/>
          <w:szCs w:val="22"/>
        </w:rPr>
        <w:t>yaklaşık 30</w:t>
      </w:r>
      <w:r w:rsidR="0071499F" w:rsidRPr="004947E8">
        <w:rPr>
          <w:rFonts w:ascii="Arial" w:hAnsi="Arial" w:cs="Arial"/>
          <w:sz w:val="22"/>
          <w:szCs w:val="22"/>
        </w:rPr>
        <w:t xml:space="preserve"> </w:t>
      </w:r>
      <w:r w:rsidR="009A0C30" w:rsidRPr="004947E8">
        <w:rPr>
          <w:rFonts w:ascii="Arial" w:hAnsi="Arial" w:cs="Arial"/>
          <w:sz w:val="22"/>
          <w:szCs w:val="22"/>
        </w:rPr>
        <w:t>trilyon</w:t>
      </w:r>
      <w:r w:rsidR="00B96151" w:rsidRPr="004947E8">
        <w:rPr>
          <w:rFonts w:ascii="Arial" w:hAnsi="Arial" w:cs="Arial"/>
          <w:sz w:val="22"/>
          <w:szCs w:val="22"/>
        </w:rPr>
        <w:t xml:space="preserve"> </w:t>
      </w:r>
      <w:r w:rsidR="003432E1" w:rsidRPr="004947E8">
        <w:rPr>
          <w:rFonts w:ascii="Arial" w:hAnsi="Arial" w:cs="Arial"/>
          <w:sz w:val="22"/>
          <w:szCs w:val="22"/>
        </w:rPr>
        <w:t xml:space="preserve">TL olmuştur. </w:t>
      </w:r>
    </w:p>
    <w:p w:rsidR="00090952" w:rsidRPr="004357F6" w:rsidRDefault="00090952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CA1F8B" w:rsidRPr="004947E8" w:rsidRDefault="00CA1F8B" w:rsidP="00CA1F8B">
      <w:pPr>
        <w:pStyle w:val="Heading9"/>
        <w:rPr>
          <w:rFonts w:ascii="Arial" w:hAnsi="Arial" w:cs="Arial"/>
          <w:szCs w:val="22"/>
        </w:rPr>
      </w:pPr>
      <w:r w:rsidRPr="004947E8">
        <w:rPr>
          <w:rFonts w:ascii="Arial" w:hAnsi="Arial" w:cs="Arial"/>
          <w:szCs w:val="22"/>
        </w:rPr>
        <w:t>Mobil Bankacılık Finansal İşlemler</w:t>
      </w:r>
    </w:p>
    <w:p w:rsidR="00CA1F8B" w:rsidRPr="004357F6" w:rsidRDefault="00CA1F8B" w:rsidP="00CA1F8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78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1029"/>
        <w:gridCol w:w="863"/>
        <w:gridCol w:w="862"/>
        <w:gridCol w:w="931"/>
      </w:tblGrid>
      <w:tr w:rsidR="00D6736C" w:rsidRPr="00D6736C" w:rsidTr="004C0B4B">
        <w:trPr>
          <w:trHeight w:val="332"/>
          <w:jc w:val="center"/>
        </w:trPr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D6736C" w:rsidRPr="00D6736C" w:rsidRDefault="00D6736C" w:rsidP="00D6736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D6736C" w:rsidRPr="00D6736C" w:rsidRDefault="00D6736C" w:rsidP="00D6736C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Haziran 2023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D6736C" w:rsidRPr="00D6736C" w:rsidRDefault="00D6736C" w:rsidP="00D673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Mart 2024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D6736C" w:rsidRPr="00D6736C" w:rsidRDefault="00D6736C" w:rsidP="00D673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Haziran 2024</w:t>
            </w:r>
          </w:p>
        </w:tc>
      </w:tr>
      <w:tr w:rsidR="00CA1F8B" w:rsidRPr="00D6736C" w:rsidTr="00965441">
        <w:trPr>
          <w:trHeight w:val="240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D6736C" w:rsidRDefault="00CA1F8B" w:rsidP="0096544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D6736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D6736C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D6736C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6736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6736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D6736C" w:rsidRDefault="00CA1F8B" w:rsidP="009654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6736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6736C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D6736C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4947E8" w:rsidRPr="00D6736C" w:rsidTr="004C0B4B">
        <w:trPr>
          <w:trHeight w:val="22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947E8" w:rsidRPr="00D6736C" w:rsidRDefault="004947E8" w:rsidP="004947E8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6736C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 w:rsidRPr="00D6736C">
              <w:rPr>
                <w:rFonts w:ascii="Arial" w:hAnsi="Arial" w:cs="Arial"/>
                <w:sz w:val="20"/>
              </w:rPr>
              <w:t>1.210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10.360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1.545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16.795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5E66C6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1.</w:t>
            </w:r>
            <w:r w:rsidR="004947E8" w:rsidRPr="00D6736C">
              <w:rPr>
                <w:rFonts w:ascii="Arial" w:hAnsi="Arial" w:cs="Arial"/>
                <w:sz w:val="20"/>
              </w:rPr>
              <w:t>530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5E66C6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19</w:t>
            </w:r>
            <w:r w:rsidR="005E66C6" w:rsidRPr="00D6736C">
              <w:rPr>
                <w:rFonts w:ascii="Arial" w:hAnsi="Arial" w:cs="Arial"/>
                <w:sz w:val="20"/>
              </w:rPr>
              <w:t>.</w:t>
            </w:r>
            <w:r w:rsidRPr="00D6736C">
              <w:rPr>
                <w:rFonts w:ascii="Arial" w:hAnsi="Arial" w:cs="Arial"/>
                <w:sz w:val="20"/>
              </w:rPr>
              <w:t>657</w:t>
            </w:r>
          </w:p>
        </w:tc>
      </w:tr>
      <w:tr w:rsidR="004947E8" w:rsidRPr="00D6736C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47E8" w:rsidRPr="00D6736C" w:rsidRDefault="004947E8" w:rsidP="004947E8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6736C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334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407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747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383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818</w:t>
            </w:r>
          </w:p>
        </w:tc>
      </w:tr>
      <w:tr w:rsidR="004947E8" w:rsidRPr="00D6736C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47E8" w:rsidRPr="00D6736C" w:rsidRDefault="004947E8" w:rsidP="004947E8">
            <w:pPr>
              <w:rPr>
                <w:rFonts w:ascii="Arial" w:hAnsi="Arial" w:cs="Arial"/>
                <w:sz w:val="20"/>
                <w:vertAlign w:val="superscript"/>
              </w:rPr>
            </w:pPr>
            <w:r w:rsidRPr="00D6736C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3.376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238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7.204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5E66C6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6</w:t>
            </w:r>
            <w:r w:rsidR="005E66C6" w:rsidRPr="00D6736C">
              <w:rPr>
                <w:rFonts w:ascii="Arial" w:hAnsi="Arial" w:cs="Arial"/>
                <w:sz w:val="20"/>
              </w:rPr>
              <w:t>.</w:t>
            </w:r>
            <w:r w:rsidRPr="00D6736C">
              <w:rPr>
                <w:rFonts w:ascii="Arial" w:hAnsi="Arial" w:cs="Arial"/>
                <w:sz w:val="20"/>
              </w:rPr>
              <w:t>673</w:t>
            </w:r>
          </w:p>
        </w:tc>
      </w:tr>
      <w:tr w:rsidR="004947E8" w:rsidRPr="00D6736C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47E8" w:rsidRPr="00D6736C" w:rsidRDefault="004947E8" w:rsidP="004947E8">
            <w:pPr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948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1.934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5E66C6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2</w:t>
            </w:r>
            <w:r w:rsidR="005E66C6" w:rsidRPr="00D6736C">
              <w:rPr>
                <w:rFonts w:ascii="Arial" w:hAnsi="Arial" w:cs="Arial"/>
                <w:sz w:val="20"/>
              </w:rPr>
              <w:t>.</w:t>
            </w:r>
            <w:r w:rsidRPr="00D6736C">
              <w:rPr>
                <w:rFonts w:ascii="Arial" w:hAnsi="Arial" w:cs="Arial"/>
                <w:sz w:val="20"/>
              </w:rPr>
              <w:t>120</w:t>
            </w:r>
          </w:p>
        </w:tc>
      </w:tr>
      <w:tr w:rsidR="004947E8" w:rsidRPr="00D6736C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47E8" w:rsidRPr="00D6736C" w:rsidRDefault="004947E8" w:rsidP="004947E8">
            <w:pPr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591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960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908</w:t>
            </w:r>
          </w:p>
        </w:tc>
      </w:tr>
      <w:tr w:rsidR="004947E8" w:rsidRPr="004357F6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7E8" w:rsidRPr="00D6736C" w:rsidRDefault="004947E8" w:rsidP="004947E8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D6736C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2.026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15.675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2.588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4947E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27.640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947E8" w:rsidRPr="00D6736C" w:rsidRDefault="004947E8" w:rsidP="005E66C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2</w:t>
            </w:r>
            <w:r w:rsidR="005E66C6" w:rsidRPr="00D6736C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D6736C">
              <w:rPr>
                <w:rFonts w:ascii="Arial" w:hAnsi="Arial" w:cs="Arial"/>
                <w:b/>
                <w:bCs/>
                <w:sz w:val="20"/>
              </w:rPr>
              <w:t>483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947E8" w:rsidRPr="004947E8" w:rsidRDefault="004947E8" w:rsidP="005E66C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30</w:t>
            </w:r>
            <w:r w:rsidR="005E66C6" w:rsidRPr="00D6736C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D6736C">
              <w:rPr>
                <w:rFonts w:ascii="Arial" w:hAnsi="Arial" w:cs="Arial"/>
                <w:b/>
                <w:bCs/>
                <w:sz w:val="20"/>
              </w:rPr>
              <w:t>177</w:t>
            </w:r>
          </w:p>
        </w:tc>
      </w:tr>
    </w:tbl>
    <w:p w:rsidR="006618DF" w:rsidRPr="004357F6" w:rsidRDefault="006618DF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090952" w:rsidRPr="004947E8" w:rsidRDefault="00090952" w:rsidP="00090952">
      <w:pPr>
        <w:pStyle w:val="BodyText"/>
        <w:rPr>
          <w:rFonts w:ascii="Arial" w:hAnsi="Arial" w:cs="Arial"/>
          <w:sz w:val="22"/>
          <w:szCs w:val="22"/>
        </w:rPr>
      </w:pPr>
      <w:r w:rsidRPr="004947E8">
        <w:rPr>
          <w:rFonts w:ascii="Arial" w:hAnsi="Arial" w:cs="Arial"/>
          <w:sz w:val="22"/>
          <w:szCs w:val="22"/>
        </w:rPr>
        <w:t>EFT, havale ve döviz transferi işlemlerini kapsayan para transferleri, finansal işlem hacminin yüzde 65’ini, yatırım işlemleri ise yüzde 22’sini oluşturmuştur.</w:t>
      </w:r>
    </w:p>
    <w:p w:rsidR="007E093E" w:rsidRPr="004357F6" w:rsidRDefault="007E093E" w:rsidP="009F72DD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B46D6D" w:rsidRPr="00D6736C" w:rsidRDefault="00B46D6D" w:rsidP="00B46D6D">
      <w:pPr>
        <w:pStyle w:val="Heading9"/>
        <w:rPr>
          <w:rFonts w:ascii="Arial" w:hAnsi="Arial" w:cs="Arial"/>
          <w:szCs w:val="22"/>
        </w:rPr>
      </w:pPr>
      <w:r w:rsidRPr="00D6736C">
        <w:rPr>
          <w:rFonts w:ascii="Arial" w:hAnsi="Arial" w:cs="Arial"/>
          <w:szCs w:val="22"/>
        </w:rPr>
        <w:t xml:space="preserve">Mobil Bankacılık Yatırım İşlemleri </w:t>
      </w:r>
    </w:p>
    <w:tbl>
      <w:tblPr>
        <w:tblpPr w:leftFromText="141" w:rightFromText="141" w:vertAnchor="text" w:horzAnchor="page" w:tblpXSpec="center" w:tblpY="165"/>
        <w:tblW w:w="82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1004"/>
        <w:gridCol w:w="992"/>
        <w:gridCol w:w="992"/>
        <w:gridCol w:w="851"/>
        <w:gridCol w:w="850"/>
        <w:gridCol w:w="851"/>
        <w:gridCol w:w="1064"/>
      </w:tblGrid>
      <w:tr w:rsidR="00D6736C" w:rsidRPr="00D6736C" w:rsidTr="00D6736C">
        <w:trPr>
          <w:trHeight w:val="270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Mart 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Haziran 2024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736C" w:rsidRPr="00D6736C" w:rsidRDefault="00D6736C" w:rsidP="00D673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Bir Önceki Dönemden Net Değişim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736C" w:rsidRPr="00D6736C" w:rsidRDefault="00D6736C" w:rsidP="00D673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Nisan-Haziran 2024</w:t>
            </w:r>
          </w:p>
        </w:tc>
      </w:tr>
      <w:tr w:rsidR="009D2DD5" w:rsidRPr="00D6736C" w:rsidTr="00D6736C">
        <w:trPr>
          <w:trHeight w:val="303"/>
        </w:trPr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D6736C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D5" w:rsidRPr="00D6736C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İşlem Adedi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D5" w:rsidRPr="00D6736C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D5" w:rsidRPr="00D6736C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İşlem Adedi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D5" w:rsidRPr="00D6736C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D5" w:rsidRPr="00D6736C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İşlem Adedi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D5" w:rsidRPr="00D6736C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D5" w:rsidRPr="00D6736C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 xml:space="preserve">Ort. İşlem Hacmi    </w:t>
            </w:r>
          </w:p>
        </w:tc>
      </w:tr>
      <w:tr w:rsidR="009D2DD5" w:rsidRPr="00D6736C" w:rsidTr="00D6736C">
        <w:trPr>
          <w:trHeight w:val="58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D6736C" w:rsidRDefault="009D2DD5" w:rsidP="00B46D6D">
            <w:pPr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D6736C">
              <w:rPr>
                <w:rFonts w:ascii="Arial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DD5" w:rsidRPr="00D6736C" w:rsidRDefault="009D2DD5" w:rsidP="00B46D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DD5" w:rsidRPr="00D6736C" w:rsidRDefault="009D2DD5" w:rsidP="00B46D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(Milyar TL)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DD5" w:rsidRPr="00D6736C" w:rsidRDefault="009D2DD5" w:rsidP="00B46D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DD5" w:rsidRPr="00D6736C" w:rsidRDefault="009D2DD5" w:rsidP="00B46D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(Milyar TL)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DD5" w:rsidRPr="00D6736C" w:rsidRDefault="009D2DD5" w:rsidP="00B46D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DD5" w:rsidRPr="00D6736C" w:rsidRDefault="009D2DD5" w:rsidP="00B46D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(Milyar TL)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DD5" w:rsidRPr="00D6736C" w:rsidRDefault="009D2DD5" w:rsidP="00B46D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</w:tr>
      <w:tr w:rsidR="00D6736C" w:rsidRPr="00D6736C" w:rsidTr="00D6736C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rPr>
                <w:rFonts w:ascii="Arial" w:hAnsi="Arial" w:cs="Arial"/>
                <w:sz w:val="20"/>
                <w:lang w:eastAsia="tr-TR"/>
              </w:rPr>
            </w:pPr>
            <w:r w:rsidRPr="00D6736C">
              <w:rPr>
                <w:rFonts w:ascii="Arial" w:hAnsi="Arial" w:cs="Arial"/>
                <w:sz w:val="20"/>
                <w:lang w:eastAsia="tr-TR"/>
              </w:rPr>
              <w:t>Yatırım Fonları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 w:rsidRPr="00D6736C">
              <w:rPr>
                <w:rFonts w:ascii="Arial" w:hAnsi="Arial" w:cs="Arial"/>
                <w:sz w:val="20"/>
              </w:rPr>
              <w:t>22.488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1.218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24.100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1.624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1.612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406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67</w:t>
            </w:r>
          </w:p>
        </w:tc>
      </w:tr>
      <w:tr w:rsidR="00D6736C" w:rsidRPr="00D6736C" w:rsidTr="00D6736C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rPr>
                <w:rFonts w:ascii="Arial" w:hAnsi="Arial" w:cs="Arial"/>
                <w:sz w:val="20"/>
                <w:lang w:eastAsia="tr-TR"/>
              </w:rPr>
            </w:pPr>
            <w:r w:rsidRPr="00D6736C">
              <w:rPr>
                <w:rFonts w:ascii="Arial" w:hAnsi="Arial" w:cs="Arial"/>
                <w:sz w:val="20"/>
                <w:lang w:eastAsia="tr-TR"/>
              </w:rPr>
              <w:t>Döviz İşlemleri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20.957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426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18.464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396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-2.493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-30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21</w:t>
            </w:r>
          </w:p>
        </w:tc>
      </w:tr>
      <w:tr w:rsidR="00D6736C" w:rsidRPr="00D6736C" w:rsidTr="00D6736C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rPr>
                <w:rFonts w:ascii="Arial" w:hAnsi="Arial" w:cs="Arial"/>
                <w:sz w:val="20"/>
                <w:lang w:eastAsia="tr-TR"/>
              </w:rPr>
            </w:pPr>
            <w:r w:rsidRPr="00D6736C">
              <w:rPr>
                <w:rFonts w:ascii="Arial" w:hAnsi="Arial" w:cs="Arial"/>
                <w:sz w:val="20"/>
                <w:lang w:eastAsia="tr-TR"/>
              </w:rPr>
              <w:t>Vadeli hesaplar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14.786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1.821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14.942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1.969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132</w:t>
            </w:r>
          </w:p>
        </w:tc>
      </w:tr>
      <w:tr w:rsidR="00D6736C" w:rsidRPr="00D6736C" w:rsidTr="00D6736C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 w:rsidRPr="00D6736C">
              <w:rPr>
                <w:rFonts w:ascii="Arial" w:hAnsi="Arial" w:cs="Arial"/>
                <w:sz w:val="20"/>
                <w:lang w:eastAsia="tr-TR"/>
              </w:rPr>
              <w:t>Hisse senedi*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168.872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3.231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131.404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2.267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-37.469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-963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17</w:t>
            </w:r>
          </w:p>
        </w:tc>
      </w:tr>
      <w:tr w:rsidR="00D6736C" w:rsidRPr="00D6736C" w:rsidTr="00D6736C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rPr>
                <w:rFonts w:ascii="Arial" w:hAnsi="Arial" w:cs="Arial"/>
                <w:sz w:val="20"/>
                <w:lang w:eastAsia="tr-TR"/>
              </w:rPr>
            </w:pPr>
            <w:r w:rsidRPr="00D6736C">
              <w:rPr>
                <w:rFonts w:ascii="Arial" w:hAnsi="Arial" w:cs="Arial"/>
                <w:sz w:val="20"/>
                <w:lang w:eastAsia="tr-TR"/>
              </w:rPr>
              <w:t>Repo İşlemleri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-35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-11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81</w:t>
            </w:r>
          </w:p>
        </w:tc>
      </w:tr>
      <w:tr w:rsidR="00D6736C" w:rsidRPr="00D6736C" w:rsidTr="00D6736C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rPr>
                <w:rFonts w:ascii="Arial" w:hAnsi="Arial" w:cs="Arial"/>
                <w:sz w:val="20"/>
                <w:lang w:eastAsia="tr-TR"/>
              </w:rPr>
            </w:pPr>
            <w:r w:rsidRPr="00D6736C">
              <w:rPr>
                <w:rFonts w:ascii="Arial" w:hAnsi="Arial" w:cs="Arial"/>
                <w:sz w:val="20"/>
                <w:lang w:eastAsia="tr-TR"/>
              </w:rPr>
              <w:t>Tahvil ve bono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1.634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1.452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-181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-61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105</w:t>
            </w:r>
          </w:p>
        </w:tc>
      </w:tr>
      <w:tr w:rsidR="00D6736C" w:rsidRPr="00D6736C" w:rsidTr="00D6736C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rPr>
                <w:rFonts w:ascii="Arial" w:hAnsi="Arial" w:cs="Arial"/>
                <w:sz w:val="20"/>
                <w:lang w:eastAsia="tr-TR"/>
              </w:rPr>
            </w:pPr>
            <w:r w:rsidRPr="00D6736C">
              <w:rPr>
                <w:rFonts w:ascii="Arial" w:hAnsi="Arial" w:cs="Arial"/>
                <w:sz w:val="20"/>
                <w:lang w:eastAsia="tr-TR"/>
              </w:rPr>
              <w:t>Altın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8.381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7.238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-1.143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-20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19</w:t>
            </w:r>
          </w:p>
        </w:tc>
      </w:tr>
      <w:tr w:rsidR="00D6736C" w:rsidRPr="00D6736C" w:rsidTr="00D6736C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rPr>
                <w:rFonts w:ascii="Arial" w:hAnsi="Arial" w:cs="Arial"/>
                <w:sz w:val="20"/>
                <w:lang w:eastAsia="tr-TR"/>
              </w:rPr>
            </w:pPr>
            <w:r w:rsidRPr="00D6736C">
              <w:rPr>
                <w:rFonts w:ascii="Arial" w:hAnsi="Arial" w:cs="Arial"/>
                <w:sz w:val="20"/>
                <w:lang w:eastAsia="tr-TR"/>
              </w:rPr>
              <w:t>VİOP**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661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689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184</w:t>
            </w:r>
          </w:p>
        </w:tc>
      </w:tr>
      <w:tr w:rsidR="00D6736C" w:rsidRPr="004357F6" w:rsidTr="00D6736C">
        <w:trPr>
          <w:trHeight w:val="62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D6736C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237.827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7.204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198.302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6.673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-39.525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-531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36C" w:rsidRPr="00D6736C" w:rsidRDefault="00D6736C" w:rsidP="00D6736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6736C">
              <w:rPr>
                <w:rFonts w:ascii="Arial" w:hAnsi="Arial" w:cs="Arial"/>
                <w:b/>
                <w:sz w:val="20"/>
              </w:rPr>
              <w:t>34</w:t>
            </w:r>
          </w:p>
        </w:tc>
      </w:tr>
    </w:tbl>
    <w:p w:rsidR="00B46D6D" w:rsidRPr="00D6736C" w:rsidRDefault="00B46D6D" w:rsidP="00D6736C">
      <w:pPr>
        <w:pStyle w:val="BodyText"/>
        <w:ind w:firstLine="720"/>
        <w:jc w:val="left"/>
        <w:rPr>
          <w:rFonts w:ascii="Arial" w:hAnsi="Arial" w:cs="Arial"/>
          <w:i/>
          <w:sz w:val="16"/>
          <w:szCs w:val="16"/>
        </w:rPr>
      </w:pPr>
      <w:r w:rsidRPr="00D6736C">
        <w:rPr>
          <w:rFonts w:ascii="Arial" w:hAnsi="Arial" w:cs="Arial"/>
          <w:i/>
          <w:sz w:val="16"/>
          <w:szCs w:val="16"/>
        </w:rPr>
        <w:t>*</w:t>
      </w:r>
      <w:r w:rsidR="00265606" w:rsidRPr="00D6736C">
        <w:rPr>
          <w:rFonts w:ascii="Arial" w:hAnsi="Arial" w:cs="Arial"/>
          <w:i/>
          <w:sz w:val="16"/>
          <w:szCs w:val="16"/>
        </w:rPr>
        <w:t xml:space="preserve">  </w:t>
      </w:r>
      <w:r w:rsidRPr="00D6736C">
        <w:rPr>
          <w:rFonts w:ascii="Arial" w:hAnsi="Arial" w:cs="Arial"/>
          <w:i/>
          <w:sz w:val="16"/>
          <w:szCs w:val="16"/>
        </w:rPr>
        <w:t>Gerçekleşen hisse senedi işlemleri,</w:t>
      </w:r>
      <w:r w:rsidRPr="00D6736C">
        <w:t xml:space="preserve"> </w:t>
      </w:r>
    </w:p>
    <w:p w:rsidR="00B46D6D" w:rsidRPr="00D6736C" w:rsidRDefault="00B46D6D" w:rsidP="009D2DD5">
      <w:pPr>
        <w:pStyle w:val="BodyText"/>
        <w:ind w:left="720"/>
        <w:jc w:val="left"/>
        <w:rPr>
          <w:rFonts w:ascii="Arial" w:hAnsi="Arial" w:cs="Arial"/>
          <w:i/>
          <w:color w:val="000000"/>
          <w:sz w:val="16"/>
          <w:szCs w:val="16"/>
        </w:rPr>
      </w:pPr>
      <w:r w:rsidRPr="00D6736C">
        <w:rPr>
          <w:rFonts w:ascii="Arial" w:hAnsi="Arial" w:cs="Arial"/>
          <w:i/>
          <w:color w:val="000000"/>
          <w:sz w:val="16"/>
          <w:szCs w:val="16"/>
        </w:rPr>
        <w:t>** Vadeli İşlem ve Opsiyon Borsası</w:t>
      </w:r>
    </w:p>
    <w:p w:rsidR="00B46D6D" w:rsidRPr="004357F6" w:rsidRDefault="00B46D6D" w:rsidP="009F72DD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090952" w:rsidRPr="00D6736C" w:rsidRDefault="00090952" w:rsidP="00090952">
      <w:pPr>
        <w:pStyle w:val="BodyText"/>
        <w:rPr>
          <w:rFonts w:ascii="Arial" w:hAnsi="Arial" w:cs="Arial"/>
          <w:sz w:val="22"/>
          <w:szCs w:val="22"/>
        </w:rPr>
      </w:pPr>
      <w:r w:rsidRPr="00D6736C">
        <w:rPr>
          <w:rFonts w:ascii="Arial" w:hAnsi="Arial" w:cs="Arial"/>
          <w:color w:val="000000" w:themeColor="text1"/>
          <w:sz w:val="22"/>
          <w:szCs w:val="22"/>
        </w:rPr>
        <w:t>Nisan-Haziran 2024 dönemi itibarıyla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D673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D6736C">
        <w:rPr>
          <w:rFonts w:ascii="Arial" w:hAnsi="Arial" w:cs="Arial"/>
          <w:color w:val="000000" w:themeColor="text1"/>
          <w:sz w:val="22"/>
          <w:szCs w:val="22"/>
        </w:rPr>
        <w:t xml:space="preserve">obil bankacılık hizmeti kullanılarak yapılan yatırım işlemleri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toplam adedi </w:t>
      </w:r>
      <w:r w:rsidRPr="00D6736C">
        <w:rPr>
          <w:rFonts w:ascii="Arial" w:hAnsi="Arial" w:cs="Arial"/>
          <w:color w:val="000000" w:themeColor="text1"/>
          <w:sz w:val="22"/>
          <w:szCs w:val="22"/>
        </w:rPr>
        <w:t>198 milyon 302 bin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>hacmi</w:t>
      </w:r>
      <w:r w:rsidRPr="00D673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ise </w:t>
      </w:r>
      <w:r w:rsidRPr="00D6736C">
        <w:rPr>
          <w:rFonts w:ascii="Arial" w:hAnsi="Arial" w:cs="Arial"/>
          <w:color w:val="000000" w:themeColor="text1"/>
          <w:sz w:val="22"/>
          <w:szCs w:val="22"/>
        </w:rPr>
        <w:t>6 trilyon 673 milyar TL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’dir. </w:t>
      </w:r>
      <w:r w:rsidRPr="00D6736C">
        <w:rPr>
          <w:rFonts w:ascii="Arial" w:hAnsi="Arial" w:cs="Arial"/>
          <w:sz w:val="22"/>
          <w:szCs w:val="22"/>
        </w:rPr>
        <w:t xml:space="preserve">Yatırım </w:t>
      </w:r>
      <w:r>
        <w:rPr>
          <w:rFonts w:ascii="Arial" w:hAnsi="Arial" w:cs="Arial"/>
          <w:sz w:val="22"/>
          <w:szCs w:val="22"/>
        </w:rPr>
        <w:t>iş</w:t>
      </w:r>
      <w:r w:rsidRPr="00D6736C">
        <w:rPr>
          <w:rFonts w:ascii="Arial" w:hAnsi="Arial" w:cs="Arial"/>
          <w:sz w:val="22"/>
          <w:szCs w:val="22"/>
        </w:rPr>
        <w:t xml:space="preserve">lemleri hacminde birinci sırayı 2 trilyon 267 milyar TL ile hisse senedi işlemleri almıştır. Bunu, </w:t>
      </w:r>
      <w:r>
        <w:rPr>
          <w:rFonts w:ascii="Arial" w:hAnsi="Arial" w:cs="Arial"/>
          <w:sz w:val="22"/>
          <w:szCs w:val="22"/>
        </w:rPr>
        <w:t>1</w:t>
      </w:r>
      <w:r w:rsidRPr="00D6736C">
        <w:rPr>
          <w:rFonts w:ascii="Arial" w:hAnsi="Arial" w:cs="Arial"/>
          <w:sz w:val="22"/>
          <w:szCs w:val="22"/>
        </w:rPr>
        <w:t xml:space="preserve"> trilyon </w:t>
      </w:r>
      <w:r>
        <w:rPr>
          <w:rFonts w:ascii="Arial" w:hAnsi="Arial" w:cs="Arial"/>
          <w:sz w:val="22"/>
          <w:szCs w:val="22"/>
        </w:rPr>
        <w:t xml:space="preserve">969 milyar </w:t>
      </w:r>
      <w:r w:rsidRPr="00D6736C">
        <w:rPr>
          <w:rFonts w:ascii="Arial" w:hAnsi="Arial" w:cs="Arial"/>
          <w:sz w:val="22"/>
          <w:szCs w:val="22"/>
        </w:rPr>
        <w:t xml:space="preserve">TL ile vadeli hesap işlemleri izlemiştir. </w:t>
      </w:r>
    </w:p>
    <w:p w:rsidR="00090952" w:rsidRPr="004357F6" w:rsidRDefault="00090952" w:rsidP="00090952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B46D6D" w:rsidRPr="00E63490" w:rsidRDefault="00216E22" w:rsidP="00B46D6D">
      <w:pPr>
        <w:pStyle w:val="BodyText"/>
        <w:rPr>
          <w:rFonts w:ascii="Arial" w:hAnsi="Arial" w:cs="Arial"/>
          <w:color w:val="000000" w:themeColor="text1"/>
          <w:sz w:val="16"/>
          <w:szCs w:val="16"/>
        </w:rPr>
      </w:pPr>
      <w:r w:rsidRPr="001063C6">
        <w:rPr>
          <w:rFonts w:ascii="Arial" w:hAnsi="Arial" w:cs="Arial"/>
          <w:color w:val="000000" w:themeColor="text1"/>
          <w:sz w:val="22"/>
          <w:szCs w:val="22"/>
        </w:rPr>
        <w:t>Nisan</w:t>
      </w:r>
      <w:r w:rsidR="00B46D6D" w:rsidRPr="001063C6">
        <w:rPr>
          <w:rFonts w:ascii="Arial" w:hAnsi="Arial" w:cs="Arial"/>
          <w:color w:val="000000" w:themeColor="text1"/>
          <w:sz w:val="22"/>
          <w:szCs w:val="22"/>
        </w:rPr>
        <w:t>-</w:t>
      </w:r>
      <w:r w:rsidRPr="001063C6"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B46D6D" w:rsidRPr="001063C6">
        <w:rPr>
          <w:rFonts w:ascii="Arial" w:hAnsi="Arial" w:cs="Arial"/>
          <w:color w:val="000000" w:themeColor="text1"/>
          <w:sz w:val="22"/>
          <w:szCs w:val="22"/>
        </w:rPr>
        <w:t xml:space="preserve"> 2024 döneminde mobil bankacılık kanalıyla kullandırılan anlık kredi adedi 5 milyon</w:t>
      </w:r>
      <w:r w:rsidR="001063C6" w:rsidRPr="001063C6">
        <w:rPr>
          <w:rFonts w:ascii="Arial" w:hAnsi="Arial" w:cs="Arial"/>
          <w:color w:val="000000" w:themeColor="text1"/>
          <w:sz w:val="22"/>
          <w:szCs w:val="22"/>
        </w:rPr>
        <w:t xml:space="preserve"> 10 bin</w:t>
      </w:r>
      <w:r w:rsidR="00B46D6D" w:rsidRPr="001063C6">
        <w:rPr>
          <w:rFonts w:ascii="Arial" w:hAnsi="Arial" w:cs="Arial"/>
          <w:color w:val="000000" w:themeColor="text1"/>
          <w:sz w:val="22"/>
          <w:szCs w:val="22"/>
        </w:rPr>
        <w:t>, hacmi ise 29</w:t>
      </w:r>
      <w:r w:rsidR="001063C6" w:rsidRPr="001063C6">
        <w:rPr>
          <w:rFonts w:ascii="Arial" w:hAnsi="Arial" w:cs="Arial"/>
          <w:color w:val="000000" w:themeColor="text1"/>
          <w:sz w:val="22"/>
          <w:szCs w:val="22"/>
        </w:rPr>
        <w:t>1</w:t>
      </w:r>
      <w:r w:rsidR="00B46D6D" w:rsidRPr="001063C6">
        <w:rPr>
          <w:rFonts w:ascii="Arial" w:hAnsi="Arial" w:cs="Arial"/>
          <w:color w:val="000000" w:themeColor="text1"/>
          <w:sz w:val="22"/>
          <w:szCs w:val="22"/>
        </w:rPr>
        <w:t xml:space="preserve"> milyar </w:t>
      </w:r>
      <w:r w:rsidR="001063C6" w:rsidRPr="001063C6">
        <w:rPr>
          <w:rFonts w:ascii="Arial" w:hAnsi="Arial" w:cs="Arial"/>
          <w:color w:val="000000" w:themeColor="text1"/>
          <w:sz w:val="22"/>
          <w:szCs w:val="22"/>
        </w:rPr>
        <w:t>36</w:t>
      </w:r>
      <w:r w:rsidR="00510749">
        <w:rPr>
          <w:rFonts w:ascii="Arial" w:hAnsi="Arial" w:cs="Arial"/>
          <w:color w:val="000000" w:themeColor="text1"/>
          <w:sz w:val="22"/>
          <w:szCs w:val="22"/>
        </w:rPr>
        <w:t>5</w:t>
      </w:r>
      <w:r w:rsidR="001063C6" w:rsidRPr="001063C6">
        <w:rPr>
          <w:rFonts w:ascii="Arial" w:hAnsi="Arial" w:cs="Arial"/>
          <w:color w:val="000000" w:themeColor="text1"/>
          <w:sz w:val="22"/>
          <w:szCs w:val="22"/>
        </w:rPr>
        <w:t xml:space="preserve"> milyon </w:t>
      </w:r>
      <w:r w:rsidR="00B46D6D" w:rsidRPr="001063C6">
        <w:rPr>
          <w:rFonts w:ascii="Arial" w:hAnsi="Arial" w:cs="Arial"/>
          <w:color w:val="000000" w:themeColor="text1"/>
          <w:sz w:val="22"/>
          <w:szCs w:val="22"/>
        </w:rPr>
        <w:t xml:space="preserve">TL’dir. Aynı dönem içinde gerçekleştirilen sigorta satışı 4 milyon </w:t>
      </w:r>
      <w:r w:rsidR="001063C6" w:rsidRPr="001063C6">
        <w:rPr>
          <w:rFonts w:ascii="Arial" w:hAnsi="Arial" w:cs="Arial"/>
          <w:color w:val="000000" w:themeColor="text1"/>
          <w:sz w:val="22"/>
          <w:szCs w:val="22"/>
        </w:rPr>
        <w:t>949</w:t>
      </w:r>
      <w:r w:rsidR="00B46D6D" w:rsidRPr="001063C6">
        <w:rPr>
          <w:rFonts w:ascii="Arial" w:hAnsi="Arial" w:cs="Arial"/>
          <w:color w:val="000000" w:themeColor="text1"/>
          <w:sz w:val="22"/>
          <w:szCs w:val="22"/>
        </w:rPr>
        <w:t xml:space="preserve"> bin adettir.</w:t>
      </w:r>
      <w:r w:rsidR="00B46D6D" w:rsidRPr="00E63490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:rsidR="00B46D6D" w:rsidRDefault="00B46D6D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B46D6D" w:rsidSect="009C4B7C">
      <w:headerReference w:type="default" r:id="rId10"/>
      <w:footerReference w:type="even" r:id="rId11"/>
      <w:footerReference w:type="default" r:id="rId12"/>
      <w:footerReference w:type="first" r:id="rId13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2DB" w:rsidRDefault="003C32DB">
      <w:r>
        <w:separator/>
      </w:r>
    </w:p>
  </w:endnote>
  <w:endnote w:type="continuationSeparator" w:id="0">
    <w:p w:rsidR="003C32DB" w:rsidRDefault="003C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DB" w:rsidRDefault="003C32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C32DB" w:rsidRDefault="003C32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DB" w:rsidRPr="004A3CA1" w:rsidRDefault="003C32DB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>ve Mobil Bankacılık İstatistikleri / Haziran 2024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F950A5">
      <w:rPr>
        <w:rFonts w:ascii="Arial" w:hAnsi="Arial" w:cs="Arial"/>
        <w:noProof/>
        <w:sz w:val="18"/>
        <w:szCs w:val="18"/>
      </w:rPr>
      <w:t>v</w:t>
    </w:r>
    <w:r w:rsidRPr="00EC613F">
      <w:rPr>
        <w:rFonts w:ascii="Arial" w:hAnsi="Arial" w:cs="Arial"/>
        <w:sz w:val="18"/>
        <w:szCs w:val="18"/>
      </w:rPr>
      <w:fldChar w:fldCharType="end"/>
    </w:r>
  </w:p>
  <w:p w:rsidR="003C32DB" w:rsidRDefault="003C32DB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DB" w:rsidRPr="00325942" w:rsidRDefault="003C32DB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:rsidR="003C32DB" w:rsidRDefault="003C32DB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/Haziran 2023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:rsidR="003C32DB" w:rsidRPr="00371F55" w:rsidRDefault="003C32DB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2DB" w:rsidRDefault="003C32DB">
      <w:r>
        <w:separator/>
      </w:r>
    </w:p>
  </w:footnote>
  <w:footnote w:type="continuationSeparator" w:id="0">
    <w:p w:rsidR="003C32DB" w:rsidRDefault="003C32DB">
      <w:r>
        <w:continuationSeparator/>
      </w:r>
    </w:p>
  </w:footnote>
  <w:footnote w:id="1">
    <w:p w:rsidR="003C32DB" w:rsidRPr="00147096" w:rsidRDefault="003C32DB" w:rsidP="00F06EBF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94522A">
        <w:rPr>
          <w:rFonts w:ascii="Arial" w:hAnsi="Arial" w:cs="Arial"/>
          <w:sz w:val="16"/>
          <w:szCs w:val="16"/>
        </w:rPr>
        <w:t xml:space="preserve">Mevduat bankaları ile kalkınma ve yatırım </w:t>
      </w:r>
      <w:r w:rsidRPr="00005D37">
        <w:rPr>
          <w:rFonts w:ascii="Arial" w:hAnsi="Arial" w:cs="Arial"/>
          <w:sz w:val="16"/>
          <w:szCs w:val="16"/>
        </w:rPr>
        <w:t>bankalarını kapsamaktadır. Katılım bankaları dahil değildir. Bankaların verisi toplulaştırılırken bankalar arasında müşteri sayıları tekilleştirilmemiştir.</w:t>
      </w:r>
    </w:p>
  </w:footnote>
  <w:footnote w:id="2">
    <w:p w:rsidR="003C32DB" w:rsidRDefault="003C32DB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  <w:highlight w:val="yellow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Dijital Bankacılık Müşteri Sayısı = Sadece internet bankacılığı kullanan müşteri sayısı + Sadece mobil bankacılık kullanan müşteri sayısı + Hem internet hem mobil bankacılık kullanan müşteri sayısı </w:t>
      </w:r>
    </w:p>
    <w:p w:rsidR="003C32DB" w:rsidRPr="00F06EBF" w:rsidRDefault="003C32DB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DB" w:rsidRDefault="003C32DB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 wp14:anchorId="3CB0D9A7" wp14:editId="679AAD1D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7216" behindDoc="0" locked="0" layoutInCell="1" allowOverlap="1" wp14:anchorId="33F01C62" wp14:editId="1D7DB63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3"/>
  </w:num>
  <w:num w:numId="17">
    <w:abstractNumId w:val="20"/>
  </w:num>
  <w:num w:numId="18">
    <w:abstractNumId w:val="5"/>
  </w:num>
  <w:num w:numId="19">
    <w:abstractNumId w:val="18"/>
  </w:num>
  <w:num w:numId="20">
    <w:abstractNumId w:val="10"/>
  </w:num>
  <w:num w:numId="21">
    <w:abstractNumId w:val="3"/>
  </w:num>
  <w:num w:numId="22">
    <w:abstractNumId w:val="9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D25"/>
    <w:rsid w:val="00003069"/>
    <w:rsid w:val="00003DA6"/>
    <w:rsid w:val="000045B2"/>
    <w:rsid w:val="0000466B"/>
    <w:rsid w:val="00005D37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5632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CFD"/>
    <w:rsid w:val="00044557"/>
    <w:rsid w:val="00045AD7"/>
    <w:rsid w:val="00045C37"/>
    <w:rsid w:val="00046C3E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C89"/>
    <w:rsid w:val="00057DB7"/>
    <w:rsid w:val="000600C3"/>
    <w:rsid w:val="00063F95"/>
    <w:rsid w:val="00064C25"/>
    <w:rsid w:val="00066565"/>
    <w:rsid w:val="00067583"/>
    <w:rsid w:val="00067CD4"/>
    <w:rsid w:val="00070107"/>
    <w:rsid w:val="00071173"/>
    <w:rsid w:val="000725F7"/>
    <w:rsid w:val="00073959"/>
    <w:rsid w:val="00074145"/>
    <w:rsid w:val="00074293"/>
    <w:rsid w:val="00074963"/>
    <w:rsid w:val="00074F51"/>
    <w:rsid w:val="00076BBE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9049A"/>
    <w:rsid w:val="00090952"/>
    <w:rsid w:val="00092BC2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5806"/>
    <w:rsid w:val="000B7E10"/>
    <w:rsid w:val="000C1048"/>
    <w:rsid w:val="000C1782"/>
    <w:rsid w:val="000C2123"/>
    <w:rsid w:val="000C3A2B"/>
    <w:rsid w:val="000C4966"/>
    <w:rsid w:val="000C50E1"/>
    <w:rsid w:val="000C7067"/>
    <w:rsid w:val="000D0205"/>
    <w:rsid w:val="000D1E4F"/>
    <w:rsid w:val="000D1F70"/>
    <w:rsid w:val="000D2E0D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32A6"/>
    <w:rsid w:val="000F5E3D"/>
    <w:rsid w:val="000F604F"/>
    <w:rsid w:val="000F6DA7"/>
    <w:rsid w:val="000F7FF0"/>
    <w:rsid w:val="00101ABD"/>
    <w:rsid w:val="001021D5"/>
    <w:rsid w:val="0010403F"/>
    <w:rsid w:val="001063C6"/>
    <w:rsid w:val="0011067A"/>
    <w:rsid w:val="00111577"/>
    <w:rsid w:val="0011338E"/>
    <w:rsid w:val="001140C6"/>
    <w:rsid w:val="00120D0D"/>
    <w:rsid w:val="001238EC"/>
    <w:rsid w:val="001260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0FC6"/>
    <w:rsid w:val="0014155E"/>
    <w:rsid w:val="0014246B"/>
    <w:rsid w:val="001445E9"/>
    <w:rsid w:val="00144CF8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578E3"/>
    <w:rsid w:val="00157B12"/>
    <w:rsid w:val="00162030"/>
    <w:rsid w:val="00163124"/>
    <w:rsid w:val="00165F79"/>
    <w:rsid w:val="0016717D"/>
    <w:rsid w:val="00170521"/>
    <w:rsid w:val="00172CEB"/>
    <w:rsid w:val="00174A96"/>
    <w:rsid w:val="001755FE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2BC1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4DE9"/>
    <w:rsid w:val="001B55D8"/>
    <w:rsid w:val="001B580B"/>
    <w:rsid w:val="001B5C53"/>
    <w:rsid w:val="001B73CB"/>
    <w:rsid w:val="001C056A"/>
    <w:rsid w:val="001C07A0"/>
    <w:rsid w:val="001C5356"/>
    <w:rsid w:val="001C5531"/>
    <w:rsid w:val="001C7DC4"/>
    <w:rsid w:val="001D1325"/>
    <w:rsid w:val="001D3D31"/>
    <w:rsid w:val="001D4208"/>
    <w:rsid w:val="001E2225"/>
    <w:rsid w:val="001E2F69"/>
    <w:rsid w:val="001E330F"/>
    <w:rsid w:val="001E59EA"/>
    <w:rsid w:val="001E5C16"/>
    <w:rsid w:val="001E6844"/>
    <w:rsid w:val="001F0378"/>
    <w:rsid w:val="001F0C08"/>
    <w:rsid w:val="001F0C32"/>
    <w:rsid w:val="001F1CAB"/>
    <w:rsid w:val="001F2E66"/>
    <w:rsid w:val="001F39AE"/>
    <w:rsid w:val="001F3C1D"/>
    <w:rsid w:val="001F3E9F"/>
    <w:rsid w:val="001F430D"/>
    <w:rsid w:val="001F4345"/>
    <w:rsid w:val="001F493C"/>
    <w:rsid w:val="001F6D56"/>
    <w:rsid w:val="0020175E"/>
    <w:rsid w:val="002036EC"/>
    <w:rsid w:val="00204092"/>
    <w:rsid w:val="00205E81"/>
    <w:rsid w:val="002063DF"/>
    <w:rsid w:val="00210177"/>
    <w:rsid w:val="002104F4"/>
    <w:rsid w:val="002110C8"/>
    <w:rsid w:val="00211E25"/>
    <w:rsid w:val="002136C9"/>
    <w:rsid w:val="002141F7"/>
    <w:rsid w:val="00214D37"/>
    <w:rsid w:val="0021519A"/>
    <w:rsid w:val="002159C9"/>
    <w:rsid w:val="00215E15"/>
    <w:rsid w:val="00216E22"/>
    <w:rsid w:val="00217D0F"/>
    <w:rsid w:val="002208EF"/>
    <w:rsid w:val="00220B2D"/>
    <w:rsid w:val="00220C3D"/>
    <w:rsid w:val="00220C99"/>
    <w:rsid w:val="00221BC6"/>
    <w:rsid w:val="0022293C"/>
    <w:rsid w:val="00224DC4"/>
    <w:rsid w:val="00225C3C"/>
    <w:rsid w:val="00226C42"/>
    <w:rsid w:val="00227B21"/>
    <w:rsid w:val="00231114"/>
    <w:rsid w:val="00235461"/>
    <w:rsid w:val="00237089"/>
    <w:rsid w:val="0023764E"/>
    <w:rsid w:val="002402E0"/>
    <w:rsid w:val="0024108E"/>
    <w:rsid w:val="002422E0"/>
    <w:rsid w:val="00244695"/>
    <w:rsid w:val="002454C1"/>
    <w:rsid w:val="00245F08"/>
    <w:rsid w:val="002463B3"/>
    <w:rsid w:val="002467A8"/>
    <w:rsid w:val="00247C92"/>
    <w:rsid w:val="00250F15"/>
    <w:rsid w:val="00252E9D"/>
    <w:rsid w:val="002539FC"/>
    <w:rsid w:val="00253FCD"/>
    <w:rsid w:val="00256436"/>
    <w:rsid w:val="0025651C"/>
    <w:rsid w:val="0026186D"/>
    <w:rsid w:val="0026325F"/>
    <w:rsid w:val="00263E87"/>
    <w:rsid w:val="00264997"/>
    <w:rsid w:val="00265606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775FD"/>
    <w:rsid w:val="00277C12"/>
    <w:rsid w:val="00280499"/>
    <w:rsid w:val="002815C9"/>
    <w:rsid w:val="00282B7A"/>
    <w:rsid w:val="002839AD"/>
    <w:rsid w:val="00284B0F"/>
    <w:rsid w:val="00285354"/>
    <w:rsid w:val="002870AA"/>
    <w:rsid w:val="002951D5"/>
    <w:rsid w:val="002953BF"/>
    <w:rsid w:val="002A0A76"/>
    <w:rsid w:val="002A117F"/>
    <w:rsid w:val="002A1679"/>
    <w:rsid w:val="002A1998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2DCF"/>
    <w:rsid w:val="002B571F"/>
    <w:rsid w:val="002B5BD1"/>
    <w:rsid w:val="002B7AC1"/>
    <w:rsid w:val="002C3417"/>
    <w:rsid w:val="002C366B"/>
    <w:rsid w:val="002C4BCD"/>
    <w:rsid w:val="002D0C5E"/>
    <w:rsid w:val="002D154F"/>
    <w:rsid w:val="002D1AD0"/>
    <w:rsid w:val="002D2FBF"/>
    <w:rsid w:val="002D45BB"/>
    <w:rsid w:val="002D484F"/>
    <w:rsid w:val="002D4DDC"/>
    <w:rsid w:val="002D5C92"/>
    <w:rsid w:val="002D6756"/>
    <w:rsid w:val="002D6C31"/>
    <w:rsid w:val="002D74EE"/>
    <w:rsid w:val="002E06E7"/>
    <w:rsid w:val="002E0A51"/>
    <w:rsid w:val="002E1AAC"/>
    <w:rsid w:val="002E2384"/>
    <w:rsid w:val="002E27B3"/>
    <w:rsid w:val="002E3B04"/>
    <w:rsid w:val="002E3C52"/>
    <w:rsid w:val="002E725F"/>
    <w:rsid w:val="002E73FB"/>
    <w:rsid w:val="002F064B"/>
    <w:rsid w:val="002F2B50"/>
    <w:rsid w:val="002F3261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2E7"/>
    <w:rsid w:val="00333A09"/>
    <w:rsid w:val="00334795"/>
    <w:rsid w:val="00335B29"/>
    <w:rsid w:val="0033632B"/>
    <w:rsid w:val="00340947"/>
    <w:rsid w:val="00340A6F"/>
    <w:rsid w:val="00340C64"/>
    <w:rsid w:val="00341864"/>
    <w:rsid w:val="003432E1"/>
    <w:rsid w:val="00343718"/>
    <w:rsid w:val="0034534C"/>
    <w:rsid w:val="00345369"/>
    <w:rsid w:val="00345B50"/>
    <w:rsid w:val="00345DE0"/>
    <w:rsid w:val="00346612"/>
    <w:rsid w:val="00346FAA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2ABB"/>
    <w:rsid w:val="00364433"/>
    <w:rsid w:val="00364AB6"/>
    <w:rsid w:val="00364EFF"/>
    <w:rsid w:val="003654C5"/>
    <w:rsid w:val="00366A59"/>
    <w:rsid w:val="00371121"/>
    <w:rsid w:val="00371F55"/>
    <w:rsid w:val="0037359B"/>
    <w:rsid w:val="00374138"/>
    <w:rsid w:val="003746C0"/>
    <w:rsid w:val="003752B6"/>
    <w:rsid w:val="003759DA"/>
    <w:rsid w:val="00376B60"/>
    <w:rsid w:val="00376DBA"/>
    <w:rsid w:val="00377157"/>
    <w:rsid w:val="0037718B"/>
    <w:rsid w:val="00377BDA"/>
    <w:rsid w:val="0038023C"/>
    <w:rsid w:val="003807C3"/>
    <w:rsid w:val="003834A6"/>
    <w:rsid w:val="00385BCB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B5A"/>
    <w:rsid w:val="00394C0B"/>
    <w:rsid w:val="00394C84"/>
    <w:rsid w:val="00394DEE"/>
    <w:rsid w:val="00397251"/>
    <w:rsid w:val="003A0807"/>
    <w:rsid w:val="003A0AE7"/>
    <w:rsid w:val="003A1599"/>
    <w:rsid w:val="003A2B2A"/>
    <w:rsid w:val="003A33CD"/>
    <w:rsid w:val="003A3A04"/>
    <w:rsid w:val="003A6444"/>
    <w:rsid w:val="003A7686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32DB"/>
    <w:rsid w:val="003C38CB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484F"/>
    <w:rsid w:val="003F6DBC"/>
    <w:rsid w:val="004003BC"/>
    <w:rsid w:val="00400611"/>
    <w:rsid w:val="00400C85"/>
    <w:rsid w:val="00401026"/>
    <w:rsid w:val="00404501"/>
    <w:rsid w:val="00404FBF"/>
    <w:rsid w:val="004051A2"/>
    <w:rsid w:val="0040540C"/>
    <w:rsid w:val="00405C9E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1365"/>
    <w:rsid w:val="00432510"/>
    <w:rsid w:val="004327DA"/>
    <w:rsid w:val="004352CA"/>
    <w:rsid w:val="004357F6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3BD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1867"/>
    <w:rsid w:val="0046246E"/>
    <w:rsid w:val="00463319"/>
    <w:rsid w:val="00463CB4"/>
    <w:rsid w:val="00464AB4"/>
    <w:rsid w:val="00464F25"/>
    <w:rsid w:val="00465175"/>
    <w:rsid w:val="004660D7"/>
    <w:rsid w:val="0046665E"/>
    <w:rsid w:val="00470F07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243"/>
    <w:rsid w:val="00486C3A"/>
    <w:rsid w:val="0049205C"/>
    <w:rsid w:val="00493725"/>
    <w:rsid w:val="004937DB"/>
    <w:rsid w:val="004939A2"/>
    <w:rsid w:val="00494789"/>
    <w:rsid w:val="004947E8"/>
    <w:rsid w:val="00494B31"/>
    <w:rsid w:val="00496007"/>
    <w:rsid w:val="00496589"/>
    <w:rsid w:val="004972DC"/>
    <w:rsid w:val="004A125A"/>
    <w:rsid w:val="004A199C"/>
    <w:rsid w:val="004A1EE4"/>
    <w:rsid w:val="004A217C"/>
    <w:rsid w:val="004A25D5"/>
    <w:rsid w:val="004A2C24"/>
    <w:rsid w:val="004A379F"/>
    <w:rsid w:val="004A3CA1"/>
    <w:rsid w:val="004A6166"/>
    <w:rsid w:val="004A6D1C"/>
    <w:rsid w:val="004A79AB"/>
    <w:rsid w:val="004B18F3"/>
    <w:rsid w:val="004B1D46"/>
    <w:rsid w:val="004B2378"/>
    <w:rsid w:val="004B3224"/>
    <w:rsid w:val="004B4529"/>
    <w:rsid w:val="004B5B14"/>
    <w:rsid w:val="004B5CB6"/>
    <w:rsid w:val="004B7013"/>
    <w:rsid w:val="004C0165"/>
    <w:rsid w:val="004C022E"/>
    <w:rsid w:val="004C041B"/>
    <w:rsid w:val="004C0B4B"/>
    <w:rsid w:val="004C1C69"/>
    <w:rsid w:val="004C6013"/>
    <w:rsid w:val="004C6D36"/>
    <w:rsid w:val="004C7873"/>
    <w:rsid w:val="004C7F71"/>
    <w:rsid w:val="004D03C9"/>
    <w:rsid w:val="004D04DE"/>
    <w:rsid w:val="004D0816"/>
    <w:rsid w:val="004D0912"/>
    <w:rsid w:val="004D1E31"/>
    <w:rsid w:val="004D248E"/>
    <w:rsid w:val="004D2FE0"/>
    <w:rsid w:val="004D452F"/>
    <w:rsid w:val="004D55F0"/>
    <w:rsid w:val="004D6A66"/>
    <w:rsid w:val="004D6E4E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0749"/>
    <w:rsid w:val="0051281B"/>
    <w:rsid w:val="005132AE"/>
    <w:rsid w:val="005149C7"/>
    <w:rsid w:val="00516874"/>
    <w:rsid w:val="00516C10"/>
    <w:rsid w:val="0051735C"/>
    <w:rsid w:val="005210A5"/>
    <w:rsid w:val="0052132C"/>
    <w:rsid w:val="005223B8"/>
    <w:rsid w:val="005234BF"/>
    <w:rsid w:val="005240DD"/>
    <w:rsid w:val="00525A7E"/>
    <w:rsid w:val="00526DCA"/>
    <w:rsid w:val="00527632"/>
    <w:rsid w:val="00531039"/>
    <w:rsid w:val="00531162"/>
    <w:rsid w:val="0053180A"/>
    <w:rsid w:val="005321C6"/>
    <w:rsid w:val="0053274C"/>
    <w:rsid w:val="0053350B"/>
    <w:rsid w:val="005347F4"/>
    <w:rsid w:val="00535F04"/>
    <w:rsid w:val="0054065B"/>
    <w:rsid w:val="0054087D"/>
    <w:rsid w:val="005430FE"/>
    <w:rsid w:val="005435CD"/>
    <w:rsid w:val="00543697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675EB"/>
    <w:rsid w:val="00570A4C"/>
    <w:rsid w:val="005715E5"/>
    <w:rsid w:val="00572C03"/>
    <w:rsid w:val="00574611"/>
    <w:rsid w:val="005748E3"/>
    <w:rsid w:val="00575BFB"/>
    <w:rsid w:val="0057680C"/>
    <w:rsid w:val="0058062D"/>
    <w:rsid w:val="00580E5A"/>
    <w:rsid w:val="00580E9D"/>
    <w:rsid w:val="00581750"/>
    <w:rsid w:val="00581C9E"/>
    <w:rsid w:val="00581EDC"/>
    <w:rsid w:val="00583174"/>
    <w:rsid w:val="0058339E"/>
    <w:rsid w:val="00585C9A"/>
    <w:rsid w:val="00590D01"/>
    <w:rsid w:val="00590F0A"/>
    <w:rsid w:val="005915D6"/>
    <w:rsid w:val="005918FC"/>
    <w:rsid w:val="00591FF2"/>
    <w:rsid w:val="00593165"/>
    <w:rsid w:val="005931C8"/>
    <w:rsid w:val="00593418"/>
    <w:rsid w:val="005950B6"/>
    <w:rsid w:val="005968E7"/>
    <w:rsid w:val="00597E6B"/>
    <w:rsid w:val="005A089A"/>
    <w:rsid w:val="005A0BD6"/>
    <w:rsid w:val="005A0E86"/>
    <w:rsid w:val="005A1EF2"/>
    <w:rsid w:val="005A2BE6"/>
    <w:rsid w:val="005A3CB1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66C6"/>
    <w:rsid w:val="005E7FF2"/>
    <w:rsid w:val="005F16C6"/>
    <w:rsid w:val="005F3853"/>
    <w:rsid w:val="005F533F"/>
    <w:rsid w:val="005F792D"/>
    <w:rsid w:val="005F7EDE"/>
    <w:rsid w:val="0060070C"/>
    <w:rsid w:val="00601EF6"/>
    <w:rsid w:val="00601F2D"/>
    <w:rsid w:val="00604D6E"/>
    <w:rsid w:val="00605AB9"/>
    <w:rsid w:val="006063F2"/>
    <w:rsid w:val="00606BDC"/>
    <w:rsid w:val="00606CC2"/>
    <w:rsid w:val="006073A7"/>
    <w:rsid w:val="00611377"/>
    <w:rsid w:val="00614485"/>
    <w:rsid w:val="00616331"/>
    <w:rsid w:val="00620DFE"/>
    <w:rsid w:val="00620F0A"/>
    <w:rsid w:val="00621458"/>
    <w:rsid w:val="0062234A"/>
    <w:rsid w:val="00623093"/>
    <w:rsid w:val="00624212"/>
    <w:rsid w:val="00624919"/>
    <w:rsid w:val="006253E1"/>
    <w:rsid w:val="006261F9"/>
    <w:rsid w:val="006270AD"/>
    <w:rsid w:val="0063057C"/>
    <w:rsid w:val="006307CC"/>
    <w:rsid w:val="00630EC2"/>
    <w:rsid w:val="006324E4"/>
    <w:rsid w:val="00632789"/>
    <w:rsid w:val="00634603"/>
    <w:rsid w:val="00640513"/>
    <w:rsid w:val="006409E5"/>
    <w:rsid w:val="00640B11"/>
    <w:rsid w:val="00640DE4"/>
    <w:rsid w:val="00643502"/>
    <w:rsid w:val="00643948"/>
    <w:rsid w:val="0064648A"/>
    <w:rsid w:val="006466D8"/>
    <w:rsid w:val="0064789F"/>
    <w:rsid w:val="00650285"/>
    <w:rsid w:val="00650709"/>
    <w:rsid w:val="00650EC2"/>
    <w:rsid w:val="0065131A"/>
    <w:rsid w:val="00652A68"/>
    <w:rsid w:val="00655931"/>
    <w:rsid w:val="00655E20"/>
    <w:rsid w:val="00656307"/>
    <w:rsid w:val="006577BA"/>
    <w:rsid w:val="0066075A"/>
    <w:rsid w:val="0066140D"/>
    <w:rsid w:val="006616E6"/>
    <w:rsid w:val="006618DF"/>
    <w:rsid w:val="006618FD"/>
    <w:rsid w:val="006632F0"/>
    <w:rsid w:val="006644F1"/>
    <w:rsid w:val="00665124"/>
    <w:rsid w:val="00665661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204B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465"/>
    <w:rsid w:val="006A610E"/>
    <w:rsid w:val="006A642A"/>
    <w:rsid w:val="006A6DA2"/>
    <w:rsid w:val="006A708D"/>
    <w:rsid w:val="006B036A"/>
    <w:rsid w:val="006B2BAE"/>
    <w:rsid w:val="006B34BD"/>
    <w:rsid w:val="006B506B"/>
    <w:rsid w:val="006B5BF8"/>
    <w:rsid w:val="006B60CA"/>
    <w:rsid w:val="006B62E0"/>
    <w:rsid w:val="006C061B"/>
    <w:rsid w:val="006C0B06"/>
    <w:rsid w:val="006C2060"/>
    <w:rsid w:val="006C291A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25E4"/>
    <w:rsid w:val="006F3269"/>
    <w:rsid w:val="006F37A9"/>
    <w:rsid w:val="006F4596"/>
    <w:rsid w:val="007015E9"/>
    <w:rsid w:val="00703D29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319"/>
    <w:rsid w:val="00724E78"/>
    <w:rsid w:val="007254EF"/>
    <w:rsid w:val="00730375"/>
    <w:rsid w:val="00731477"/>
    <w:rsid w:val="007317AD"/>
    <w:rsid w:val="00731D73"/>
    <w:rsid w:val="00731EAC"/>
    <w:rsid w:val="00731F65"/>
    <w:rsid w:val="0073232F"/>
    <w:rsid w:val="0073292E"/>
    <w:rsid w:val="00732EBC"/>
    <w:rsid w:val="007351C7"/>
    <w:rsid w:val="0073687D"/>
    <w:rsid w:val="00737358"/>
    <w:rsid w:val="00740F7F"/>
    <w:rsid w:val="0074325D"/>
    <w:rsid w:val="00743750"/>
    <w:rsid w:val="00744CFA"/>
    <w:rsid w:val="00746C7C"/>
    <w:rsid w:val="0075064D"/>
    <w:rsid w:val="00752361"/>
    <w:rsid w:val="00753460"/>
    <w:rsid w:val="00754CFD"/>
    <w:rsid w:val="007563CE"/>
    <w:rsid w:val="00757D92"/>
    <w:rsid w:val="007611CD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D19"/>
    <w:rsid w:val="00776F37"/>
    <w:rsid w:val="00777A33"/>
    <w:rsid w:val="007804C8"/>
    <w:rsid w:val="00780F14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3140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A6381"/>
    <w:rsid w:val="007B0DA6"/>
    <w:rsid w:val="007B1174"/>
    <w:rsid w:val="007B4918"/>
    <w:rsid w:val="007B57A2"/>
    <w:rsid w:val="007B7C24"/>
    <w:rsid w:val="007C25D6"/>
    <w:rsid w:val="007C4248"/>
    <w:rsid w:val="007C44C0"/>
    <w:rsid w:val="007C5951"/>
    <w:rsid w:val="007C70E4"/>
    <w:rsid w:val="007C7BCF"/>
    <w:rsid w:val="007D0433"/>
    <w:rsid w:val="007D1075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31B4"/>
    <w:rsid w:val="007E4A4C"/>
    <w:rsid w:val="007E4D6A"/>
    <w:rsid w:val="007E4E49"/>
    <w:rsid w:val="007E7B82"/>
    <w:rsid w:val="007F1A59"/>
    <w:rsid w:val="007F249C"/>
    <w:rsid w:val="007F3723"/>
    <w:rsid w:val="007F3D8E"/>
    <w:rsid w:val="007F492E"/>
    <w:rsid w:val="007F4DD5"/>
    <w:rsid w:val="007F5985"/>
    <w:rsid w:val="007F6BAC"/>
    <w:rsid w:val="007F7222"/>
    <w:rsid w:val="007F77A3"/>
    <w:rsid w:val="00801F8C"/>
    <w:rsid w:val="008026FC"/>
    <w:rsid w:val="00803460"/>
    <w:rsid w:val="00804C3E"/>
    <w:rsid w:val="008069B2"/>
    <w:rsid w:val="00810059"/>
    <w:rsid w:val="0081044F"/>
    <w:rsid w:val="0081159C"/>
    <w:rsid w:val="008115BF"/>
    <w:rsid w:val="0081347F"/>
    <w:rsid w:val="00813F8C"/>
    <w:rsid w:val="00817196"/>
    <w:rsid w:val="0082471E"/>
    <w:rsid w:val="008247F7"/>
    <w:rsid w:val="00825B7F"/>
    <w:rsid w:val="00826663"/>
    <w:rsid w:val="00827CE0"/>
    <w:rsid w:val="0083335C"/>
    <w:rsid w:val="00833D9B"/>
    <w:rsid w:val="008357EC"/>
    <w:rsid w:val="008362BF"/>
    <w:rsid w:val="0083641C"/>
    <w:rsid w:val="008377C6"/>
    <w:rsid w:val="008427AE"/>
    <w:rsid w:val="0084285B"/>
    <w:rsid w:val="00847325"/>
    <w:rsid w:val="00847957"/>
    <w:rsid w:val="008512DA"/>
    <w:rsid w:val="00852057"/>
    <w:rsid w:val="00854195"/>
    <w:rsid w:val="00855CD4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D49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51EE"/>
    <w:rsid w:val="008953D2"/>
    <w:rsid w:val="00896393"/>
    <w:rsid w:val="0089675B"/>
    <w:rsid w:val="008A2E80"/>
    <w:rsid w:val="008A30A1"/>
    <w:rsid w:val="008A3B91"/>
    <w:rsid w:val="008A42C7"/>
    <w:rsid w:val="008A4E51"/>
    <w:rsid w:val="008A707D"/>
    <w:rsid w:val="008B0171"/>
    <w:rsid w:val="008B0202"/>
    <w:rsid w:val="008B1B2E"/>
    <w:rsid w:val="008B2F2A"/>
    <w:rsid w:val="008B3601"/>
    <w:rsid w:val="008B4754"/>
    <w:rsid w:val="008B4FA3"/>
    <w:rsid w:val="008B63DE"/>
    <w:rsid w:val="008B67EC"/>
    <w:rsid w:val="008B6E32"/>
    <w:rsid w:val="008B6ECA"/>
    <w:rsid w:val="008B7729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3F8D"/>
    <w:rsid w:val="008D42FE"/>
    <w:rsid w:val="008D4376"/>
    <w:rsid w:val="008D4632"/>
    <w:rsid w:val="008D562D"/>
    <w:rsid w:val="008D6625"/>
    <w:rsid w:val="008D6DEA"/>
    <w:rsid w:val="008D71E9"/>
    <w:rsid w:val="008D730E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A1"/>
    <w:rsid w:val="008E38CE"/>
    <w:rsid w:val="008E51A4"/>
    <w:rsid w:val="008E571E"/>
    <w:rsid w:val="008F0149"/>
    <w:rsid w:val="008F2527"/>
    <w:rsid w:val="008F28C0"/>
    <w:rsid w:val="008F2E9C"/>
    <w:rsid w:val="008F3365"/>
    <w:rsid w:val="008F438D"/>
    <w:rsid w:val="008F4588"/>
    <w:rsid w:val="008F4CA4"/>
    <w:rsid w:val="008F6225"/>
    <w:rsid w:val="008F6374"/>
    <w:rsid w:val="009006EA"/>
    <w:rsid w:val="00901789"/>
    <w:rsid w:val="00905F44"/>
    <w:rsid w:val="00906338"/>
    <w:rsid w:val="00906628"/>
    <w:rsid w:val="009074D0"/>
    <w:rsid w:val="00910371"/>
    <w:rsid w:val="00910517"/>
    <w:rsid w:val="0091095B"/>
    <w:rsid w:val="00911352"/>
    <w:rsid w:val="0091333A"/>
    <w:rsid w:val="009145D0"/>
    <w:rsid w:val="0091464B"/>
    <w:rsid w:val="00915B88"/>
    <w:rsid w:val="009162EB"/>
    <w:rsid w:val="00917F16"/>
    <w:rsid w:val="00921B77"/>
    <w:rsid w:val="00921BD2"/>
    <w:rsid w:val="009223F2"/>
    <w:rsid w:val="00923CED"/>
    <w:rsid w:val="00926003"/>
    <w:rsid w:val="00926054"/>
    <w:rsid w:val="0093039A"/>
    <w:rsid w:val="0093090F"/>
    <w:rsid w:val="00930C53"/>
    <w:rsid w:val="009327EB"/>
    <w:rsid w:val="00932C46"/>
    <w:rsid w:val="0093314D"/>
    <w:rsid w:val="00934591"/>
    <w:rsid w:val="009365BC"/>
    <w:rsid w:val="00937638"/>
    <w:rsid w:val="00940846"/>
    <w:rsid w:val="0094273D"/>
    <w:rsid w:val="0094288B"/>
    <w:rsid w:val="00942FD2"/>
    <w:rsid w:val="00943915"/>
    <w:rsid w:val="0094396C"/>
    <w:rsid w:val="0094522A"/>
    <w:rsid w:val="009465DF"/>
    <w:rsid w:val="00946BA0"/>
    <w:rsid w:val="00946F69"/>
    <w:rsid w:val="00947166"/>
    <w:rsid w:val="00947464"/>
    <w:rsid w:val="0095012A"/>
    <w:rsid w:val="009504E1"/>
    <w:rsid w:val="00955855"/>
    <w:rsid w:val="00957A69"/>
    <w:rsid w:val="00962C20"/>
    <w:rsid w:val="00963798"/>
    <w:rsid w:val="00964473"/>
    <w:rsid w:val="00965441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67A6"/>
    <w:rsid w:val="00996840"/>
    <w:rsid w:val="009A0B4C"/>
    <w:rsid w:val="009A0C30"/>
    <w:rsid w:val="009A38EB"/>
    <w:rsid w:val="009A6289"/>
    <w:rsid w:val="009A6496"/>
    <w:rsid w:val="009B337B"/>
    <w:rsid w:val="009B3CD3"/>
    <w:rsid w:val="009B4AED"/>
    <w:rsid w:val="009C06B4"/>
    <w:rsid w:val="009C06D7"/>
    <w:rsid w:val="009C1914"/>
    <w:rsid w:val="009C44BC"/>
    <w:rsid w:val="009C47D2"/>
    <w:rsid w:val="009C4B7C"/>
    <w:rsid w:val="009C7298"/>
    <w:rsid w:val="009C7626"/>
    <w:rsid w:val="009C7D17"/>
    <w:rsid w:val="009C7F14"/>
    <w:rsid w:val="009D0019"/>
    <w:rsid w:val="009D04B1"/>
    <w:rsid w:val="009D2DD5"/>
    <w:rsid w:val="009D3268"/>
    <w:rsid w:val="009D3F27"/>
    <w:rsid w:val="009D7191"/>
    <w:rsid w:val="009E0165"/>
    <w:rsid w:val="009E148B"/>
    <w:rsid w:val="009E1B08"/>
    <w:rsid w:val="009E4C3D"/>
    <w:rsid w:val="009E6ABC"/>
    <w:rsid w:val="009E72D5"/>
    <w:rsid w:val="009E76EF"/>
    <w:rsid w:val="009F1024"/>
    <w:rsid w:val="009F1C4E"/>
    <w:rsid w:val="009F20F1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2C4A"/>
    <w:rsid w:val="00A1329F"/>
    <w:rsid w:val="00A14640"/>
    <w:rsid w:val="00A14853"/>
    <w:rsid w:val="00A14D9E"/>
    <w:rsid w:val="00A16721"/>
    <w:rsid w:val="00A17542"/>
    <w:rsid w:val="00A21D5D"/>
    <w:rsid w:val="00A220C7"/>
    <w:rsid w:val="00A23C46"/>
    <w:rsid w:val="00A24190"/>
    <w:rsid w:val="00A26AE3"/>
    <w:rsid w:val="00A27AD2"/>
    <w:rsid w:val="00A30BA9"/>
    <w:rsid w:val="00A340C1"/>
    <w:rsid w:val="00A34B9B"/>
    <w:rsid w:val="00A36D6B"/>
    <w:rsid w:val="00A408D4"/>
    <w:rsid w:val="00A4196D"/>
    <w:rsid w:val="00A4363A"/>
    <w:rsid w:val="00A43B26"/>
    <w:rsid w:val="00A446C3"/>
    <w:rsid w:val="00A45455"/>
    <w:rsid w:val="00A46834"/>
    <w:rsid w:val="00A47665"/>
    <w:rsid w:val="00A51155"/>
    <w:rsid w:val="00A51794"/>
    <w:rsid w:val="00A51AC7"/>
    <w:rsid w:val="00A52061"/>
    <w:rsid w:val="00A53C80"/>
    <w:rsid w:val="00A53D77"/>
    <w:rsid w:val="00A55553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00F6"/>
    <w:rsid w:val="00A718D1"/>
    <w:rsid w:val="00A727B8"/>
    <w:rsid w:val="00A73562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024D"/>
    <w:rsid w:val="00A91D99"/>
    <w:rsid w:val="00A93BF8"/>
    <w:rsid w:val="00A94018"/>
    <w:rsid w:val="00A958E7"/>
    <w:rsid w:val="00A9798E"/>
    <w:rsid w:val="00A97A2E"/>
    <w:rsid w:val="00AA2E80"/>
    <w:rsid w:val="00AA3D8E"/>
    <w:rsid w:val="00AA4F5E"/>
    <w:rsid w:val="00AB02FB"/>
    <w:rsid w:val="00AB07DC"/>
    <w:rsid w:val="00AB2757"/>
    <w:rsid w:val="00AB392B"/>
    <w:rsid w:val="00AB3AA4"/>
    <w:rsid w:val="00AB3AEA"/>
    <w:rsid w:val="00AB45A1"/>
    <w:rsid w:val="00AB595B"/>
    <w:rsid w:val="00AC16B4"/>
    <w:rsid w:val="00AC2F64"/>
    <w:rsid w:val="00AC3420"/>
    <w:rsid w:val="00AC4646"/>
    <w:rsid w:val="00AD041B"/>
    <w:rsid w:val="00AD23C3"/>
    <w:rsid w:val="00AD2DFC"/>
    <w:rsid w:val="00AD3BF4"/>
    <w:rsid w:val="00AD57CB"/>
    <w:rsid w:val="00AD7412"/>
    <w:rsid w:val="00AD7456"/>
    <w:rsid w:val="00AE1576"/>
    <w:rsid w:val="00AE2F54"/>
    <w:rsid w:val="00AE433E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70B"/>
    <w:rsid w:val="00B12DF7"/>
    <w:rsid w:val="00B13BDF"/>
    <w:rsid w:val="00B13C21"/>
    <w:rsid w:val="00B15F06"/>
    <w:rsid w:val="00B160A1"/>
    <w:rsid w:val="00B16366"/>
    <w:rsid w:val="00B2259B"/>
    <w:rsid w:val="00B22B3D"/>
    <w:rsid w:val="00B25087"/>
    <w:rsid w:val="00B25CF9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45B07"/>
    <w:rsid w:val="00B46D6D"/>
    <w:rsid w:val="00B508B1"/>
    <w:rsid w:val="00B5111B"/>
    <w:rsid w:val="00B51FF3"/>
    <w:rsid w:val="00B528D9"/>
    <w:rsid w:val="00B53B4F"/>
    <w:rsid w:val="00B53F3F"/>
    <w:rsid w:val="00B54280"/>
    <w:rsid w:val="00B54668"/>
    <w:rsid w:val="00B54882"/>
    <w:rsid w:val="00B56504"/>
    <w:rsid w:val="00B60A20"/>
    <w:rsid w:val="00B61566"/>
    <w:rsid w:val="00B6508E"/>
    <w:rsid w:val="00B657DE"/>
    <w:rsid w:val="00B67B31"/>
    <w:rsid w:val="00B67FED"/>
    <w:rsid w:val="00B700D7"/>
    <w:rsid w:val="00B70475"/>
    <w:rsid w:val="00B709FF"/>
    <w:rsid w:val="00B716E8"/>
    <w:rsid w:val="00B734C2"/>
    <w:rsid w:val="00B74DB9"/>
    <w:rsid w:val="00B75E6A"/>
    <w:rsid w:val="00B76501"/>
    <w:rsid w:val="00B765EE"/>
    <w:rsid w:val="00B8035B"/>
    <w:rsid w:val="00B80EF8"/>
    <w:rsid w:val="00B81C4A"/>
    <w:rsid w:val="00B82C4F"/>
    <w:rsid w:val="00B83B8F"/>
    <w:rsid w:val="00B84A48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151"/>
    <w:rsid w:val="00B962B9"/>
    <w:rsid w:val="00B96380"/>
    <w:rsid w:val="00B96CAC"/>
    <w:rsid w:val="00B97005"/>
    <w:rsid w:val="00B97CAE"/>
    <w:rsid w:val="00BA0446"/>
    <w:rsid w:val="00BA0570"/>
    <w:rsid w:val="00BA2FAE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D1F"/>
    <w:rsid w:val="00BB3FB3"/>
    <w:rsid w:val="00BB588C"/>
    <w:rsid w:val="00BB66E0"/>
    <w:rsid w:val="00BB6C33"/>
    <w:rsid w:val="00BB6C82"/>
    <w:rsid w:val="00BB7344"/>
    <w:rsid w:val="00BB78CA"/>
    <w:rsid w:val="00BB7C58"/>
    <w:rsid w:val="00BC149F"/>
    <w:rsid w:val="00BC2606"/>
    <w:rsid w:val="00BC2CC5"/>
    <w:rsid w:val="00BC5F0D"/>
    <w:rsid w:val="00BC6EBC"/>
    <w:rsid w:val="00BC74F9"/>
    <w:rsid w:val="00BC798E"/>
    <w:rsid w:val="00BD25DC"/>
    <w:rsid w:val="00BD3536"/>
    <w:rsid w:val="00BD3C77"/>
    <w:rsid w:val="00BD4455"/>
    <w:rsid w:val="00BD67E9"/>
    <w:rsid w:val="00BD7212"/>
    <w:rsid w:val="00BD745F"/>
    <w:rsid w:val="00BE0D79"/>
    <w:rsid w:val="00BE0FF6"/>
    <w:rsid w:val="00BE39AA"/>
    <w:rsid w:val="00BE3C4C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15DA"/>
    <w:rsid w:val="00C0296E"/>
    <w:rsid w:val="00C03B3F"/>
    <w:rsid w:val="00C05D80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A99"/>
    <w:rsid w:val="00C22B35"/>
    <w:rsid w:val="00C22B7C"/>
    <w:rsid w:val="00C23492"/>
    <w:rsid w:val="00C2364F"/>
    <w:rsid w:val="00C23E79"/>
    <w:rsid w:val="00C24098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72E1"/>
    <w:rsid w:val="00C404D6"/>
    <w:rsid w:val="00C40EE6"/>
    <w:rsid w:val="00C41DA6"/>
    <w:rsid w:val="00C441DC"/>
    <w:rsid w:val="00C44F1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2A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5881"/>
    <w:rsid w:val="00C65F90"/>
    <w:rsid w:val="00C667DB"/>
    <w:rsid w:val="00C66FAB"/>
    <w:rsid w:val="00C72606"/>
    <w:rsid w:val="00C753E8"/>
    <w:rsid w:val="00C75F53"/>
    <w:rsid w:val="00C76B41"/>
    <w:rsid w:val="00C81D75"/>
    <w:rsid w:val="00C8351D"/>
    <w:rsid w:val="00C83E50"/>
    <w:rsid w:val="00C843D5"/>
    <w:rsid w:val="00C8487B"/>
    <w:rsid w:val="00C84C24"/>
    <w:rsid w:val="00C851AE"/>
    <w:rsid w:val="00C90B22"/>
    <w:rsid w:val="00C91455"/>
    <w:rsid w:val="00C92ACE"/>
    <w:rsid w:val="00C930DD"/>
    <w:rsid w:val="00C93571"/>
    <w:rsid w:val="00C935CE"/>
    <w:rsid w:val="00C942D8"/>
    <w:rsid w:val="00C95AD7"/>
    <w:rsid w:val="00C97F73"/>
    <w:rsid w:val="00CA0E1A"/>
    <w:rsid w:val="00CA1F8B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B71D5"/>
    <w:rsid w:val="00CC03CB"/>
    <w:rsid w:val="00CC0D82"/>
    <w:rsid w:val="00CC0DDA"/>
    <w:rsid w:val="00CC1A05"/>
    <w:rsid w:val="00CC2C46"/>
    <w:rsid w:val="00CC2DCA"/>
    <w:rsid w:val="00CC309B"/>
    <w:rsid w:val="00CC3373"/>
    <w:rsid w:val="00CC4707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6DE4"/>
    <w:rsid w:val="00CD6DEA"/>
    <w:rsid w:val="00CD7E52"/>
    <w:rsid w:val="00CE035A"/>
    <w:rsid w:val="00CE0B4E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3AE9"/>
    <w:rsid w:val="00D043A4"/>
    <w:rsid w:val="00D04705"/>
    <w:rsid w:val="00D04D23"/>
    <w:rsid w:val="00D11FBB"/>
    <w:rsid w:val="00D1306B"/>
    <w:rsid w:val="00D1316E"/>
    <w:rsid w:val="00D148EB"/>
    <w:rsid w:val="00D152F2"/>
    <w:rsid w:val="00D153F6"/>
    <w:rsid w:val="00D1579E"/>
    <w:rsid w:val="00D159DA"/>
    <w:rsid w:val="00D15F7E"/>
    <w:rsid w:val="00D1665F"/>
    <w:rsid w:val="00D1692B"/>
    <w:rsid w:val="00D21AE6"/>
    <w:rsid w:val="00D21E93"/>
    <w:rsid w:val="00D23215"/>
    <w:rsid w:val="00D23479"/>
    <w:rsid w:val="00D23640"/>
    <w:rsid w:val="00D23C22"/>
    <w:rsid w:val="00D242FB"/>
    <w:rsid w:val="00D25141"/>
    <w:rsid w:val="00D2712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2FBD"/>
    <w:rsid w:val="00D442DE"/>
    <w:rsid w:val="00D448EC"/>
    <w:rsid w:val="00D47065"/>
    <w:rsid w:val="00D50673"/>
    <w:rsid w:val="00D515BB"/>
    <w:rsid w:val="00D52F8A"/>
    <w:rsid w:val="00D5323E"/>
    <w:rsid w:val="00D54050"/>
    <w:rsid w:val="00D5575A"/>
    <w:rsid w:val="00D56711"/>
    <w:rsid w:val="00D56DED"/>
    <w:rsid w:val="00D571D7"/>
    <w:rsid w:val="00D577D7"/>
    <w:rsid w:val="00D603E8"/>
    <w:rsid w:val="00D60EB8"/>
    <w:rsid w:val="00D61104"/>
    <w:rsid w:val="00D6150F"/>
    <w:rsid w:val="00D615D4"/>
    <w:rsid w:val="00D623E3"/>
    <w:rsid w:val="00D62579"/>
    <w:rsid w:val="00D62C5C"/>
    <w:rsid w:val="00D635CD"/>
    <w:rsid w:val="00D649C1"/>
    <w:rsid w:val="00D649E0"/>
    <w:rsid w:val="00D66DA0"/>
    <w:rsid w:val="00D6736C"/>
    <w:rsid w:val="00D67391"/>
    <w:rsid w:val="00D67F71"/>
    <w:rsid w:val="00D72319"/>
    <w:rsid w:val="00D7240B"/>
    <w:rsid w:val="00D73587"/>
    <w:rsid w:val="00D73B03"/>
    <w:rsid w:val="00D74A96"/>
    <w:rsid w:val="00D75253"/>
    <w:rsid w:val="00D75F0E"/>
    <w:rsid w:val="00D75FB8"/>
    <w:rsid w:val="00D76500"/>
    <w:rsid w:val="00D81430"/>
    <w:rsid w:val="00D81C22"/>
    <w:rsid w:val="00D825AC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11A1"/>
    <w:rsid w:val="00DC2FE0"/>
    <w:rsid w:val="00DC5426"/>
    <w:rsid w:val="00DC6064"/>
    <w:rsid w:val="00DC650F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6D86"/>
    <w:rsid w:val="00DD7B0F"/>
    <w:rsid w:val="00DE112F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154D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358F1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3490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23BD"/>
    <w:rsid w:val="00E83245"/>
    <w:rsid w:val="00E83547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52C3"/>
    <w:rsid w:val="00E953A5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775"/>
    <w:rsid w:val="00EA739B"/>
    <w:rsid w:val="00EA771B"/>
    <w:rsid w:val="00EB0892"/>
    <w:rsid w:val="00EB2781"/>
    <w:rsid w:val="00EB2B84"/>
    <w:rsid w:val="00EB33BB"/>
    <w:rsid w:val="00EB4D33"/>
    <w:rsid w:val="00EB550B"/>
    <w:rsid w:val="00EB6363"/>
    <w:rsid w:val="00EB6E08"/>
    <w:rsid w:val="00EB7049"/>
    <w:rsid w:val="00EB7BBB"/>
    <w:rsid w:val="00EC0D5C"/>
    <w:rsid w:val="00EC1115"/>
    <w:rsid w:val="00EC12EA"/>
    <w:rsid w:val="00EC207B"/>
    <w:rsid w:val="00EC368A"/>
    <w:rsid w:val="00EC5451"/>
    <w:rsid w:val="00EC613F"/>
    <w:rsid w:val="00EC71CE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732"/>
    <w:rsid w:val="00ED7C5A"/>
    <w:rsid w:val="00EE10A6"/>
    <w:rsid w:val="00EE18EF"/>
    <w:rsid w:val="00EE29E3"/>
    <w:rsid w:val="00EE2D12"/>
    <w:rsid w:val="00EE35AE"/>
    <w:rsid w:val="00EE4336"/>
    <w:rsid w:val="00EE4340"/>
    <w:rsid w:val="00EE4621"/>
    <w:rsid w:val="00EE5023"/>
    <w:rsid w:val="00EE5934"/>
    <w:rsid w:val="00EE5A34"/>
    <w:rsid w:val="00EE5CD7"/>
    <w:rsid w:val="00EE7588"/>
    <w:rsid w:val="00EF0019"/>
    <w:rsid w:val="00EF07B3"/>
    <w:rsid w:val="00EF28C8"/>
    <w:rsid w:val="00EF2949"/>
    <w:rsid w:val="00EF2C40"/>
    <w:rsid w:val="00EF3C9D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949"/>
    <w:rsid w:val="00F07F1F"/>
    <w:rsid w:val="00F10E64"/>
    <w:rsid w:val="00F10EB6"/>
    <w:rsid w:val="00F11EAC"/>
    <w:rsid w:val="00F123FA"/>
    <w:rsid w:val="00F134BF"/>
    <w:rsid w:val="00F13FA1"/>
    <w:rsid w:val="00F14712"/>
    <w:rsid w:val="00F15CF2"/>
    <w:rsid w:val="00F20986"/>
    <w:rsid w:val="00F2130A"/>
    <w:rsid w:val="00F21457"/>
    <w:rsid w:val="00F217E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368B7"/>
    <w:rsid w:val="00F428F0"/>
    <w:rsid w:val="00F42B51"/>
    <w:rsid w:val="00F44313"/>
    <w:rsid w:val="00F452F7"/>
    <w:rsid w:val="00F4634D"/>
    <w:rsid w:val="00F47223"/>
    <w:rsid w:val="00F47D26"/>
    <w:rsid w:val="00F47F2E"/>
    <w:rsid w:val="00F50549"/>
    <w:rsid w:val="00F5257D"/>
    <w:rsid w:val="00F53791"/>
    <w:rsid w:val="00F547BD"/>
    <w:rsid w:val="00F55E9C"/>
    <w:rsid w:val="00F565BE"/>
    <w:rsid w:val="00F565C7"/>
    <w:rsid w:val="00F57939"/>
    <w:rsid w:val="00F602A2"/>
    <w:rsid w:val="00F602B7"/>
    <w:rsid w:val="00F60736"/>
    <w:rsid w:val="00F619D7"/>
    <w:rsid w:val="00F61B07"/>
    <w:rsid w:val="00F62C50"/>
    <w:rsid w:val="00F63139"/>
    <w:rsid w:val="00F634DE"/>
    <w:rsid w:val="00F63E9E"/>
    <w:rsid w:val="00F64AF2"/>
    <w:rsid w:val="00F6599A"/>
    <w:rsid w:val="00F66153"/>
    <w:rsid w:val="00F678A4"/>
    <w:rsid w:val="00F67E00"/>
    <w:rsid w:val="00F71C05"/>
    <w:rsid w:val="00F72E6A"/>
    <w:rsid w:val="00F74276"/>
    <w:rsid w:val="00F7498D"/>
    <w:rsid w:val="00F74EF3"/>
    <w:rsid w:val="00F77DD3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0A5"/>
    <w:rsid w:val="00F95F50"/>
    <w:rsid w:val="00FA0944"/>
    <w:rsid w:val="00FA2788"/>
    <w:rsid w:val="00FA444C"/>
    <w:rsid w:val="00FA51E3"/>
    <w:rsid w:val="00FA5F5E"/>
    <w:rsid w:val="00FA6010"/>
    <w:rsid w:val="00FA721F"/>
    <w:rsid w:val="00FB188B"/>
    <w:rsid w:val="00FB2AF1"/>
    <w:rsid w:val="00FB2CA6"/>
    <w:rsid w:val="00FB54C3"/>
    <w:rsid w:val="00FB560C"/>
    <w:rsid w:val="00FB7356"/>
    <w:rsid w:val="00FC07B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EEB"/>
    <w:rsid w:val="00FF35F3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4:docId w14:val="6D3A372A"/>
  <w15:docId w15:val="{BF1C7497-8C7A-41D0-8A91-C60A3A6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00885140403476"/>
          <c:y val="0.1098397905452253"/>
          <c:w val="0.843307745527625"/>
          <c:h val="0.540359396179055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data!$B$94</c:f>
              <c:strCache>
                <c:ptCount val="1"/>
                <c:pt idx="0">
                  <c:v>Sadece İnternet Bankacılığı Kullanan</c:v>
                </c:pt>
              </c:strCache>
            </c:strRef>
          </c:tx>
          <c:spPr>
            <a:solidFill>
              <a:srgbClr val="C9676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data!$A$95:$A$99</c:f>
              <c:strCache>
                <c:ptCount val="5"/>
                <c:pt idx="0">
                  <c:v>Aralık 2020</c:v>
                </c:pt>
                <c:pt idx="1">
                  <c:v>Aralık 2021</c:v>
                </c:pt>
                <c:pt idx="2">
                  <c:v>Aralık 2022</c:v>
                </c:pt>
                <c:pt idx="3">
                  <c:v>Aralık 2023</c:v>
                </c:pt>
                <c:pt idx="4">
                  <c:v>Haziran 2024</c:v>
                </c:pt>
              </c:strCache>
            </c:strRef>
          </c:cat>
          <c:val>
            <c:numRef>
              <c:f>data!$B$95:$B$99</c:f>
              <c:numCache>
                <c:formatCode>#,##0</c:formatCode>
                <c:ptCount val="5"/>
                <c:pt idx="0">
                  <c:v>3.1768100000000001</c:v>
                </c:pt>
                <c:pt idx="1">
                  <c:v>2.7636810000000001</c:v>
                </c:pt>
                <c:pt idx="2">
                  <c:v>2.3006929999999999</c:v>
                </c:pt>
                <c:pt idx="3">
                  <c:v>1.8016319999999999</c:v>
                </c:pt>
                <c:pt idx="4">
                  <c:v>1.5822240000000001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F2-4422-AF4D-46F986646089}"/>
            </c:ext>
          </c:extLst>
        </c:ser>
        <c:ser>
          <c:idx val="1"/>
          <c:order val="1"/>
          <c:tx>
            <c:strRef>
              <c:f>data!$C$94</c:f>
              <c:strCache>
                <c:ptCount val="1"/>
                <c:pt idx="0">
                  <c:v>Hem İnternet Hem Mobil Bankacılık Kullanan</c:v>
                </c:pt>
              </c:strCache>
            </c:strRef>
          </c:tx>
          <c:spPr>
            <a:solidFill>
              <a:srgbClr val="F9A661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2.708497912199526E-2"/>
                  <c:y val="1.189414213499840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2F2-4422-AF4D-46F986646089}"/>
                </c:ext>
              </c:extLst>
            </c:dLbl>
            <c:dLbl>
              <c:idx val="1"/>
              <c:layout>
                <c:manualLayout>
                  <c:x val="-3.159914230899447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32F2-4422-AF4D-46F986646089}"/>
                </c:ext>
              </c:extLst>
            </c:dLbl>
            <c:dLbl>
              <c:idx val="2"/>
              <c:layout>
                <c:manualLayout>
                  <c:x val="2.7084979121995176E-2"/>
                  <c:y val="-1.78412132024977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2F2-4422-AF4D-46F986646089}"/>
                </c:ext>
              </c:extLst>
            </c:dLbl>
            <c:dLbl>
              <c:idx val="3"/>
              <c:layout>
                <c:manualLayout>
                  <c:x val="1.5799571154497153E-2"/>
                  <c:y val="5.94707106749925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32F2-4422-AF4D-46F986646089}"/>
                </c:ext>
              </c:extLst>
            </c:dLbl>
            <c:dLbl>
              <c:idx val="4"/>
              <c:layout>
                <c:manualLayout>
                  <c:x val="2.0313734341496279E-2"/>
                  <c:y val="-1.78412132024977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2F2-4422-AF4D-46F986646089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data!$A$95:$A$99</c:f>
              <c:strCache>
                <c:ptCount val="5"/>
                <c:pt idx="0">
                  <c:v>Aralık 2020</c:v>
                </c:pt>
                <c:pt idx="1">
                  <c:v>Aralık 2021</c:v>
                </c:pt>
                <c:pt idx="2">
                  <c:v>Aralık 2022</c:v>
                </c:pt>
                <c:pt idx="3">
                  <c:v>Aralık 2023</c:v>
                </c:pt>
                <c:pt idx="4">
                  <c:v>Haziran 2024</c:v>
                </c:pt>
              </c:strCache>
            </c:strRef>
          </c:cat>
          <c:val>
            <c:numRef>
              <c:f>data!$C$95:$C$99</c:f>
              <c:numCache>
                <c:formatCode>#,##0</c:formatCode>
                <c:ptCount val="5"/>
                <c:pt idx="0">
                  <c:v>9.2667459999999995</c:v>
                </c:pt>
                <c:pt idx="1">
                  <c:v>9.2136759999999995</c:v>
                </c:pt>
                <c:pt idx="2">
                  <c:v>9.7856120000000004</c:v>
                </c:pt>
                <c:pt idx="3">
                  <c:v>10.242844</c:v>
                </c:pt>
                <c:pt idx="4">
                  <c:v>8.3775410000000008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F2-4422-AF4D-46F986646089}"/>
            </c:ext>
          </c:extLst>
        </c:ser>
        <c:ser>
          <c:idx val="2"/>
          <c:order val="2"/>
          <c:tx>
            <c:strRef>
              <c:f>data!$D$94</c:f>
              <c:strCache>
                <c:ptCount val="1"/>
                <c:pt idx="0">
                  <c:v>Sadece Mobil Bankacılık Kullanan</c:v>
                </c:pt>
              </c:strCache>
            </c:strRef>
          </c:tx>
          <c:spPr>
            <a:solidFill>
              <a:srgbClr val="6BA3B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data!$A$95:$A$99</c:f>
              <c:strCache>
                <c:ptCount val="5"/>
                <c:pt idx="0">
                  <c:v>Aralık 2020</c:v>
                </c:pt>
                <c:pt idx="1">
                  <c:v>Aralık 2021</c:v>
                </c:pt>
                <c:pt idx="2">
                  <c:v>Aralık 2022</c:v>
                </c:pt>
                <c:pt idx="3">
                  <c:v>Aralık 2023</c:v>
                </c:pt>
                <c:pt idx="4">
                  <c:v>Haziran 2024</c:v>
                </c:pt>
              </c:strCache>
            </c:strRef>
          </c:cat>
          <c:val>
            <c:numRef>
              <c:f>data!$D$95:$D$99</c:f>
              <c:numCache>
                <c:formatCode>#,##0</c:formatCode>
                <c:ptCount val="5"/>
                <c:pt idx="0">
                  <c:v>53.233499999999999</c:v>
                </c:pt>
                <c:pt idx="1">
                  <c:v>65.954268999999996</c:v>
                </c:pt>
                <c:pt idx="2">
                  <c:v>82.303898000000004</c:v>
                </c:pt>
                <c:pt idx="3">
                  <c:v>98.543251999999995</c:v>
                </c:pt>
                <c:pt idx="4">
                  <c:v>104.655567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F2-4422-AF4D-46F9866460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24554680"/>
        <c:axId val="1"/>
      </c:barChart>
      <c:lineChart>
        <c:grouping val="standard"/>
        <c:varyColors val="0"/>
        <c:ser>
          <c:idx val="3"/>
          <c:order val="3"/>
          <c:tx>
            <c:strRef>
              <c:f>data!$E$94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/>
          </c:spPr>
          <c:marker>
            <c:symbol val="circle"/>
            <c:size val="7"/>
          </c:marker>
          <c:dLbls>
            <c:numFmt formatCode="#,##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data!$A$95:$A$99</c:f>
              <c:strCache>
                <c:ptCount val="5"/>
                <c:pt idx="0">
                  <c:v>Aralık 2020</c:v>
                </c:pt>
                <c:pt idx="1">
                  <c:v>Aralık 2021</c:v>
                </c:pt>
                <c:pt idx="2">
                  <c:v>Aralık 2022</c:v>
                </c:pt>
                <c:pt idx="3">
                  <c:v>Aralık 2023</c:v>
                </c:pt>
                <c:pt idx="4">
                  <c:v>Haziran 2024</c:v>
                </c:pt>
              </c:strCache>
            </c:strRef>
          </c:cat>
          <c:val>
            <c:numRef>
              <c:f>data!$E$95:$E$99</c:f>
              <c:numCache>
                <c:formatCode>#,##0</c:formatCode>
                <c:ptCount val="5"/>
                <c:pt idx="0">
                  <c:v>65.677055999999993</c:v>
                </c:pt>
                <c:pt idx="1">
                  <c:v>77.931625999999994</c:v>
                </c:pt>
                <c:pt idx="2">
                  <c:v>94.390203</c:v>
                </c:pt>
                <c:pt idx="3">
                  <c:v>110.587728</c:v>
                </c:pt>
                <c:pt idx="4">
                  <c:v>114.615332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2F2-4422-AF4D-46F9866460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4554680"/>
        <c:axId val="1"/>
      </c:lineChart>
      <c:catAx>
        <c:axId val="824554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/>
                  <a:t>Milyon kişi</a:t>
                </a:r>
              </a:p>
            </c:rich>
          </c:tx>
          <c:layout>
            <c:manualLayout>
              <c:xMode val="edge"/>
              <c:yMode val="edge"/>
              <c:x val="3.3472694085828106E-2"/>
              <c:y val="4.1075532225138527E-3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2455468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7895244058959634E-3"/>
          <c:y val="0.75983062117235345"/>
          <c:w val="0.99721047559410403"/>
          <c:h val="0.24016937882764655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DCB65-C7BE-4950-930D-6B2CF680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1616</Words>
  <Characters>8929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11</cp:revision>
  <cp:lastPrinted>2024-08-09T07:15:00Z</cp:lastPrinted>
  <dcterms:created xsi:type="dcterms:W3CDTF">2024-08-08T08:36:00Z</dcterms:created>
  <dcterms:modified xsi:type="dcterms:W3CDTF">2024-08-14T10:30:00Z</dcterms:modified>
</cp:coreProperties>
</file>