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163E7" w14:textId="77777777" w:rsidR="0074426A" w:rsidRPr="006B20CA" w:rsidRDefault="0074426A" w:rsidP="00FD6DC2">
      <w:pPr>
        <w:pStyle w:val="Title"/>
        <w:rPr>
          <w:rFonts w:ascii="Arial" w:hAnsi="Arial"/>
          <w:bCs/>
          <w:sz w:val="26"/>
          <w:szCs w:val="26"/>
        </w:rPr>
      </w:pPr>
    </w:p>
    <w:p w14:paraId="19C25C67" w14:textId="77777777" w:rsidR="00704B9E" w:rsidRPr="006B20CA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6B20CA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6B20CA">
        <w:rPr>
          <w:rFonts w:ascii="Arial" w:hAnsi="Arial"/>
          <w:bCs/>
          <w:sz w:val="26"/>
          <w:szCs w:val="26"/>
        </w:rPr>
        <w:t xml:space="preserve"> </w:t>
      </w:r>
    </w:p>
    <w:p w14:paraId="505F99D5" w14:textId="77777777" w:rsidR="00FD6DC2" w:rsidRPr="006B20CA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6B20CA">
        <w:rPr>
          <w:rFonts w:ascii="Arial" w:hAnsi="Arial"/>
          <w:bCs/>
          <w:sz w:val="26"/>
          <w:szCs w:val="26"/>
        </w:rPr>
        <w:t xml:space="preserve">Banka, </w:t>
      </w:r>
      <w:r w:rsidR="008B749A" w:rsidRPr="006B20CA">
        <w:rPr>
          <w:rFonts w:ascii="Arial" w:hAnsi="Arial"/>
          <w:bCs/>
          <w:sz w:val="26"/>
          <w:szCs w:val="26"/>
        </w:rPr>
        <w:t>Çalışan ve Şube</w:t>
      </w:r>
      <w:r w:rsidRPr="006B20CA">
        <w:rPr>
          <w:rFonts w:ascii="Arial" w:hAnsi="Arial"/>
          <w:bCs/>
          <w:sz w:val="26"/>
          <w:szCs w:val="26"/>
        </w:rPr>
        <w:t xml:space="preserve"> Bilgileri</w:t>
      </w:r>
      <w:r w:rsidRPr="006B20CA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6B20CA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6B20CA">
        <w:rPr>
          <w:rFonts w:ascii="Arial" w:hAnsi="Arial"/>
          <w:bCs/>
          <w:sz w:val="26"/>
          <w:szCs w:val="26"/>
        </w:rPr>
        <w:t xml:space="preserve"> </w:t>
      </w:r>
    </w:p>
    <w:p w14:paraId="7E9D65FA" w14:textId="77777777" w:rsidR="00FD6DC2" w:rsidRPr="006B20CA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14:paraId="775E33B5" w14:textId="77777777" w:rsidR="0074426A" w:rsidRPr="006B20CA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14:paraId="73F2ABC0" w14:textId="77777777" w:rsidR="00347492" w:rsidRPr="006B20CA" w:rsidRDefault="00413229" w:rsidP="00FD6DC2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Eylül</w:t>
      </w:r>
      <w:r w:rsidR="00036474" w:rsidRPr="006B20CA">
        <w:rPr>
          <w:rFonts w:ascii="Arial" w:hAnsi="Arial" w:cs="Arial"/>
          <w:bCs/>
          <w:szCs w:val="24"/>
        </w:rPr>
        <w:t xml:space="preserve"> 2024</w:t>
      </w:r>
    </w:p>
    <w:p w14:paraId="3FB3CE79" w14:textId="77777777" w:rsidR="00342ADD" w:rsidRPr="006B20CA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14:paraId="7004DD2F" w14:textId="77777777" w:rsidR="00F607F2" w:rsidRPr="006E0E80" w:rsidRDefault="00823340" w:rsidP="00F607F2">
      <w:pPr>
        <w:pStyle w:val="Subtitle"/>
        <w:rPr>
          <w:rFonts w:cs="Arial"/>
          <w:szCs w:val="22"/>
        </w:rPr>
      </w:pPr>
      <w:r w:rsidRPr="006E0E80">
        <w:rPr>
          <w:rFonts w:cs="Arial"/>
          <w:szCs w:val="22"/>
        </w:rPr>
        <w:t xml:space="preserve">Banka </w:t>
      </w:r>
      <w:r w:rsidR="00F607F2" w:rsidRPr="006E0E80">
        <w:rPr>
          <w:rFonts w:cs="Arial"/>
          <w:szCs w:val="22"/>
        </w:rPr>
        <w:t>Sayısı</w:t>
      </w:r>
    </w:p>
    <w:p w14:paraId="05A63D21" w14:textId="77777777" w:rsidR="00F607F2" w:rsidRPr="006E0E80" w:rsidRDefault="00F607F2" w:rsidP="0096545B">
      <w:pPr>
        <w:pStyle w:val="Subtitle"/>
        <w:rPr>
          <w:rFonts w:cs="Arial"/>
          <w:sz w:val="10"/>
          <w:szCs w:val="10"/>
        </w:rPr>
      </w:pPr>
    </w:p>
    <w:p w14:paraId="5583C193" w14:textId="77777777" w:rsidR="00565422" w:rsidRPr="006E0E80" w:rsidRDefault="00F607F2" w:rsidP="00135947">
      <w:pPr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 xml:space="preserve">Bankacılık sisteminde </w:t>
      </w:r>
      <w:r w:rsidR="007B575F" w:rsidRPr="006E0E80">
        <w:rPr>
          <w:rFonts w:ascii="Arial" w:hAnsi="Arial" w:cs="Arial"/>
          <w:sz w:val="22"/>
          <w:szCs w:val="22"/>
        </w:rPr>
        <w:t>6</w:t>
      </w:r>
      <w:r w:rsidR="00C15ED8" w:rsidRPr="006E0E80">
        <w:rPr>
          <w:rFonts w:ascii="Arial" w:hAnsi="Arial" w:cs="Arial"/>
          <w:sz w:val="22"/>
          <w:szCs w:val="22"/>
        </w:rPr>
        <w:t>4</w:t>
      </w:r>
      <w:r w:rsidR="00300266" w:rsidRPr="006E0E80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6E0E80">
        <w:rPr>
          <w:rFonts w:ascii="Arial" w:hAnsi="Arial" w:cs="Arial"/>
          <w:sz w:val="22"/>
          <w:szCs w:val="22"/>
        </w:rPr>
        <w:t>Mevduat bankaları 3</w:t>
      </w:r>
      <w:r w:rsidR="00C15ED8" w:rsidRPr="006E0E80">
        <w:rPr>
          <w:rFonts w:ascii="Arial" w:hAnsi="Arial" w:cs="Arial"/>
          <w:sz w:val="22"/>
          <w:szCs w:val="22"/>
        </w:rPr>
        <w:t>5</w:t>
      </w:r>
      <w:r w:rsidRPr="006E0E80">
        <w:rPr>
          <w:rFonts w:ascii="Arial" w:hAnsi="Arial" w:cs="Arial"/>
          <w:sz w:val="22"/>
          <w:szCs w:val="22"/>
        </w:rPr>
        <w:t xml:space="preserve">, kalkınma ve yatırım bankaları </w:t>
      </w:r>
      <w:r w:rsidR="00576FD4" w:rsidRPr="006E0E80">
        <w:rPr>
          <w:rFonts w:ascii="Arial" w:hAnsi="Arial" w:cs="Arial"/>
          <w:sz w:val="22"/>
          <w:szCs w:val="22"/>
        </w:rPr>
        <w:t>20</w:t>
      </w:r>
      <w:r w:rsidR="006F374E" w:rsidRPr="006E0E80">
        <w:rPr>
          <w:rFonts w:ascii="Arial" w:hAnsi="Arial" w:cs="Arial"/>
          <w:sz w:val="22"/>
          <w:szCs w:val="22"/>
        </w:rPr>
        <w:t xml:space="preserve">, </w:t>
      </w:r>
      <w:r w:rsidR="00A8116B" w:rsidRPr="006E0E80">
        <w:rPr>
          <w:rFonts w:ascii="Arial" w:hAnsi="Arial" w:cs="Arial"/>
          <w:sz w:val="22"/>
          <w:szCs w:val="22"/>
        </w:rPr>
        <w:t xml:space="preserve">katılım bankaları </w:t>
      </w:r>
      <w:r w:rsidR="007B575F" w:rsidRPr="006E0E80">
        <w:rPr>
          <w:rFonts w:ascii="Arial" w:hAnsi="Arial" w:cs="Arial"/>
          <w:sz w:val="22"/>
          <w:szCs w:val="22"/>
        </w:rPr>
        <w:t>9</w:t>
      </w:r>
      <w:r w:rsidR="00300266" w:rsidRPr="006E0E80">
        <w:rPr>
          <w:rFonts w:ascii="Arial" w:hAnsi="Arial" w:cs="Arial"/>
          <w:sz w:val="22"/>
          <w:szCs w:val="22"/>
        </w:rPr>
        <w:t xml:space="preserve"> tanedir</w:t>
      </w:r>
      <w:r w:rsidR="00D02A17" w:rsidRPr="006E0E80">
        <w:rPr>
          <w:rFonts w:ascii="Arial" w:hAnsi="Arial" w:cs="Arial"/>
          <w:sz w:val="22"/>
          <w:szCs w:val="22"/>
        </w:rPr>
        <w:t>.</w:t>
      </w:r>
      <w:r w:rsidR="00C15ED8" w:rsidRPr="006E0E80">
        <w:rPr>
          <w:rFonts w:ascii="Arial" w:hAnsi="Arial" w:cs="Arial"/>
          <w:sz w:val="22"/>
          <w:szCs w:val="22"/>
        </w:rPr>
        <w:t xml:space="preserve"> Bankacılık Düzenleme ve Denetleme Kurulu'nun kararı ile "</w:t>
      </w:r>
      <w:bookmarkStart w:id="0" w:name="_Hlk180669758"/>
      <w:r w:rsidR="00C15ED8" w:rsidRPr="006E0E80">
        <w:rPr>
          <w:rFonts w:ascii="Arial" w:hAnsi="Arial" w:cs="Arial"/>
          <w:sz w:val="22"/>
          <w:szCs w:val="22"/>
        </w:rPr>
        <w:t>Enpara Bank A.Ş.</w:t>
      </w:r>
      <w:bookmarkEnd w:id="0"/>
      <w:r w:rsidR="00C15ED8" w:rsidRPr="006E0E80">
        <w:rPr>
          <w:rFonts w:ascii="Arial" w:hAnsi="Arial" w:cs="Arial"/>
          <w:sz w:val="22"/>
          <w:szCs w:val="22"/>
        </w:rPr>
        <w:t>"ye faaliyet izni verilmiştir. QNB Finansbank A.Ş.’nin ticari unvanı "QNB Bank A.Ş." olarak değişmiştir.</w:t>
      </w:r>
    </w:p>
    <w:p w14:paraId="3AA61326" w14:textId="77777777" w:rsidR="00791D3A" w:rsidRPr="006E0E80" w:rsidRDefault="00F607F2" w:rsidP="00347492">
      <w:pPr>
        <w:pStyle w:val="Heading9"/>
        <w:rPr>
          <w:rFonts w:ascii="Arial" w:hAnsi="Arial" w:cs="Arial"/>
          <w:szCs w:val="22"/>
        </w:rPr>
      </w:pPr>
      <w:r w:rsidRPr="006E0E80">
        <w:rPr>
          <w:rFonts w:ascii="Arial" w:hAnsi="Arial" w:cs="Arial"/>
          <w:szCs w:val="22"/>
        </w:rPr>
        <w:t xml:space="preserve">Banka </w:t>
      </w:r>
      <w:r w:rsidR="00D6687F" w:rsidRPr="006E0E80">
        <w:rPr>
          <w:rFonts w:ascii="Arial" w:hAnsi="Arial" w:cs="Arial"/>
          <w:szCs w:val="22"/>
        </w:rPr>
        <w:t>Sayısı</w:t>
      </w:r>
    </w:p>
    <w:p w14:paraId="10395E1E" w14:textId="77777777" w:rsidR="001A7963" w:rsidRPr="00413229" w:rsidRDefault="00C15ED8" w:rsidP="00C51D32">
      <w:pPr>
        <w:jc w:val="center"/>
        <w:rPr>
          <w:color w:val="00B050"/>
          <w:lang w:eastAsia="tr-TR"/>
        </w:rPr>
      </w:pPr>
      <w:r w:rsidRPr="00413229">
        <w:rPr>
          <w:noProof/>
          <w:color w:val="00B050"/>
          <w:lang w:eastAsia="tr-TR"/>
        </w:rPr>
        <w:drawing>
          <wp:inline distT="0" distB="0" distL="0" distR="0" wp14:anchorId="614DF4EF" wp14:editId="44FD2ACC">
            <wp:extent cx="5059045" cy="1480820"/>
            <wp:effectExtent l="0" t="0" r="8255" b="5080"/>
            <wp:docPr id="179444333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3DC590D" w14:textId="77777777" w:rsidR="00887EA6" w:rsidRPr="006E0E80" w:rsidRDefault="00C71351" w:rsidP="004B1D72">
      <w:pPr>
        <w:jc w:val="both"/>
        <w:rPr>
          <w:rFonts w:ascii="Arial" w:hAnsi="Arial" w:cs="Arial"/>
          <w:i/>
          <w:sz w:val="16"/>
          <w:szCs w:val="16"/>
        </w:rPr>
      </w:pPr>
      <w:r w:rsidRPr="00413229">
        <w:rPr>
          <w:rFonts w:ascii="Arial" w:hAnsi="Arial" w:cs="Arial"/>
          <w:i/>
          <w:color w:val="00B050"/>
          <w:sz w:val="16"/>
          <w:szCs w:val="16"/>
        </w:rPr>
        <w:t xml:space="preserve"> </w:t>
      </w:r>
      <w:r w:rsidR="00D6687F" w:rsidRPr="006E0E80">
        <w:rPr>
          <w:rFonts w:ascii="Arial" w:hAnsi="Arial" w:cs="Arial"/>
          <w:i/>
          <w:sz w:val="16"/>
          <w:szCs w:val="16"/>
        </w:rPr>
        <w:t>*</w:t>
      </w:r>
      <w:r w:rsidR="00A57A7F" w:rsidRPr="006E0E80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14:paraId="37510B62" w14:textId="77777777" w:rsidR="004B1D72" w:rsidRPr="006E0E80" w:rsidRDefault="004B1D72" w:rsidP="002D2BBC">
      <w:pPr>
        <w:rPr>
          <w:rFonts w:ascii="Arial" w:hAnsi="Arial" w:cs="Arial"/>
          <w:b/>
          <w:sz w:val="22"/>
          <w:szCs w:val="22"/>
        </w:rPr>
      </w:pPr>
    </w:p>
    <w:p w14:paraId="3B2E8944" w14:textId="77777777" w:rsidR="00182687" w:rsidRPr="006E0E80" w:rsidRDefault="007E18B2" w:rsidP="002D2BBC">
      <w:pPr>
        <w:rPr>
          <w:rFonts w:ascii="Arial" w:hAnsi="Arial" w:cs="Arial"/>
          <w:b/>
          <w:sz w:val="22"/>
          <w:szCs w:val="22"/>
        </w:rPr>
      </w:pPr>
      <w:r w:rsidRPr="006E0E80">
        <w:rPr>
          <w:rFonts w:ascii="Arial" w:hAnsi="Arial" w:cs="Arial"/>
          <w:b/>
          <w:sz w:val="22"/>
          <w:szCs w:val="22"/>
        </w:rPr>
        <w:t>Çalışan Sayısı</w:t>
      </w:r>
    </w:p>
    <w:p w14:paraId="0354C74E" w14:textId="77777777" w:rsidR="009C1771" w:rsidRPr="006E0E80" w:rsidRDefault="009C1771" w:rsidP="002D2BBC">
      <w:pPr>
        <w:rPr>
          <w:rFonts w:ascii="Arial" w:hAnsi="Arial" w:cs="Arial"/>
          <w:b/>
          <w:sz w:val="22"/>
          <w:szCs w:val="22"/>
        </w:rPr>
      </w:pPr>
    </w:p>
    <w:p w14:paraId="666EA764" w14:textId="0D0065AB" w:rsidR="00853C66" w:rsidRPr="006E0E80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>Çalışan sayısı</w:t>
      </w:r>
      <w:r w:rsidR="003F4F1F" w:rsidRPr="006E0E80">
        <w:rPr>
          <w:rFonts w:ascii="Arial" w:hAnsi="Arial" w:cs="Arial"/>
          <w:sz w:val="22"/>
          <w:szCs w:val="22"/>
        </w:rPr>
        <w:t>,</w:t>
      </w:r>
      <w:r w:rsidRPr="006E0E80">
        <w:rPr>
          <w:rFonts w:ascii="Arial" w:hAnsi="Arial" w:cs="Arial"/>
          <w:sz w:val="22"/>
          <w:szCs w:val="22"/>
        </w:rPr>
        <w:t xml:space="preserve"> </w:t>
      </w:r>
      <w:r w:rsidR="00413229" w:rsidRPr="006E0E80">
        <w:rPr>
          <w:rFonts w:ascii="Arial" w:hAnsi="Arial" w:cs="Arial"/>
          <w:sz w:val="22"/>
          <w:szCs w:val="22"/>
        </w:rPr>
        <w:t>Eylül</w:t>
      </w:r>
      <w:r w:rsidR="00036474" w:rsidRPr="006E0E80">
        <w:rPr>
          <w:rFonts w:ascii="Arial" w:hAnsi="Arial" w:cs="Arial"/>
          <w:sz w:val="22"/>
          <w:szCs w:val="22"/>
        </w:rPr>
        <w:t xml:space="preserve"> 2024</w:t>
      </w:r>
      <w:r w:rsidR="00446707" w:rsidRPr="006E0E80">
        <w:rPr>
          <w:rFonts w:ascii="Arial" w:hAnsi="Arial" w:cs="Arial"/>
          <w:sz w:val="22"/>
          <w:szCs w:val="22"/>
        </w:rPr>
        <w:t xml:space="preserve"> </w:t>
      </w:r>
      <w:r w:rsidR="00853C66" w:rsidRPr="006E0E80">
        <w:rPr>
          <w:rFonts w:ascii="Arial" w:hAnsi="Arial" w:cs="Arial"/>
          <w:sz w:val="22"/>
          <w:szCs w:val="22"/>
        </w:rPr>
        <w:t>itibariyle</w:t>
      </w:r>
      <w:r w:rsidR="00AF5D59" w:rsidRPr="006E0E80">
        <w:rPr>
          <w:rFonts w:ascii="Arial" w:hAnsi="Arial" w:cs="Arial"/>
          <w:sz w:val="22"/>
          <w:szCs w:val="22"/>
        </w:rPr>
        <w:t xml:space="preserve"> </w:t>
      </w:r>
      <w:r w:rsidRPr="006E0E80">
        <w:rPr>
          <w:rFonts w:ascii="Arial" w:hAnsi="Arial" w:cs="Arial"/>
          <w:sz w:val="22"/>
          <w:szCs w:val="22"/>
        </w:rPr>
        <w:t xml:space="preserve">mevduat bankaları ile kalkınma ve yatırım bankalarında </w:t>
      </w:r>
      <w:r w:rsidR="00D178E6" w:rsidRPr="006E0E80">
        <w:rPr>
          <w:rFonts w:ascii="Arial" w:hAnsi="Arial" w:cs="Arial"/>
          <w:sz w:val="22"/>
          <w:szCs w:val="22"/>
        </w:rPr>
        <w:t>188.56</w:t>
      </w:r>
      <w:r w:rsidR="00C22907">
        <w:rPr>
          <w:rFonts w:ascii="Arial" w:hAnsi="Arial" w:cs="Arial"/>
          <w:sz w:val="22"/>
          <w:szCs w:val="22"/>
        </w:rPr>
        <w:t>6</w:t>
      </w:r>
      <w:r w:rsidR="003F4F1F" w:rsidRPr="006E0E80">
        <w:rPr>
          <w:rFonts w:ascii="Arial" w:hAnsi="Arial" w:cs="Arial"/>
          <w:sz w:val="22"/>
          <w:szCs w:val="22"/>
        </w:rPr>
        <w:t xml:space="preserve"> </w:t>
      </w:r>
      <w:r w:rsidRPr="006E0E80">
        <w:rPr>
          <w:rFonts w:ascii="Arial" w:hAnsi="Arial" w:cs="Arial"/>
          <w:sz w:val="22"/>
          <w:szCs w:val="22"/>
        </w:rPr>
        <w:t xml:space="preserve">kişi olmuştur. </w:t>
      </w:r>
    </w:p>
    <w:p w14:paraId="3E18A00A" w14:textId="77777777" w:rsidR="00847B56" w:rsidRPr="006E0E80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14:paraId="51C08203" w14:textId="363E1526" w:rsidR="00B15F05" w:rsidRPr="00EF131E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>Çalışan sayısı</w:t>
      </w:r>
      <w:r w:rsidR="00A72DF6" w:rsidRPr="006E0E80">
        <w:rPr>
          <w:rFonts w:ascii="Arial" w:hAnsi="Arial" w:cs="Arial"/>
          <w:sz w:val="22"/>
          <w:szCs w:val="22"/>
        </w:rPr>
        <w:t xml:space="preserve"> </w:t>
      </w:r>
      <w:r w:rsidR="00EF6D07" w:rsidRPr="006E0E80">
        <w:rPr>
          <w:rFonts w:ascii="Arial" w:hAnsi="Arial" w:cs="Arial"/>
          <w:sz w:val="22"/>
          <w:szCs w:val="22"/>
        </w:rPr>
        <w:t xml:space="preserve">bir </w:t>
      </w:r>
      <w:r w:rsidR="00AD13BC" w:rsidRPr="006E0E80">
        <w:rPr>
          <w:rFonts w:ascii="Arial" w:hAnsi="Arial" w:cs="Arial"/>
          <w:sz w:val="22"/>
          <w:szCs w:val="22"/>
        </w:rPr>
        <w:t>önceki</w:t>
      </w:r>
      <w:r w:rsidR="00BD5935" w:rsidRPr="006E0E80">
        <w:rPr>
          <w:rFonts w:ascii="Arial" w:hAnsi="Arial" w:cs="Arial"/>
          <w:sz w:val="22"/>
          <w:szCs w:val="22"/>
        </w:rPr>
        <w:t xml:space="preserve"> çeyreğe göre </w:t>
      </w:r>
      <w:r w:rsidR="00D178E6" w:rsidRPr="006E0E80">
        <w:rPr>
          <w:rFonts w:ascii="Arial" w:hAnsi="Arial" w:cs="Arial"/>
          <w:sz w:val="22"/>
          <w:szCs w:val="22"/>
        </w:rPr>
        <w:t>1.02</w:t>
      </w:r>
      <w:r w:rsidR="00C22907">
        <w:rPr>
          <w:rFonts w:ascii="Arial" w:hAnsi="Arial" w:cs="Arial"/>
          <w:sz w:val="22"/>
          <w:szCs w:val="22"/>
        </w:rPr>
        <w:t>6</w:t>
      </w:r>
      <w:r w:rsidR="00BD5935" w:rsidRPr="006E0E80">
        <w:rPr>
          <w:rFonts w:ascii="Arial" w:hAnsi="Arial" w:cs="Arial"/>
          <w:sz w:val="22"/>
          <w:szCs w:val="22"/>
        </w:rPr>
        <w:t xml:space="preserve"> kişi</w:t>
      </w:r>
      <w:r w:rsidR="00B15F05" w:rsidRPr="006E0E80">
        <w:rPr>
          <w:rFonts w:ascii="Arial" w:hAnsi="Arial" w:cs="Arial"/>
          <w:sz w:val="22"/>
          <w:szCs w:val="22"/>
        </w:rPr>
        <w:t xml:space="preserve"> </w:t>
      </w:r>
      <w:r w:rsidR="00E55F64" w:rsidRPr="006E0E80">
        <w:rPr>
          <w:rFonts w:ascii="Arial" w:hAnsi="Arial" w:cs="Arial"/>
          <w:sz w:val="22"/>
          <w:szCs w:val="22"/>
        </w:rPr>
        <w:t>azalırken</w:t>
      </w:r>
      <w:r w:rsidR="00BD5935" w:rsidRPr="006E0E80">
        <w:rPr>
          <w:rFonts w:ascii="Arial" w:hAnsi="Arial" w:cs="Arial"/>
          <w:sz w:val="22"/>
          <w:szCs w:val="22"/>
        </w:rPr>
        <w:t>,</w:t>
      </w:r>
      <w:r w:rsidR="00AD13BC" w:rsidRPr="006E0E80">
        <w:rPr>
          <w:rFonts w:ascii="Arial" w:hAnsi="Arial" w:cs="Arial"/>
          <w:sz w:val="22"/>
          <w:szCs w:val="22"/>
        </w:rPr>
        <w:t xml:space="preserve"> </w:t>
      </w:r>
      <w:r w:rsidR="001538E9" w:rsidRPr="006E0E80">
        <w:rPr>
          <w:rFonts w:ascii="Arial" w:hAnsi="Arial" w:cs="Arial"/>
          <w:sz w:val="22"/>
          <w:szCs w:val="22"/>
        </w:rPr>
        <w:t xml:space="preserve">bir önceki yılın aynı dönemine </w:t>
      </w:r>
      <w:r w:rsidR="003F743F" w:rsidRPr="006E0E80">
        <w:rPr>
          <w:rFonts w:ascii="Arial" w:hAnsi="Arial" w:cs="Arial"/>
          <w:sz w:val="22"/>
          <w:szCs w:val="22"/>
        </w:rPr>
        <w:t>göre</w:t>
      </w:r>
      <w:r w:rsidR="00D916E1" w:rsidRPr="006E0E80">
        <w:rPr>
          <w:rFonts w:ascii="Arial" w:hAnsi="Arial" w:cs="Arial"/>
          <w:sz w:val="22"/>
          <w:szCs w:val="22"/>
        </w:rPr>
        <w:t xml:space="preserve"> </w:t>
      </w:r>
      <w:r w:rsidR="001538E9" w:rsidRPr="006E0E80">
        <w:rPr>
          <w:rFonts w:ascii="Arial" w:hAnsi="Arial" w:cs="Arial"/>
          <w:sz w:val="22"/>
          <w:szCs w:val="22"/>
        </w:rPr>
        <w:t xml:space="preserve">ise </w:t>
      </w:r>
      <w:r w:rsidR="00D178E6" w:rsidRPr="006E0E80">
        <w:rPr>
          <w:rFonts w:ascii="Arial" w:hAnsi="Arial" w:cs="Arial"/>
          <w:sz w:val="22"/>
          <w:szCs w:val="22"/>
        </w:rPr>
        <w:t>68</w:t>
      </w:r>
      <w:r w:rsidR="00C22907">
        <w:rPr>
          <w:rFonts w:ascii="Arial" w:hAnsi="Arial" w:cs="Arial"/>
          <w:sz w:val="22"/>
          <w:szCs w:val="22"/>
        </w:rPr>
        <w:t>6</w:t>
      </w:r>
      <w:r w:rsidR="00960E9C" w:rsidRPr="006E0E80">
        <w:rPr>
          <w:rFonts w:ascii="Arial" w:hAnsi="Arial" w:cs="Arial"/>
          <w:sz w:val="22"/>
          <w:szCs w:val="22"/>
        </w:rPr>
        <w:t xml:space="preserve"> </w:t>
      </w:r>
      <w:r w:rsidR="00506638" w:rsidRPr="006E0E80">
        <w:rPr>
          <w:rFonts w:ascii="Arial" w:hAnsi="Arial" w:cs="Arial"/>
          <w:sz w:val="22"/>
          <w:szCs w:val="22"/>
        </w:rPr>
        <w:t>kişi</w:t>
      </w:r>
      <w:r w:rsidR="009D43DC" w:rsidRPr="006E0E80">
        <w:rPr>
          <w:rFonts w:ascii="Arial" w:hAnsi="Arial" w:cs="Arial"/>
          <w:sz w:val="22"/>
          <w:szCs w:val="22"/>
        </w:rPr>
        <w:t xml:space="preserve"> </w:t>
      </w:r>
      <w:r w:rsidR="00D178E6" w:rsidRPr="006E0E80">
        <w:rPr>
          <w:rFonts w:ascii="Arial" w:hAnsi="Arial" w:cs="Arial"/>
          <w:sz w:val="22"/>
          <w:szCs w:val="22"/>
        </w:rPr>
        <w:t xml:space="preserve">azalmıştır. </w:t>
      </w:r>
      <w:r w:rsidR="004C7967" w:rsidRPr="006E0E80">
        <w:rPr>
          <w:rFonts w:ascii="Arial" w:hAnsi="Arial" w:cs="Arial"/>
          <w:sz w:val="22"/>
          <w:szCs w:val="22"/>
        </w:rPr>
        <w:t>Ç</w:t>
      </w:r>
      <w:r w:rsidR="00DB6AEE" w:rsidRPr="006E0E80">
        <w:rPr>
          <w:rFonts w:ascii="Arial" w:hAnsi="Arial" w:cs="Arial"/>
          <w:sz w:val="22"/>
          <w:szCs w:val="22"/>
        </w:rPr>
        <w:t>alışan sayısı</w:t>
      </w:r>
      <w:r w:rsidR="0096162D" w:rsidRPr="006E0E80">
        <w:rPr>
          <w:rFonts w:ascii="Arial" w:hAnsi="Arial" w:cs="Arial"/>
          <w:sz w:val="22"/>
          <w:szCs w:val="22"/>
        </w:rPr>
        <w:t xml:space="preserve"> </w:t>
      </w:r>
      <w:r w:rsidR="004C7967" w:rsidRPr="006E0E80">
        <w:rPr>
          <w:rFonts w:ascii="Arial" w:hAnsi="Arial" w:cs="Arial"/>
          <w:sz w:val="22"/>
          <w:szCs w:val="22"/>
        </w:rPr>
        <w:t xml:space="preserve">geçen yılın aynı dönemine göre </w:t>
      </w:r>
      <w:r w:rsidR="00180C8C" w:rsidRPr="006E0E80">
        <w:rPr>
          <w:rFonts w:ascii="Arial" w:hAnsi="Arial" w:cs="Arial"/>
          <w:sz w:val="22"/>
          <w:szCs w:val="22"/>
        </w:rPr>
        <w:t xml:space="preserve">mevduat bankalarında </w:t>
      </w:r>
      <w:r w:rsidR="00D178E6" w:rsidRPr="006E0E80">
        <w:rPr>
          <w:rFonts w:ascii="Arial" w:hAnsi="Arial" w:cs="Arial"/>
          <w:sz w:val="22"/>
          <w:szCs w:val="22"/>
        </w:rPr>
        <w:t>1.04</w:t>
      </w:r>
      <w:r w:rsidR="00C22907">
        <w:rPr>
          <w:rFonts w:ascii="Arial" w:hAnsi="Arial" w:cs="Arial"/>
          <w:sz w:val="22"/>
          <w:szCs w:val="22"/>
        </w:rPr>
        <w:t>1</w:t>
      </w:r>
      <w:r w:rsidR="00180C8C" w:rsidRPr="006E0E80">
        <w:rPr>
          <w:rFonts w:ascii="Arial" w:hAnsi="Arial" w:cs="Arial"/>
          <w:sz w:val="22"/>
          <w:szCs w:val="22"/>
        </w:rPr>
        <w:t xml:space="preserve"> </w:t>
      </w:r>
      <w:r w:rsidR="00BF30F2" w:rsidRPr="006E0E80">
        <w:rPr>
          <w:rFonts w:ascii="Arial" w:hAnsi="Arial" w:cs="Arial"/>
          <w:sz w:val="22"/>
          <w:szCs w:val="22"/>
        </w:rPr>
        <w:t>kişi</w:t>
      </w:r>
      <w:r w:rsidR="00D178E6" w:rsidRPr="006E0E80">
        <w:rPr>
          <w:rFonts w:ascii="Arial" w:hAnsi="Arial" w:cs="Arial"/>
          <w:sz w:val="22"/>
          <w:szCs w:val="22"/>
        </w:rPr>
        <w:t xml:space="preserve"> azalırken</w:t>
      </w:r>
      <w:r w:rsidR="00DB6AEE" w:rsidRPr="006E0E80">
        <w:rPr>
          <w:rFonts w:ascii="Arial" w:hAnsi="Arial" w:cs="Arial"/>
          <w:sz w:val="22"/>
          <w:szCs w:val="22"/>
        </w:rPr>
        <w:t xml:space="preserve">; </w:t>
      </w:r>
      <w:r w:rsidR="002C25F2" w:rsidRPr="006E0E80">
        <w:rPr>
          <w:rFonts w:ascii="Arial" w:hAnsi="Arial" w:cs="Arial"/>
          <w:sz w:val="22"/>
          <w:szCs w:val="22"/>
        </w:rPr>
        <w:t xml:space="preserve">kalkınma ve </w:t>
      </w:r>
      <w:r w:rsidR="00180C8C" w:rsidRPr="006E0E80">
        <w:rPr>
          <w:rFonts w:ascii="Arial" w:hAnsi="Arial" w:cs="Arial"/>
          <w:sz w:val="22"/>
          <w:szCs w:val="22"/>
        </w:rPr>
        <w:t xml:space="preserve">yatırım bankalarında ise </w:t>
      </w:r>
      <w:r w:rsidR="00D178E6" w:rsidRPr="006E0E80">
        <w:rPr>
          <w:rFonts w:ascii="Arial" w:hAnsi="Arial" w:cs="Arial"/>
          <w:sz w:val="22"/>
          <w:szCs w:val="22"/>
        </w:rPr>
        <w:t xml:space="preserve">355 </w:t>
      </w:r>
      <w:r w:rsidR="002C25F2" w:rsidRPr="006E0E80">
        <w:rPr>
          <w:rFonts w:ascii="Arial" w:hAnsi="Arial" w:cs="Arial"/>
          <w:sz w:val="22"/>
          <w:szCs w:val="22"/>
        </w:rPr>
        <w:t>kişi artmıştır.</w:t>
      </w:r>
    </w:p>
    <w:p w14:paraId="614899E2" w14:textId="77777777" w:rsidR="00DB6AEE" w:rsidRPr="00EF131E" w:rsidRDefault="00DB6AEE" w:rsidP="005A181C">
      <w:pPr>
        <w:jc w:val="center"/>
        <w:rPr>
          <w:rFonts w:ascii="Arial" w:hAnsi="Arial" w:cs="Arial"/>
          <w:b/>
          <w:sz w:val="22"/>
          <w:szCs w:val="22"/>
        </w:rPr>
      </w:pPr>
    </w:p>
    <w:p w14:paraId="3944696A" w14:textId="77777777" w:rsidR="00E01A01" w:rsidRPr="006E0E80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6E0E80">
        <w:rPr>
          <w:rFonts w:ascii="Arial" w:hAnsi="Arial" w:cs="Arial"/>
          <w:b/>
          <w:sz w:val="22"/>
          <w:szCs w:val="22"/>
        </w:rPr>
        <w:t>Çalışan</w:t>
      </w:r>
      <w:r w:rsidR="005E6C7F" w:rsidRPr="006E0E80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6E0E80">
        <w:rPr>
          <w:rFonts w:ascii="Arial" w:hAnsi="Arial" w:cs="Arial"/>
          <w:b/>
          <w:sz w:val="22"/>
          <w:szCs w:val="22"/>
        </w:rPr>
        <w:t xml:space="preserve"> </w:t>
      </w:r>
      <w:r w:rsidR="008E38C6" w:rsidRPr="006E0E80">
        <w:rPr>
          <w:rFonts w:ascii="Arial" w:hAnsi="Arial" w:cs="Arial"/>
          <w:b/>
          <w:sz w:val="22"/>
          <w:szCs w:val="22"/>
        </w:rPr>
        <w:t>(bin kişi)</w:t>
      </w:r>
    </w:p>
    <w:p w14:paraId="108CDA15" w14:textId="77777777" w:rsidR="00407F5D" w:rsidRPr="006B20CA" w:rsidRDefault="00D178E6" w:rsidP="005A18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5B6126E" wp14:editId="24EDCDAB">
            <wp:extent cx="3909060" cy="2293620"/>
            <wp:effectExtent l="0" t="0" r="0" b="0"/>
            <wp:docPr id="13700598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AA6C09F-8C28-FDED-3CDD-5D565D792E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697118D" w14:textId="77777777" w:rsidR="00F12A2B" w:rsidRPr="006B20CA" w:rsidRDefault="00F12A2B" w:rsidP="00C33E75">
      <w:pPr>
        <w:jc w:val="center"/>
        <w:rPr>
          <w:rFonts w:ascii="Arial" w:hAnsi="Arial" w:cs="Arial"/>
          <w:b/>
          <w:sz w:val="22"/>
          <w:szCs w:val="22"/>
        </w:rPr>
      </w:pPr>
    </w:p>
    <w:p w14:paraId="6C89115B" w14:textId="77777777" w:rsidR="004C7967" w:rsidRDefault="004C7967" w:rsidP="003E6ADC">
      <w:pPr>
        <w:jc w:val="both"/>
        <w:rPr>
          <w:rFonts w:ascii="Arial" w:hAnsi="Arial" w:cs="Arial"/>
          <w:b/>
          <w:sz w:val="22"/>
          <w:szCs w:val="22"/>
        </w:rPr>
      </w:pPr>
    </w:p>
    <w:p w14:paraId="616BC6AB" w14:textId="77777777" w:rsidR="00D837A0" w:rsidRDefault="00D837A0" w:rsidP="003E6ADC">
      <w:pPr>
        <w:jc w:val="both"/>
        <w:rPr>
          <w:rFonts w:ascii="Arial" w:hAnsi="Arial" w:cs="Arial"/>
          <w:b/>
          <w:color w:val="00B050"/>
          <w:sz w:val="22"/>
          <w:szCs w:val="22"/>
        </w:rPr>
      </w:pPr>
    </w:p>
    <w:p w14:paraId="6966D710" w14:textId="77777777" w:rsidR="006E0E80" w:rsidRDefault="006E0E80" w:rsidP="003E6ADC">
      <w:pPr>
        <w:jc w:val="both"/>
        <w:rPr>
          <w:rFonts w:ascii="Arial" w:hAnsi="Arial" w:cs="Arial"/>
          <w:b/>
          <w:sz w:val="22"/>
          <w:szCs w:val="22"/>
        </w:rPr>
      </w:pPr>
    </w:p>
    <w:p w14:paraId="7EB17CA3" w14:textId="28CD5C9E" w:rsidR="003E6ADC" w:rsidRPr="006E0E80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6E0E80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6E0E80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6E0E80">
        <w:rPr>
          <w:rFonts w:ascii="Arial" w:hAnsi="Arial" w:cs="Arial"/>
          <w:b/>
          <w:sz w:val="22"/>
          <w:szCs w:val="22"/>
        </w:rPr>
        <w:t>Çalışan</w:t>
      </w:r>
      <w:r w:rsidR="00DC24FD" w:rsidRPr="006E0E80">
        <w:rPr>
          <w:rFonts w:ascii="Arial" w:hAnsi="Arial" w:cs="Arial"/>
          <w:b/>
          <w:sz w:val="22"/>
          <w:szCs w:val="22"/>
        </w:rPr>
        <w:t xml:space="preserve"> Sayısı</w:t>
      </w:r>
    </w:p>
    <w:p w14:paraId="7A077658" w14:textId="77777777" w:rsidR="000D3522" w:rsidRPr="006E0E80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14:paraId="0B53F500" w14:textId="77777777" w:rsidR="001B24FF" w:rsidRPr="006E0E80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 xml:space="preserve">Bankacılık sektöründe kadın çalışan oranı yüzde </w:t>
      </w:r>
      <w:r w:rsidR="00760004" w:rsidRPr="006E0E80">
        <w:rPr>
          <w:rFonts w:ascii="Arial" w:hAnsi="Arial" w:cs="Arial"/>
          <w:sz w:val="22"/>
          <w:szCs w:val="22"/>
        </w:rPr>
        <w:t>51,1</w:t>
      </w:r>
      <w:r w:rsidRPr="006E0E80">
        <w:rPr>
          <w:rFonts w:ascii="Arial" w:hAnsi="Arial" w:cs="Arial"/>
          <w:sz w:val="22"/>
          <w:szCs w:val="22"/>
        </w:rPr>
        <w:t>, erkek çalışan oranı ise yüzde 4</w:t>
      </w:r>
      <w:r w:rsidR="00760004" w:rsidRPr="006E0E80">
        <w:rPr>
          <w:rFonts w:ascii="Arial" w:hAnsi="Arial" w:cs="Arial"/>
          <w:sz w:val="22"/>
          <w:szCs w:val="22"/>
        </w:rPr>
        <w:t>8,9</w:t>
      </w:r>
      <w:r w:rsidR="00F90721" w:rsidRPr="006E0E80">
        <w:rPr>
          <w:rFonts w:ascii="Arial" w:hAnsi="Arial" w:cs="Arial"/>
          <w:sz w:val="22"/>
          <w:szCs w:val="22"/>
        </w:rPr>
        <w:t>’</w:t>
      </w:r>
      <w:r w:rsidR="00E35812" w:rsidRPr="006E0E80">
        <w:rPr>
          <w:rFonts w:ascii="Arial" w:hAnsi="Arial" w:cs="Arial"/>
          <w:sz w:val="22"/>
          <w:szCs w:val="22"/>
        </w:rPr>
        <w:t>d</w:t>
      </w:r>
      <w:r w:rsidR="00760004" w:rsidRPr="006E0E80">
        <w:rPr>
          <w:rFonts w:ascii="Arial" w:hAnsi="Arial" w:cs="Arial"/>
          <w:sz w:val="22"/>
          <w:szCs w:val="22"/>
        </w:rPr>
        <w:t>ur.</w:t>
      </w:r>
    </w:p>
    <w:p w14:paraId="2EEAAB30" w14:textId="77777777" w:rsidR="00F21F4F" w:rsidRPr="00EF131E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14:paraId="7BB60E06" w14:textId="77777777" w:rsidR="00760004" w:rsidRPr="006E0E80" w:rsidRDefault="00413229" w:rsidP="00760004">
      <w:pPr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>Eylül</w:t>
      </w:r>
      <w:r w:rsidR="00036474" w:rsidRPr="006E0E80">
        <w:rPr>
          <w:rFonts w:ascii="Arial" w:hAnsi="Arial" w:cs="Arial"/>
          <w:sz w:val="22"/>
          <w:szCs w:val="22"/>
        </w:rPr>
        <w:t xml:space="preserve"> 2024</w:t>
      </w:r>
      <w:r w:rsidR="00AD13BC" w:rsidRPr="006E0E80">
        <w:rPr>
          <w:rFonts w:ascii="Arial" w:hAnsi="Arial" w:cs="Arial"/>
          <w:sz w:val="22"/>
          <w:szCs w:val="22"/>
        </w:rPr>
        <w:t xml:space="preserve"> itibariyle</w:t>
      </w:r>
      <w:r w:rsidR="001B24FF" w:rsidRPr="006E0E80">
        <w:rPr>
          <w:rFonts w:ascii="Arial" w:hAnsi="Arial" w:cs="Arial"/>
          <w:sz w:val="22"/>
          <w:szCs w:val="22"/>
        </w:rPr>
        <w:t xml:space="preserve"> çalışanların </w:t>
      </w:r>
      <w:r w:rsidR="0062278D" w:rsidRPr="006E0E80">
        <w:rPr>
          <w:rFonts w:ascii="Arial" w:hAnsi="Arial" w:cs="Arial"/>
          <w:sz w:val="22"/>
          <w:szCs w:val="22"/>
        </w:rPr>
        <w:t xml:space="preserve">yüzde </w:t>
      </w:r>
      <w:r w:rsidR="00F32809" w:rsidRPr="006E0E80">
        <w:rPr>
          <w:rFonts w:ascii="Arial" w:hAnsi="Arial" w:cs="Arial"/>
          <w:sz w:val="22"/>
          <w:szCs w:val="22"/>
        </w:rPr>
        <w:t>79’u</w:t>
      </w:r>
      <w:r w:rsidR="0062278D" w:rsidRPr="006E0E80">
        <w:rPr>
          <w:rFonts w:ascii="Arial" w:hAnsi="Arial" w:cs="Arial"/>
          <w:sz w:val="22"/>
          <w:szCs w:val="22"/>
        </w:rPr>
        <w:t xml:space="preserve"> yükseköğretim kurumları mezunu</w:t>
      </w:r>
      <w:r w:rsidR="0054116E" w:rsidRPr="006E0E80">
        <w:rPr>
          <w:rFonts w:ascii="Arial" w:hAnsi="Arial" w:cs="Arial"/>
          <w:sz w:val="22"/>
          <w:szCs w:val="22"/>
        </w:rPr>
        <w:t xml:space="preserve"> iken</w:t>
      </w:r>
      <w:r w:rsidR="0062278D" w:rsidRPr="006E0E80">
        <w:rPr>
          <w:rFonts w:ascii="Arial" w:hAnsi="Arial" w:cs="Arial"/>
          <w:sz w:val="22"/>
          <w:szCs w:val="22"/>
        </w:rPr>
        <w:t xml:space="preserve">, yüzde </w:t>
      </w:r>
      <w:r w:rsidR="00760004" w:rsidRPr="006E0E80">
        <w:rPr>
          <w:rFonts w:ascii="Arial" w:hAnsi="Arial" w:cs="Arial"/>
          <w:sz w:val="22"/>
          <w:szCs w:val="22"/>
        </w:rPr>
        <w:t>9’u</w:t>
      </w:r>
      <w:r w:rsidR="0062278D" w:rsidRPr="006E0E80">
        <w:rPr>
          <w:rFonts w:ascii="Arial" w:hAnsi="Arial" w:cs="Arial"/>
          <w:sz w:val="22"/>
          <w:szCs w:val="22"/>
        </w:rPr>
        <w:t xml:space="preserve"> ise yüksek lisans ve doktora</w:t>
      </w:r>
      <w:r w:rsidR="003F743F" w:rsidRPr="006E0E80">
        <w:rPr>
          <w:rFonts w:ascii="Arial" w:hAnsi="Arial" w:cs="Arial"/>
          <w:sz w:val="22"/>
          <w:szCs w:val="22"/>
        </w:rPr>
        <w:t xml:space="preserve"> programlarını tamamlamıştır. </w:t>
      </w:r>
      <w:r w:rsidR="0062278D" w:rsidRPr="006E0E80">
        <w:rPr>
          <w:rFonts w:ascii="Arial" w:hAnsi="Arial" w:cs="Arial"/>
          <w:sz w:val="22"/>
          <w:szCs w:val="22"/>
        </w:rPr>
        <w:t xml:space="preserve">Bu oran orta öğretim için </w:t>
      </w:r>
      <w:r w:rsidR="001B24FF" w:rsidRPr="006E0E80">
        <w:rPr>
          <w:rFonts w:ascii="Arial" w:hAnsi="Arial" w:cs="Arial"/>
          <w:sz w:val="22"/>
          <w:szCs w:val="22"/>
        </w:rPr>
        <w:t xml:space="preserve">yüzde </w:t>
      </w:r>
      <w:r w:rsidR="00F32809" w:rsidRPr="006E0E80">
        <w:rPr>
          <w:rFonts w:ascii="Arial" w:hAnsi="Arial" w:cs="Arial"/>
          <w:sz w:val="22"/>
          <w:szCs w:val="22"/>
        </w:rPr>
        <w:t>11’dir</w:t>
      </w:r>
      <w:r w:rsidR="0062278D" w:rsidRPr="006E0E80">
        <w:rPr>
          <w:rFonts w:ascii="Arial" w:hAnsi="Arial" w:cs="Arial"/>
          <w:sz w:val="22"/>
          <w:szCs w:val="22"/>
        </w:rPr>
        <w:t>.</w:t>
      </w:r>
      <w:r w:rsidR="001B24FF" w:rsidRPr="006E0E80">
        <w:rPr>
          <w:rFonts w:ascii="Arial" w:hAnsi="Arial" w:cs="Arial"/>
          <w:sz w:val="22"/>
          <w:szCs w:val="22"/>
        </w:rPr>
        <w:t xml:space="preserve"> </w:t>
      </w:r>
    </w:p>
    <w:p w14:paraId="12450839" w14:textId="77777777" w:rsidR="00760004" w:rsidRPr="00EF131E" w:rsidRDefault="00760004" w:rsidP="00D352BA">
      <w:pPr>
        <w:tabs>
          <w:tab w:val="left" w:pos="5865"/>
        </w:tabs>
        <w:rPr>
          <w:rFonts w:ascii="Arial" w:hAnsi="Arial" w:cs="Arial"/>
          <w:b/>
          <w:sz w:val="10"/>
          <w:szCs w:val="10"/>
        </w:rPr>
      </w:pPr>
    </w:p>
    <w:p w14:paraId="7D5938E9" w14:textId="77777777" w:rsidR="00760004" w:rsidRDefault="00760004" w:rsidP="00D352BA">
      <w:pPr>
        <w:tabs>
          <w:tab w:val="left" w:pos="5865"/>
        </w:tabs>
        <w:rPr>
          <w:rFonts w:ascii="Arial" w:hAnsi="Arial" w:cs="Arial"/>
          <w:b/>
          <w:sz w:val="10"/>
          <w:szCs w:val="10"/>
        </w:rPr>
      </w:pPr>
    </w:p>
    <w:p w14:paraId="68EBF952" w14:textId="77777777" w:rsidR="006E0E80" w:rsidRPr="00EF131E" w:rsidRDefault="006E0E80" w:rsidP="00D352BA">
      <w:pPr>
        <w:tabs>
          <w:tab w:val="left" w:pos="5865"/>
        </w:tabs>
        <w:rPr>
          <w:rFonts w:ascii="Arial" w:hAnsi="Arial" w:cs="Arial"/>
          <w:b/>
          <w:sz w:val="10"/>
          <w:szCs w:val="10"/>
        </w:rPr>
      </w:pPr>
    </w:p>
    <w:p w14:paraId="62E94A6A" w14:textId="77777777" w:rsidR="00607FBA" w:rsidRPr="00EF131E" w:rsidRDefault="00D352BA" w:rsidP="00D352BA">
      <w:pPr>
        <w:tabs>
          <w:tab w:val="left" w:pos="5865"/>
        </w:tabs>
        <w:rPr>
          <w:rFonts w:ascii="Arial" w:hAnsi="Arial" w:cs="Arial"/>
          <w:b/>
          <w:sz w:val="10"/>
          <w:szCs w:val="10"/>
        </w:rPr>
      </w:pPr>
      <w:r w:rsidRPr="00EF131E">
        <w:rPr>
          <w:rFonts w:ascii="Arial" w:hAnsi="Arial" w:cs="Arial"/>
          <w:b/>
          <w:sz w:val="10"/>
          <w:szCs w:val="10"/>
        </w:rPr>
        <w:tab/>
      </w:r>
    </w:p>
    <w:p w14:paraId="2AD8A372" w14:textId="77777777" w:rsidR="00F32809" w:rsidRDefault="001A7C41" w:rsidP="00F32809">
      <w:pPr>
        <w:jc w:val="center"/>
        <w:rPr>
          <w:rFonts w:ascii="Arial" w:hAnsi="Arial" w:cs="Arial"/>
          <w:b/>
          <w:sz w:val="22"/>
          <w:szCs w:val="22"/>
        </w:rPr>
      </w:pPr>
      <w:r w:rsidRPr="006E0E80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6E0E80">
        <w:rPr>
          <w:rFonts w:ascii="Arial" w:hAnsi="Arial" w:cs="Arial"/>
          <w:b/>
          <w:sz w:val="22"/>
          <w:szCs w:val="22"/>
        </w:rPr>
        <w:t>Eğitim Durumuna</w:t>
      </w:r>
      <w:r w:rsidR="00013086" w:rsidRPr="006E0E80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6E0E80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6E0E80">
        <w:rPr>
          <w:rFonts w:ascii="Arial" w:hAnsi="Arial" w:cs="Arial"/>
          <w:b/>
          <w:sz w:val="22"/>
          <w:szCs w:val="22"/>
        </w:rPr>
        <w:t>Sayısı</w:t>
      </w:r>
    </w:p>
    <w:p w14:paraId="612DCCD7" w14:textId="77777777" w:rsidR="006E0E80" w:rsidRPr="006E0E80" w:rsidRDefault="006E0E80" w:rsidP="00F32809">
      <w:pPr>
        <w:jc w:val="center"/>
        <w:rPr>
          <w:rFonts w:ascii="Arial" w:hAnsi="Arial" w:cs="Arial"/>
          <w:b/>
          <w:sz w:val="22"/>
          <w:szCs w:val="22"/>
        </w:rPr>
      </w:pPr>
    </w:p>
    <w:p w14:paraId="54030535" w14:textId="77777777" w:rsidR="00353916" w:rsidRPr="00760004" w:rsidRDefault="00760004" w:rsidP="00760004">
      <w:pPr>
        <w:tabs>
          <w:tab w:val="left" w:pos="300"/>
        </w:tabs>
        <w:jc w:val="both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51F7EC71" wp14:editId="2F36844B">
            <wp:extent cx="2484120" cy="1684020"/>
            <wp:effectExtent l="0" t="0" r="0" b="0"/>
            <wp:docPr id="78183244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597DF189" wp14:editId="4FA7E8C3">
            <wp:extent cx="2560320" cy="1691640"/>
            <wp:effectExtent l="0" t="0" r="0" b="3810"/>
            <wp:docPr id="14779622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EBB652" w14:textId="77777777" w:rsidR="00215F57" w:rsidRPr="006B20CA" w:rsidRDefault="00215F57" w:rsidP="00E35812">
      <w:pPr>
        <w:jc w:val="both"/>
        <w:rPr>
          <w:rFonts w:ascii="Arial" w:hAnsi="Arial" w:cs="Arial"/>
          <w:sz w:val="22"/>
          <w:szCs w:val="22"/>
        </w:rPr>
      </w:pPr>
    </w:p>
    <w:p w14:paraId="77BE2920" w14:textId="77777777" w:rsidR="00760004" w:rsidRPr="006E0E80" w:rsidRDefault="00215F57" w:rsidP="00760004">
      <w:pPr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>B</w:t>
      </w:r>
      <w:r w:rsidR="00172211" w:rsidRPr="006E0E80">
        <w:rPr>
          <w:rFonts w:ascii="Arial" w:hAnsi="Arial" w:cs="Arial"/>
          <w:sz w:val="22"/>
          <w:szCs w:val="22"/>
        </w:rPr>
        <w:t>ankacılık sektöründe çalışanların yüzde 4</w:t>
      </w:r>
      <w:r w:rsidR="00760004" w:rsidRPr="006E0E80">
        <w:rPr>
          <w:rFonts w:ascii="Arial" w:hAnsi="Arial" w:cs="Arial"/>
          <w:sz w:val="22"/>
          <w:szCs w:val="22"/>
        </w:rPr>
        <w:t>4</w:t>
      </w:r>
      <w:r w:rsidR="008A1E5F" w:rsidRPr="006E0E80">
        <w:rPr>
          <w:rFonts w:ascii="Arial" w:hAnsi="Arial" w:cs="Arial"/>
          <w:sz w:val="22"/>
          <w:szCs w:val="22"/>
        </w:rPr>
        <w:t xml:space="preserve">’ü </w:t>
      </w:r>
      <w:r w:rsidR="00172211" w:rsidRPr="006E0E80">
        <w:rPr>
          <w:rFonts w:ascii="Arial" w:hAnsi="Arial" w:cs="Arial"/>
          <w:sz w:val="22"/>
          <w:szCs w:val="22"/>
        </w:rPr>
        <w:t xml:space="preserve">36-45 yaş aralığında, </w:t>
      </w:r>
      <w:r w:rsidR="002B2F7F" w:rsidRPr="006E0E80">
        <w:rPr>
          <w:rFonts w:ascii="Arial" w:hAnsi="Arial" w:cs="Arial"/>
          <w:sz w:val="22"/>
          <w:szCs w:val="22"/>
        </w:rPr>
        <w:t xml:space="preserve">yüzde </w:t>
      </w:r>
      <w:r w:rsidR="008A1E5F" w:rsidRPr="006E0E80">
        <w:rPr>
          <w:rFonts w:ascii="Arial" w:hAnsi="Arial" w:cs="Arial"/>
          <w:sz w:val="22"/>
          <w:szCs w:val="22"/>
        </w:rPr>
        <w:t>38’i</w:t>
      </w:r>
      <w:r w:rsidR="00172211" w:rsidRPr="006E0E80">
        <w:rPr>
          <w:rFonts w:ascii="Arial" w:hAnsi="Arial" w:cs="Arial"/>
          <w:sz w:val="22"/>
          <w:szCs w:val="22"/>
        </w:rPr>
        <w:t xml:space="preserve"> 26-35 yaş aralığındadır. </w:t>
      </w:r>
    </w:p>
    <w:p w14:paraId="553C9973" w14:textId="77777777" w:rsidR="00760004" w:rsidRPr="00EF131E" w:rsidRDefault="00760004" w:rsidP="008A1E5F">
      <w:pPr>
        <w:rPr>
          <w:rFonts w:ascii="Arial" w:hAnsi="Arial" w:cs="Arial"/>
          <w:b/>
          <w:sz w:val="22"/>
          <w:szCs w:val="22"/>
        </w:rPr>
      </w:pPr>
    </w:p>
    <w:p w14:paraId="10D7AF1E" w14:textId="77777777" w:rsidR="00D837A0" w:rsidRPr="00EF131E" w:rsidRDefault="00D837A0" w:rsidP="008A1E5F">
      <w:pPr>
        <w:rPr>
          <w:rFonts w:ascii="Arial" w:hAnsi="Arial" w:cs="Arial"/>
          <w:b/>
          <w:sz w:val="22"/>
          <w:szCs w:val="22"/>
        </w:rPr>
      </w:pPr>
    </w:p>
    <w:p w14:paraId="3D65B950" w14:textId="77777777" w:rsidR="00172211" w:rsidRPr="006E0E80" w:rsidRDefault="00FE3BB0" w:rsidP="00FE3BB0">
      <w:pPr>
        <w:jc w:val="center"/>
        <w:rPr>
          <w:rFonts w:ascii="Arial" w:hAnsi="Arial" w:cs="Arial"/>
          <w:b/>
          <w:sz w:val="22"/>
          <w:szCs w:val="22"/>
        </w:rPr>
      </w:pPr>
      <w:r w:rsidRPr="006E0E80">
        <w:rPr>
          <w:rFonts w:ascii="Arial" w:hAnsi="Arial" w:cs="Arial"/>
          <w:b/>
          <w:sz w:val="22"/>
          <w:szCs w:val="22"/>
        </w:rPr>
        <w:t xml:space="preserve">Yaş </w:t>
      </w:r>
      <w:r w:rsidR="00172211" w:rsidRPr="006E0E80">
        <w:rPr>
          <w:rFonts w:ascii="Arial" w:hAnsi="Arial" w:cs="Arial"/>
          <w:b/>
          <w:sz w:val="22"/>
          <w:szCs w:val="22"/>
        </w:rPr>
        <w:t>Dağılımına</w:t>
      </w:r>
      <w:r w:rsidRPr="006E0E80">
        <w:rPr>
          <w:rFonts w:ascii="Arial" w:hAnsi="Arial" w:cs="Arial"/>
          <w:b/>
          <w:sz w:val="22"/>
          <w:szCs w:val="22"/>
        </w:rPr>
        <w:t xml:space="preserve"> Göre Çalışan Sayısı</w:t>
      </w:r>
      <w:r w:rsidR="007D0275" w:rsidRPr="006E0E80">
        <w:rPr>
          <w:rFonts w:ascii="Arial" w:hAnsi="Arial" w:cs="Arial"/>
          <w:b/>
          <w:sz w:val="22"/>
          <w:szCs w:val="22"/>
        </w:rPr>
        <w:t>nın Dağılımı</w:t>
      </w:r>
      <w:r w:rsidR="00172211" w:rsidRPr="006E0E80">
        <w:rPr>
          <w:rFonts w:ascii="Arial" w:hAnsi="Arial" w:cs="Arial"/>
          <w:b/>
          <w:sz w:val="22"/>
          <w:szCs w:val="22"/>
        </w:rPr>
        <w:t xml:space="preserve"> (yüzde)</w:t>
      </w:r>
    </w:p>
    <w:p w14:paraId="0282FA5F" w14:textId="11EBEFC3" w:rsidR="006B20CA" w:rsidRDefault="006E0E80" w:rsidP="0076000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0433FCBF" wp14:editId="234BAA34">
            <wp:extent cx="4290060" cy="2545080"/>
            <wp:effectExtent l="0" t="0" r="0" b="7620"/>
            <wp:docPr id="15367725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5CBCCD9" w14:textId="77777777" w:rsidR="00D837A0" w:rsidRDefault="00D837A0" w:rsidP="009A0304">
      <w:pPr>
        <w:rPr>
          <w:rFonts w:ascii="Arial" w:hAnsi="Arial" w:cs="Arial"/>
          <w:b/>
          <w:color w:val="00B050"/>
          <w:sz w:val="22"/>
          <w:szCs w:val="22"/>
        </w:rPr>
      </w:pPr>
    </w:p>
    <w:p w14:paraId="267EA5D5" w14:textId="77777777" w:rsidR="00D837A0" w:rsidRDefault="00D837A0" w:rsidP="009A0304">
      <w:pPr>
        <w:rPr>
          <w:rFonts w:ascii="Arial" w:hAnsi="Arial" w:cs="Arial"/>
          <w:b/>
          <w:color w:val="00B050"/>
          <w:sz w:val="22"/>
          <w:szCs w:val="22"/>
        </w:rPr>
      </w:pPr>
    </w:p>
    <w:p w14:paraId="63ACB6AA" w14:textId="77777777" w:rsidR="00D837A0" w:rsidRDefault="00D837A0" w:rsidP="009A0304">
      <w:pPr>
        <w:rPr>
          <w:rFonts w:ascii="Arial" w:hAnsi="Arial" w:cs="Arial"/>
          <w:b/>
          <w:color w:val="00B050"/>
          <w:sz w:val="22"/>
          <w:szCs w:val="22"/>
        </w:rPr>
      </w:pPr>
    </w:p>
    <w:p w14:paraId="73E8933D" w14:textId="77777777" w:rsidR="00D837A0" w:rsidRDefault="00D837A0" w:rsidP="009A0304">
      <w:pPr>
        <w:rPr>
          <w:rFonts w:ascii="Arial" w:hAnsi="Arial" w:cs="Arial"/>
          <w:b/>
          <w:color w:val="00B050"/>
          <w:sz w:val="22"/>
          <w:szCs w:val="22"/>
        </w:rPr>
      </w:pPr>
    </w:p>
    <w:p w14:paraId="3C657230" w14:textId="77777777" w:rsidR="00D837A0" w:rsidRDefault="00D837A0" w:rsidP="009A0304">
      <w:pPr>
        <w:rPr>
          <w:rFonts w:ascii="Arial" w:hAnsi="Arial" w:cs="Arial"/>
          <w:b/>
          <w:color w:val="00B050"/>
          <w:sz w:val="22"/>
          <w:szCs w:val="22"/>
        </w:rPr>
      </w:pPr>
    </w:p>
    <w:p w14:paraId="1ADA6BFD" w14:textId="77777777" w:rsidR="00D837A0" w:rsidRDefault="00D837A0" w:rsidP="009A0304">
      <w:pPr>
        <w:rPr>
          <w:rFonts w:ascii="Arial" w:hAnsi="Arial" w:cs="Arial"/>
          <w:b/>
          <w:color w:val="00B050"/>
          <w:sz w:val="22"/>
          <w:szCs w:val="22"/>
        </w:rPr>
      </w:pPr>
    </w:p>
    <w:p w14:paraId="486D8680" w14:textId="77777777" w:rsidR="00D837A0" w:rsidRDefault="00D837A0" w:rsidP="009A0304">
      <w:pPr>
        <w:rPr>
          <w:rFonts w:ascii="Arial" w:hAnsi="Arial" w:cs="Arial"/>
          <w:b/>
          <w:color w:val="00B050"/>
          <w:sz w:val="22"/>
          <w:szCs w:val="22"/>
        </w:rPr>
      </w:pPr>
    </w:p>
    <w:p w14:paraId="2CCDC22E" w14:textId="77777777" w:rsidR="00D837A0" w:rsidRDefault="00D837A0" w:rsidP="009A0304">
      <w:pPr>
        <w:rPr>
          <w:rFonts w:ascii="Arial" w:hAnsi="Arial" w:cs="Arial"/>
          <w:b/>
          <w:color w:val="00B050"/>
          <w:sz w:val="22"/>
          <w:szCs w:val="22"/>
        </w:rPr>
      </w:pPr>
    </w:p>
    <w:p w14:paraId="2E4AF8E6" w14:textId="77777777" w:rsidR="00C0255B" w:rsidRPr="006E0E80" w:rsidRDefault="00C0255B" w:rsidP="009A0304">
      <w:pPr>
        <w:rPr>
          <w:rFonts w:ascii="Arial" w:hAnsi="Arial" w:cs="Arial"/>
          <w:b/>
          <w:sz w:val="22"/>
          <w:szCs w:val="22"/>
        </w:rPr>
      </w:pPr>
      <w:r w:rsidRPr="006E0E80">
        <w:rPr>
          <w:rFonts w:ascii="Arial" w:hAnsi="Arial" w:cs="Arial"/>
          <w:b/>
          <w:sz w:val="22"/>
          <w:szCs w:val="22"/>
        </w:rPr>
        <w:lastRenderedPageBreak/>
        <w:t>Şube Sayısı</w:t>
      </w:r>
    </w:p>
    <w:p w14:paraId="0D3B5CA9" w14:textId="77777777" w:rsidR="001135F6" w:rsidRPr="006E0E80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14:paraId="395E6F59" w14:textId="03603828" w:rsidR="000542E7" w:rsidRPr="00350E4D" w:rsidRDefault="00413229" w:rsidP="000542E7">
      <w:pPr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>Eylül</w:t>
      </w:r>
      <w:r w:rsidR="00036474" w:rsidRPr="006E0E80">
        <w:rPr>
          <w:rFonts w:ascii="Arial" w:hAnsi="Arial" w:cs="Arial"/>
          <w:sz w:val="22"/>
          <w:szCs w:val="22"/>
        </w:rPr>
        <w:t xml:space="preserve"> 2024</w:t>
      </w:r>
      <w:r w:rsidR="00F006F9" w:rsidRPr="006E0E80">
        <w:rPr>
          <w:rFonts w:ascii="Arial" w:hAnsi="Arial" w:cs="Arial"/>
          <w:sz w:val="22"/>
          <w:szCs w:val="22"/>
        </w:rPr>
        <w:t xml:space="preserve"> yılında</w:t>
      </w:r>
      <w:r w:rsidR="001538E9" w:rsidRPr="006E0E80">
        <w:rPr>
          <w:rFonts w:ascii="Arial" w:hAnsi="Arial" w:cs="Arial"/>
          <w:sz w:val="22"/>
          <w:szCs w:val="22"/>
        </w:rPr>
        <w:t xml:space="preserve"> mevduat bankaları ile kalkınma ve yatırım bankalarında ş</w:t>
      </w:r>
      <w:r w:rsidR="00F21F4F" w:rsidRPr="006E0E80">
        <w:rPr>
          <w:rFonts w:ascii="Arial" w:hAnsi="Arial" w:cs="Arial"/>
          <w:sz w:val="22"/>
          <w:szCs w:val="22"/>
        </w:rPr>
        <w:t>ube sayısı</w:t>
      </w:r>
      <w:r w:rsidR="001F5A64" w:rsidRPr="006E0E80">
        <w:rPr>
          <w:rFonts w:ascii="Arial" w:hAnsi="Arial" w:cs="Arial"/>
          <w:sz w:val="22"/>
          <w:szCs w:val="22"/>
        </w:rPr>
        <w:t xml:space="preserve"> </w:t>
      </w:r>
      <w:r w:rsidR="000542E7" w:rsidRPr="00350E4D">
        <w:rPr>
          <w:rFonts w:ascii="Arial" w:hAnsi="Arial" w:cs="Arial"/>
          <w:sz w:val="22"/>
          <w:szCs w:val="22"/>
        </w:rPr>
        <w:t>9.</w:t>
      </w:r>
      <w:r w:rsidR="00B56355" w:rsidRPr="00350E4D">
        <w:rPr>
          <w:rFonts w:ascii="Arial" w:hAnsi="Arial" w:cs="Arial"/>
          <w:sz w:val="22"/>
          <w:szCs w:val="22"/>
        </w:rPr>
        <w:t>459’dur</w:t>
      </w:r>
      <w:r w:rsidR="000542E7" w:rsidRPr="00350E4D">
        <w:rPr>
          <w:rFonts w:ascii="Arial" w:hAnsi="Arial" w:cs="Arial"/>
          <w:sz w:val="22"/>
          <w:szCs w:val="22"/>
        </w:rPr>
        <w:t>.</w:t>
      </w:r>
    </w:p>
    <w:p w14:paraId="76E28CC2" w14:textId="77777777" w:rsidR="006B20CA" w:rsidRPr="006E0E80" w:rsidRDefault="006B20CA" w:rsidP="001135F6">
      <w:pPr>
        <w:jc w:val="both"/>
        <w:rPr>
          <w:rFonts w:ascii="Arial" w:hAnsi="Arial" w:cs="Arial"/>
          <w:sz w:val="10"/>
          <w:szCs w:val="10"/>
        </w:rPr>
      </w:pPr>
    </w:p>
    <w:p w14:paraId="6C3EF01A" w14:textId="77777777" w:rsidR="001135F6" w:rsidRPr="006E0E80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6E0E80">
        <w:rPr>
          <w:rFonts w:ascii="Arial" w:hAnsi="Arial" w:cs="Arial"/>
          <w:b/>
          <w:sz w:val="22"/>
          <w:szCs w:val="22"/>
        </w:rPr>
        <w:t>Şube Sayısı</w:t>
      </w:r>
      <w:r w:rsidR="006B20CA" w:rsidRPr="006E0E80">
        <w:rPr>
          <w:rFonts w:ascii="Arial" w:hAnsi="Arial" w:cs="Arial"/>
          <w:b/>
          <w:sz w:val="22"/>
          <w:szCs w:val="22"/>
        </w:rPr>
        <w:t xml:space="preserve"> (adet)</w:t>
      </w:r>
      <w:r w:rsidRPr="006E0E80">
        <w:rPr>
          <w:rFonts w:ascii="Arial" w:hAnsi="Arial" w:cs="Arial"/>
          <w:b/>
          <w:sz w:val="22"/>
          <w:szCs w:val="22"/>
        </w:rPr>
        <w:t>*</w:t>
      </w:r>
    </w:p>
    <w:p w14:paraId="458DF893" w14:textId="77777777" w:rsidR="00D5451B" w:rsidRPr="006E0E80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14:paraId="7286053A" w14:textId="77777777" w:rsidR="00A642E3" w:rsidRPr="000542E7" w:rsidRDefault="000542E7" w:rsidP="000542E7">
      <w:pPr>
        <w:jc w:val="center"/>
        <w:rPr>
          <w:rFonts w:ascii="Arial" w:hAnsi="Arial" w:cs="Arial"/>
          <w:i/>
          <w:color w:val="00B050"/>
          <w:sz w:val="16"/>
          <w:szCs w:val="16"/>
        </w:rPr>
      </w:pPr>
      <w:r w:rsidRPr="000542E7">
        <w:rPr>
          <w:noProof/>
          <w:color w:val="00B050"/>
          <w:lang w:eastAsia="tr-TR"/>
        </w:rPr>
        <w:drawing>
          <wp:inline distT="0" distB="0" distL="0" distR="0" wp14:anchorId="103254E9" wp14:editId="75F02125">
            <wp:extent cx="4008120" cy="2324100"/>
            <wp:effectExtent l="0" t="0" r="0" b="0"/>
            <wp:docPr id="32923628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1AF6040-9087-5B85-83D1-D60E3055F6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837C81" w14:textId="77777777" w:rsidR="001135F6" w:rsidRPr="006E0E80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0542E7">
        <w:rPr>
          <w:rFonts w:ascii="Arial" w:hAnsi="Arial" w:cs="Arial"/>
          <w:i/>
          <w:color w:val="00B050"/>
          <w:sz w:val="16"/>
          <w:szCs w:val="16"/>
        </w:rPr>
        <w:t xml:space="preserve"> </w:t>
      </w:r>
      <w:r w:rsidRPr="006E0E80">
        <w:rPr>
          <w:rFonts w:ascii="Arial" w:hAnsi="Arial" w:cs="Arial"/>
          <w:i/>
          <w:sz w:val="16"/>
          <w:szCs w:val="16"/>
        </w:rPr>
        <w:t xml:space="preserve">* K.K.T.C ve yabancı ülkelerdeki şubeler dahil. </w:t>
      </w:r>
    </w:p>
    <w:p w14:paraId="414C3336" w14:textId="77777777" w:rsidR="001135F6" w:rsidRPr="006E0E80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6E0E80">
        <w:rPr>
          <w:rFonts w:ascii="Arial" w:hAnsi="Arial" w:cs="Arial"/>
          <w:i/>
          <w:sz w:val="16"/>
          <w:szCs w:val="16"/>
        </w:rPr>
        <w:t xml:space="preserve">     </w:t>
      </w:r>
    </w:p>
    <w:p w14:paraId="7E6A8EC5" w14:textId="77777777" w:rsidR="006E0E80" w:rsidRDefault="006E0E80" w:rsidP="00EF6D07">
      <w:pPr>
        <w:jc w:val="both"/>
        <w:rPr>
          <w:rFonts w:ascii="Arial" w:hAnsi="Arial" w:cs="Arial"/>
          <w:sz w:val="22"/>
          <w:szCs w:val="22"/>
        </w:rPr>
      </w:pPr>
    </w:p>
    <w:p w14:paraId="235569FF" w14:textId="35184061" w:rsidR="00AD13BC" w:rsidRPr="006E0E80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>Şube sayısı,</w:t>
      </w:r>
      <w:r w:rsidR="00BF0D3F" w:rsidRPr="006E0E80">
        <w:rPr>
          <w:rFonts w:ascii="Arial" w:hAnsi="Arial" w:cs="Arial"/>
          <w:sz w:val="22"/>
          <w:szCs w:val="22"/>
        </w:rPr>
        <w:t xml:space="preserve"> bir önceki çeyreğe göre </w:t>
      </w:r>
      <w:r w:rsidR="00B04770" w:rsidRPr="006E0E80">
        <w:rPr>
          <w:rFonts w:ascii="Arial" w:hAnsi="Arial" w:cs="Arial"/>
          <w:sz w:val="22"/>
          <w:szCs w:val="22"/>
        </w:rPr>
        <w:t>2</w:t>
      </w:r>
      <w:r w:rsidR="00C17A89" w:rsidRPr="006E0E80">
        <w:rPr>
          <w:rFonts w:ascii="Arial" w:hAnsi="Arial" w:cs="Arial"/>
          <w:sz w:val="22"/>
          <w:szCs w:val="22"/>
        </w:rPr>
        <w:t>,</w:t>
      </w:r>
      <w:r w:rsidR="00A72DF6" w:rsidRPr="006E0E80">
        <w:rPr>
          <w:rFonts w:ascii="Arial" w:hAnsi="Arial" w:cs="Arial"/>
          <w:sz w:val="22"/>
          <w:szCs w:val="22"/>
        </w:rPr>
        <w:t xml:space="preserve"> </w:t>
      </w:r>
      <w:r w:rsidR="00BD5935" w:rsidRPr="006E0E80">
        <w:rPr>
          <w:rFonts w:ascii="Arial" w:hAnsi="Arial" w:cs="Arial"/>
          <w:sz w:val="22"/>
          <w:szCs w:val="22"/>
        </w:rPr>
        <w:t xml:space="preserve">bir </w:t>
      </w:r>
      <w:r w:rsidR="00904088" w:rsidRPr="006E0E80">
        <w:rPr>
          <w:rFonts w:ascii="Arial" w:hAnsi="Arial" w:cs="Arial"/>
          <w:sz w:val="22"/>
          <w:szCs w:val="22"/>
        </w:rPr>
        <w:t>önceki yıl</w:t>
      </w:r>
      <w:r w:rsidR="00C17A89" w:rsidRPr="006E0E80">
        <w:rPr>
          <w:rFonts w:ascii="Arial" w:hAnsi="Arial" w:cs="Arial"/>
          <w:sz w:val="22"/>
          <w:szCs w:val="22"/>
        </w:rPr>
        <w:t>ın</w:t>
      </w:r>
      <w:r w:rsidR="00904088" w:rsidRPr="006E0E80">
        <w:rPr>
          <w:rFonts w:ascii="Arial" w:hAnsi="Arial" w:cs="Arial"/>
          <w:sz w:val="22"/>
          <w:szCs w:val="22"/>
        </w:rPr>
        <w:t xml:space="preserve"> aynı</w:t>
      </w:r>
      <w:r w:rsidR="00BD5935" w:rsidRPr="006E0E80">
        <w:rPr>
          <w:rFonts w:ascii="Arial" w:hAnsi="Arial" w:cs="Arial"/>
          <w:sz w:val="22"/>
          <w:szCs w:val="22"/>
        </w:rPr>
        <w:t xml:space="preserve"> çeyreğ</w:t>
      </w:r>
      <w:r w:rsidR="00C17A89" w:rsidRPr="006E0E80">
        <w:rPr>
          <w:rFonts w:ascii="Arial" w:hAnsi="Arial" w:cs="Arial"/>
          <w:sz w:val="22"/>
          <w:szCs w:val="22"/>
        </w:rPr>
        <w:t>in</w:t>
      </w:r>
      <w:r w:rsidR="00BD5935" w:rsidRPr="006E0E80">
        <w:rPr>
          <w:rFonts w:ascii="Arial" w:hAnsi="Arial" w:cs="Arial"/>
          <w:sz w:val="22"/>
          <w:szCs w:val="22"/>
        </w:rPr>
        <w:t xml:space="preserve">e göre </w:t>
      </w:r>
      <w:r w:rsidR="00BF0D3F" w:rsidRPr="006E0E80">
        <w:rPr>
          <w:rFonts w:ascii="Arial" w:hAnsi="Arial" w:cs="Arial"/>
          <w:sz w:val="22"/>
          <w:szCs w:val="22"/>
        </w:rPr>
        <w:t xml:space="preserve">ise </w:t>
      </w:r>
      <w:r w:rsidR="00FD2AE4" w:rsidRPr="006E0E80">
        <w:rPr>
          <w:rFonts w:ascii="Arial" w:hAnsi="Arial" w:cs="Arial"/>
          <w:sz w:val="22"/>
          <w:szCs w:val="22"/>
        </w:rPr>
        <w:t>1</w:t>
      </w:r>
      <w:r w:rsidR="000542E7" w:rsidRPr="006E0E80">
        <w:rPr>
          <w:rFonts w:ascii="Arial" w:hAnsi="Arial" w:cs="Arial"/>
          <w:sz w:val="22"/>
          <w:szCs w:val="22"/>
        </w:rPr>
        <w:t>5</w:t>
      </w:r>
      <w:r w:rsidR="00666004" w:rsidRPr="006E0E80">
        <w:rPr>
          <w:rFonts w:ascii="Arial" w:hAnsi="Arial" w:cs="Arial"/>
          <w:sz w:val="22"/>
          <w:szCs w:val="22"/>
        </w:rPr>
        <w:t xml:space="preserve">7 </w:t>
      </w:r>
      <w:r w:rsidR="00904088" w:rsidRPr="006E0E80">
        <w:rPr>
          <w:rFonts w:ascii="Arial" w:hAnsi="Arial" w:cs="Arial"/>
          <w:sz w:val="22"/>
          <w:szCs w:val="22"/>
        </w:rPr>
        <w:t>adet azalmış</w:t>
      </w:r>
      <w:r w:rsidR="00BF0D3F" w:rsidRPr="006E0E80">
        <w:rPr>
          <w:rFonts w:ascii="Arial" w:hAnsi="Arial" w:cs="Arial"/>
          <w:sz w:val="22"/>
          <w:szCs w:val="22"/>
        </w:rPr>
        <w:t>tır.</w:t>
      </w:r>
    </w:p>
    <w:p w14:paraId="1ED02B23" w14:textId="77777777" w:rsidR="00AD13BC" w:rsidRPr="006E0E80" w:rsidRDefault="00AD13BC" w:rsidP="00EF6D07">
      <w:pPr>
        <w:jc w:val="both"/>
        <w:rPr>
          <w:rFonts w:ascii="Arial" w:hAnsi="Arial" w:cs="Arial"/>
          <w:sz w:val="22"/>
          <w:szCs w:val="22"/>
        </w:rPr>
      </w:pPr>
    </w:p>
    <w:p w14:paraId="3313ACD7" w14:textId="29A04F6D" w:rsidR="00A6162D" w:rsidRPr="006E0E80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>Ş</w:t>
      </w:r>
      <w:r w:rsidR="00A6162D" w:rsidRPr="006E0E80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6E0E80">
        <w:rPr>
          <w:rFonts w:ascii="Arial" w:hAnsi="Arial" w:cs="Arial"/>
          <w:sz w:val="22"/>
          <w:szCs w:val="22"/>
        </w:rPr>
        <w:t xml:space="preserve">, mobil </w:t>
      </w:r>
      <w:r w:rsidR="003F743F" w:rsidRPr="006E0E80">
        <w:rPr>
          <w:rFonts w:ascii="Arial" w:hAnsi="Arial" w:cs="Arial"/>
          <w:sz w:val="22"/>
          <w:szCs w:val="22"/>
        </w:rPr>
        <w:t xml:space="preserve">ve dijital </w:t>
      </w:r>
      <w:r w:rsidR="00300266" w:rsidRPr="006E0E80">
        <w:rPr>
          <w:rFonts w:ascii="Arial" w:hAnsi="Arial" w:cs="Arial"/>
          <w:sz w:val="22"/>
          <w:szCs w:val="22"/>
        </w:rPr>
        <w:t>bankacılık hizmetlerine olan talebin artması</w:t>
      </w:r>
      <w:r w:rsidR="00A6162D" w:rsidRPr="006E0E80">
        <w:rPr>
          <w:rFonts w:ascii="Arial" w:hAnsi="Arial" w:cs="Arial"/>
          <w:sz w:val="22"/>
          <w:szCs w:val="22"/>
        </w:rPr>
        <w:t xml:space="preserve"> ve </w:t>
      </w:r>
      <w:r w:rsidR="00704B9E" w:rsidRPr="006E0E80">
        <w:rPr>
          <w:rFonts w:ascii="Arial" w:hAnsi="Arial" w:cs="Arial"/>
          <w:sz w:val="22"/>
          <w:szCs w:val="22"/>
        </w:rPr>
        <w:t xml:space="preserve">bazı hizmetlerin </w:t>
      </w:r>
      <w:r w:rsidR="00A6162D" w:rsidRPr="006E0E80">
        <w:rPr>
          <w:rFonts w:ascii="Arial" w:hAnsi="Arial" w:cs="Arial"/>
          <w:sz w:val="22"/>
          <w:szCs w:val="22"/>
        </w:rPr>
        <w:t>destek hizmet</w:t>
      </w:r>
      <w:r w:rsidR="00704B9E" w:rsidRPr="006E0E80">
        <w:rPr>
          <w:rFonts w:ascii="Arial" w:hAnsi="Arial" w:cs="Arial"/>
          <w:sz w:val="22"/>
          <w:szCs w:val="22"/>
        </w:rPr>
        <w:t>i kuruluşlarından temin edil</w:t>
      </w:r>
      <w:r w:rsidR="0036100C" w:rsidRPr="006E0E80">
        <w:rPr>
          <w:rFonts w:ascii="Arial" w:hAnsi="Arial" w:cs="Arial"/>
          <w:sz w:val="22"/>
          <w:szCs w:val="22"/>
        </w:rPr>
        <w:t>m</w:t>
      </w:r>
      <w:r w:rsidR="00704B9E" w:rsidRPr="006E0E80">
        <w:rPr>
          <w:rFonts w:ascii="Arial" w:hAnsi="Arial" w:cs="Arial"/>
          <w:sz w:val="22"/>
          <w:szCs w:val="22"/>
        </w:rPr>
        <w:t>esi</w:t>
      </w:r>
      <w:r w:rsidR="00B56355" w:rsidRPr="006E0E80">
        <w:rPr>
          <w:rFonts w:ascii="Arial" w:hAnsi="Arial" w:cs="Arial"/>
          <w:sz w:val="22"/>
          <w:szCs w:val="22"/>
        </w:rPr>
        <w:t>,</w:t>
      </w:r>
      <w:r w:rsidR="00A6162D" w:rsidRPr="006E0E80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6E0E80">
        <w:rPr>
          <w:rFonts w:ascii="Arial" w:hAnsi="Arial" w:cs="Arial"/>
          <w:sz w:val="22"/>
          <w:szCs w:val="22"/>
        </w:rPr>
        <w:t>m</w:t>
      </w:r>
      <w:r w:rsidR="00E60FAD" w:rsidRPr="006E0E80">
        <w:rPr>
          <w:rFonts w:ascii="Arial" w:hAnsi="Arial" w:cs="Arial"/>
          <w:sz w:val="22"/>
          <w:szCs w:val="22"/>
        </w:rPr>
        <w:t>ektedir.</w:t>
      </w:r>
    </w:p>
    <w:p w14:paraId="14DA86C1" w14:textId="77777777" w:rsidR="0021550F" w:rsidRPr="00EF131E" w:rsidRDefault="0021550F" w:rsidP="00AC45CB">
      <w:pPr>
        <w:jc w:val="both"/>
        <w:rPr>
          <w:rFonts w:ascii="Arial" w:hAnsi="Arial" w:cs="Arial"/>
          <w:sz w:val="22"/>
          <w:szCs w:val="22"/>
        </w:rPr>
      </w:pPr>
    </w:p>
    <w:p w14:paraId="1E705B01" w14:textId="58F40AFC" w:rsidR="00AC45CB" w:rsidRPr="006E0E80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6E0E80">
        <w:rPr>
          <w:rFonts w:ascii="Arial" w:hAnsi="Arial" w:cs="Arial"/>
          <w:b/>
          <w:sz w:val="22"/>
          <w:szCs w:val="22"/>
        </w:rPr>
        <w:t>100.000 Kişiye Düşen Çalışan ve Şube</w:t>
      </w:r>
      <w:r w:rsidR="0054116E" w:rsidRPr="006E0E80">
        <w:rPr>
          <w:rFonts w:ascii="Arial" w:hAnsi="Arial" w:cs="Arial"/>
          <w:b/>
          <w:sz w:val="22"/>
          <w:szCs w:val="22"/>
        </w:rPr>
        <w:t xml:space="preserve"> Sayısı</w:t>
      </w:r>
      <w:r w:rsidR="00614D10" w:rsidRPr="006E0E80">
        <w:rPr>
          <w:rFonts w:ascii="Arial" w:hAnsi="Arial" w:cs="Arial"/>
          <w:b/>
          <w:sz w:val="22"/>
          <w:szCs w:val="22"/>
        </w:rPr>
        <w:t>*</w:t>
      </w:r>
    </w:p>
    <w:p w14:paraId="575FF460" w14:textId="77777777" w:rsidR="00AC45CB" w:rsidRPr="006E0E80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14:paraId="172EFDDD" w14:textId="3DBC662A" w:rsidR="00166439" w:rsidRPr="006E0E80" w:rsidRDefault="00413229" w:rsidP="006A0E5D">
      <w:pPr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>Eylül</w:t>
      </w:r>
      <w:r w:rsidR="00036474" w:rsidRPr="006E0E80">
        <w:rPr>
          <w:rFonts w:ascii="Arial" w:hAnsi="Arial" w:cs="Arial"/>
          <w:sz w:val="22"/>
          <w:szCs w:val="22"/>
        </w:rPr>
        <w:t xml:space="preserve"> 2024</w:t>
      </w:r>
      <w:r w:rsidR="001F5A64" w:rsidRPr="006E0E80">
        <w:rPr>
          <w:rFonts w:ascii="Arial" w:hAnsi="Arial" w:cs="Arial"/>
          <w:sz w:val="22"/>
          <w:szCs w:val="22"/>
        </w:rPr>
        <w:t xml:space="preserve"> ayı itibarıyla,</w:t>
      </w:r>
      <w:r w:rsidR="006A0E5D" w:rsidRPr="006E0E80">
        <w:rPr>
          <w:rFonts w:ascii="Arial" w:hAnsi="Arial" w:cs="Arial"/>
          <w:sz w:val="22"/>
          <w:szCs w:val="22"/>
        </w:rPr>
        <w:t xml:space="preserve"> </w:t>
      </w:r>
      <w:r w:rsidR="003D4BBF" w:rsidRPr="006E0E80">
        <w:rPr>
          <w:rFonts w:ascii="Arial" w:hAnsi="Arial" w:cs="Arial"/>
          <w:sz w:val="22"/>
          <w:szCs w:val="22"/>
        </w:rPr>
        <w:t>100.000 kişiye düşen çalışan sayısı</w:t>
      </w:r>
      <w:r w:rsidR="001F5A64" w:rsidRPr="006E0E80">
        <w:rPr>
          <w:rFonts w:ascii="Arial" w:hAnsi="Arial" w:cs="Arial"/>
          <w:sz w:val="22"/>
          <w:szCs w:val="22"/>
        </w:rPr>
        <w:t xml:space="preserve"> </w:t>
      </w:r>
      <w:r w:rsidR="00B718CA" w:rsidRPr="006E0E80">
        <w:rPr>
          <w:rFonts w:ascii="Arial" w:hAnsi="Arial" w:cs="Arial"/>
          <w:sz w:val="22"/>
          <w:szCs w:val="22"/>
        </w:rPr>
        <w:t>2</w:t>
      </w:r>
      <w:r w:rsidR="0084423D" w:rsidRPr="006E0E80">
        <w:rPr>
          <w:rFonts w:ascii="Arial" w:hAnsi="Arial" w:cs="Arial"/>
          <w:sz w:val="22"/>
          <w:szCs w:val="22"/>
        </w:rPr>
        <w:t>2</w:t>
      </w:r>
      <w:r w:rsidR="00D837A0" w:rsidRPr="006E0E80">
        <w:rPr>
          <w:rFonts w:ascii="Arial" w:hAnsi="Arial" w:cs="Arial"/>
          <w:sz w:val="22"/>
          <w:szCs w:val="22"/>
        </w:rPr>
        <w:t>1</w:t>
      </w:r>
      <w:r w:rsidR="00B718CA" w:rsidRPr="006E0E80">
        <w:rPr>
          <w:rFonts w:ascii="Arial" w:hAnsi="Arial" w:cs="Arial"/>
          <w:sz w:val="22"/>
          <w:szCs w:val="22"/>
        </w:rPr>
        <w:t xml:space="preserve"> olmuştur.</w:t>
      </w:r>
      <w:r w:rsidR="00366A61" w:rsidRPr="006E0E80">
        <w:rPr>
          <w:rFonts w:ascii="Arial" w:hAnsi="Arial" w:cs="Arial"/>
          <w:sz w:val="22"/>
          <w:szCs w:val="22"/>
        </w:rPr>
        <w:t xml:space="preserve"> 100.000 kişiye düşen şube sayısı ise 1</w:t>
      </w:r>
      <w:r w:rsidR="00387158" w:rsidRPr="006E0E80">
        <w:rPr>
          <w:rFonts w:ascii="Arial" w:hAnsi="Arial" w:cs="Arial"/>
          <w:sz w:val="22"/>
          <w:szCs w:val="22"/>
        </w:rPr>
        <w:t>1’</w:t>
      </w:r>
      <w:r w:rsidR="00D952F9" w:rsidRPr="006E0E80">
        <w:rPr>
          <w:rFonts w:ascii="Arial" w:hAnsi="Arial" w:cs="Arial"/>
          <w:sz w:val="22"/>
          <w:szCs w:val="22"/>
        </w:rPr>
        <w:t>dir.</w:t>
      </w:r>
    </w:p>
    <w:p w14:paraId="00CDCBD9" w14:textId="77777777" w:rsidR="00AC45CB" w:rsidRPr="00EF131E" w:rsidRDefault="00AC45CB" w:rsidP="00DC24FD">
      <w:pPr>
        <w:jc w:val="center"/>
      </w:pPr>
    </w:p>
    <w:p w14:paraId="7211FF06" w14:textId="77777777" w:rsidR="00130853" w:rsidRPr="006E0E80" w:rsidRDefault="003D4BBF" w:rsidP="0021550F">
      <w:pPr>
        <w:jc w:val="center"/>
        <w:rPr>
          <w:rFonts w:ascii="Arial" w:hAnsi="Arial" w:cs="Arial"/>
          <w:b/>
          <w:sz w:val="22"/>
          <w:szCs w:val="22"/>
        </w:rPr>
      </w:pPr>
      <w:r w:rsidRPr="006E0E80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6E0E80">
        <w:rPr>
          <w:rFonts w:ascii="Arial" w:hAnsi="Arial" w:cs="Arial"/>
          <w:b/>
          <w:sz w:val="22"/>
          <w:szCs w:val="22"/>
        </w:rPr>
        <w:t xml:space="preserve"> </w:t>
      </w:r>
      <w:r w:rsidR="001B6B4D" w:rsidRPr="006E0E80">
        <w:rPr>
          <w:rFonts w:ascii="Arial" w:hAnsi="Arial" w:cs="Arial"/>
          <w:b/>
          <w:sz w:val="22"/>
          <w:szCs w:val="22"/>
        </w:rPr>
        <w:t>Sayısı</w:t>
      </w:r>
    </w:p>
    <w:p w14:paraId="3771760D" w14:textId="77777777" w:rsidR="00902F0A" w:rsidRPr="00EF131E" w:rsidRDefault="00902F0A" w:rsidP="007B3D45">
      <w:pPr>
        <w:rPr>
          <w:rFonts w:ascii="Arial" w:hAnsi="Arial" w:cs="Arial"/>
          <w:b/>
          <w:sz w:val="10"/>
          <w:szCs w:val="10"/>
        </w:rPr>
      </w:pPr>
    </w:p>
    <w:p w14:paraId="16CAB342" w14:textId="77777777" w:rsidR="00387158" w:rsidRPr="006B20CA" w:rsidRDefault="00D837A0" w:rsidP="00276FA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1834729E" wp14:editId="2F1DD9B6">
            <wp:extent cx="4865715" cy="2277135"/>
            <wp:effectExtent l="0" t="0" r="0" b="8890"/>
            <wp:docPr id="3550990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94B98FB" w14:textId="77777777" w:rsidR="002276AD" w:rsidRPr="006B20CA" w:rsidRDefault="002276AD" w:rsidP="00F21F4F">
      <w:pPr>
        <w:jc w:val="both"/>
        <w:rPr>
          <w:rFonts w:ascii="Arial" w:hAnsi="Arial" w:cs="Arial"/>
          <w:sz w:val="18"/>
          <w:szCs w:val="22"/>
        </w:rPr>
      </w:pPr>
    </w:p>
    <w:p w14:paraId="6438C340" w14:textId="77777777" w:rsidR="00F21F4F" w:rsidRPr="006B20CA" w:rsidRDefault="0021550F" w:rsidP="00F21F4F">
      <w:pPr>
        <w:jc w:val="both"/>
        <w:rPr>
          <w:rFonts w:ascii="Arial" w:hAnsi="Arial" w:cs="Arial"/>
          <w:sz w:val="18"/>
          <w:szCs w:val="22"/>
        </w:rPr>
      </w:pPr>
      <w:r w:rsidRPr="006B20CA">
        <w:rPr>
          <w:rFonts w:ascii="Arial" w:hAnsi="Arial" w:cs="Arial"/>
          <w:sz w:val="18"/>
          <w:szCs w:val="22"/>
        </w:rPr>
        <w:t>*</w:t>
      </w:r>
      <w:r w:rsidR="001F5A64" w:rsidRPr="006B20CA">
        <w:rPr>
          <w:rFonts w:ascii="Arial" w:hAnsi="Arial" w:cs="Arial"/>
          <w:sz w:val="18"/>
          <w:szCs w:val="22"/>
        </w:rPr>
        <w:t xml:space="preserve"> </w:t>
      </w:r>
      <w:r w:rsidR="00413229">
        <w:rPr>
          <w:rFonts w:ascii="Arial" w:hAnsi="Arial" w:cs="Arial"/>
          <w:sz w:val="18"/>
          <w:szCs w:val="22"/>
        </w:rPr>
        <w:t>Eylül</w:t>
      </w:r>
      <w:r w:rsidR="002C6C67" w:rsidRPr="006B20CA">
        <w:rPr>
          <w:rFonts w:ascii="Arial" w:hAnsi="Arial" w:cs="Arial"/>
          <w:sz w:val="18"/>
          <w:szCs w:val="22"/>
        </w:rPr>
        <w:t xml:space="preserve"> 2024 yılı hesaplamasında, </w:t>
      </w:r>
      <w:r w:rsidR="00614D10" w:rsidRPr="006B20CA">
        <w:rPr>
          <w:rFonts w:ascii="Arial" w:hAnsi="Arial" w:cs="Arial"/>
          <w:sz w:val="18"/>
          <w:szCs w:val="22"/>
        </w:rPr>
        <w:t>202</w:t>
      </w:r>
      <w:r w:rsidR="009B47EA" w:rsidRPr="006B20CA">
        <w:rPr>
          <w:rFonts w:ascii="Arial" w:hAnsi="Arial" w:cs="Arial"/>
          <w:sz w:val="18"/>
          <w:szCs w:val="22"/>
        </w:rPr>
        <w:t>3</w:t>
      </w:r>
      <w:r w:rsidR="00614D10" w:rsidRPr="006B20CA">
        <w:rPr>
          <w:rFonts w:ascii="Arial" w:hAnsi="Arial" w:cs="Arial"/>
          <w:sz w:val="18"/>
          <w:szCs w:val="22"/>
        </w:rPr>
        <w:t xml:space="preserve"> yılına ilişkin </w:t>
      </w:r>
      <w:r w:rsidR="0084423D" w:rsidRPr="006B20CA">
        <w:rPr>
          <w:rFonts w:ascii="Arial" w:hAnsi="Arial" w:cs="Arial"/>
          <w:sz w:val="18"/>
          <w:szCs w:val="22"/>
        </w:rPr>
        <w:t>yıl</w:t>
      </w:r>
      <w:r w:rsidR="00F21F4F" w:rsidRPr="006B20CA">
        <w:rPr>
          <w:rFonts w:ascii="Arial" w:hAnsi="Arial" w:cs="Arial"/>
          <w:sz w:val="18"/>
          <w:szCs w:val="22"/>
        </w:rPr>
        <w:t xml:space="preserve">sonu nüfus verisi kullanılmıştır. </w:t>
      </w:r>
    </w:p>
    <w:p w14:paraId="70A76801" w14:textId="77777777" w:rsidR="00F21F4F" w:rsidRPr="006B20CA" w:rsidRDefault="00F21F4F" w:rsidP="003D4BBF">
      <w:pPr>
        <w:jc w:val="both"/>
        <w:rPr>
          <w:rFonts w:ascii="Arial" w:hAnsi="Arial" w:cs="Arial"/>
          <w:sz w:val="22"/>
          <w:szCs w:val="22"/>
        </w:rPr>
      </w:pPr>
    </w:p>
    <w:sectPr w:rsidR="00F21F4F" w:rsidRPr="006B20CA" w:rsidSect="00FD6DC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6F943" w14:textId="77777777" w:rsidR="00F7160B" w:rsidRDefault="00F7160B">
      <w:r>
        <w:separator/>
      </w:r>
    </w:p>
  </w:endnote>
  <w:endnote w:type="continuationSeparator" w:id="0">
    <w:p w14:paraId="402B4BB3" w14:textId="77777777" w:rsidR="00F7160B" w:rsidRDefault="00F7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BA4DF" w14:textId="77777777"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A0DAF2" w14:textId="77777777"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4678509"/>
      <w:docPartObj>
        <w:docPartGallery w:val="Page Numbers (Bottom of Page)"/>
        <w:docPartUnique/>
      </w:docPartObj>
    </w:sdtPr>
    <w:sdtEndPr/>
    <w:sdtContent>
      <w:p w14:paraId="20915721" w14:textId="77777777"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413229">
          <w:rPr>
            <w:rFonts w:ascii="Arial" w:hAnsi="Arial"/>
            <w:sz w:val="18"/>
            <w:szCs w:val="18"/>
          </w:rPr>
          <w:t>Eylül</w:t>
        </w:r>
        <w:r w:rsidR="00036474">
          <w:rPr>
            <w:rFonts w:ascii="Arial" w:hAnsi="Arial"/>
            <w:sz w:val="18"/>
            <w:szCs w:val="18"/>
          </w:rPr>
          <w:t xml:space="preserve"> 2024</w:t>
        </w:r>
        <w:r w:rsidR="001538E9">
          <w:rPr>
            <w:rFonts w:ascii="Arial" w:hAnsi="Arial"/>
            <w:sz w:val="18"/>
            <w:szCs w:val="18"/>
          </w:rPr>
          <w:t xml:space="preserve">     </w:t>
        </w:r>
        <w:r>
          <w:rPr>
            <w:rFonts w:ascii="Arial" w:hAnsi="Arial"/>
            <w:sz w:val="18"/>
            <w:szCs w:val="18"/>
          </w:rPr>
          <w:t xml:space="preserve"> </w:t>
        </w:r>
        <w:r w:rsidR="001F5A64">
          <w:rPr>
            <w:rFonts w:ascii="Arial" w:hAnsi="Arial"/>
            <w:sz w:val="18"/>
            <w:szCs w:val="18"/>
          </w:rPr>
          <w:t xml:space="preserve">     </w:t>
        </w:r>
        <w:r w:rsidR="0018452A" w:rsidRPr="001538E9">
          <w:rPr>
            <w:rFonts w:ascii="Arial" w:hAnsi="Arial"/>
            <w:sz w:val="14"/>
            <w:szCs w:val="18"/>
          </w:rPr>
          <w:t xml:space="preserve">   </w:t>
        </w:r>
        <w:r w:rsidRPr="001538E9">
          <w:rPr>
            <w:rFonts w:ascii="Arial" w:hAnsi="Arial"/>
            <w:sz w:val="14"/>
            <w:szCs w:val="18"/>
          </w:rPr>
          <w:t xml:space="preserve">  </w:t>
        </w:r>
        <w:r w:rsidR="00FE3BB0">
          <w:rPr>
            <w:rFonts w:ascii="Arial" w:hAnsi="Arial"/>
            <w:sz w:val="14"/>
            <w:szCs w:val="18"/>
          </w:rPr>
          <w:t xml:space="preserve">             </w:t>
        </w:r>
        <w:r w:rsidR="001538E9">
          <w:rPr>
            <w:rFonts w:ascii="Arial" w:hAnsi="Arial"/>
            <w:sz w:val="14"/>
            <w:szCs w:val="18"/>
          </w:rPr>
          <w:t xml:space="preserve">       </w:t>
        </w:r>
        <w:r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 w:cs="Arial"/>
            <w:sz w:val="14"/>
            <w:szCs w:val="18"/>
          </w:rPr>
          <w:t xml:space="preserve">  </w:t>
        </w:r>
        <w:r w:rsidRPr="001538E9">
          <w:rPr>
            <w:rFonts w:ascii="Arial" w:hAnsi="Arial" w:cs="Arial"/>
            <w:sz w:val="20"/>
          </w:rPr>
          <w:fldChar w:fldCharType="begin"/>
        </w:r>
        <w:r w:rsidRPr="001538E9">
          <w:rPr>
            <w:rFonts w:ascii="Arial" w:hAnsi="Arial" w:cs="Arial"/>
            <w:sz w:val="20"/>
          </w:rPr>
          <w:instrText>PAGE   \* MERGEFORMAT</w:instrText>
        </w:r>
        <w:r w:rsidRPr="001538E9">
          <w:rPr>
            <w:rFonts w:ascii="Arial" w:hAnsi="Arial" w:cs="Arial"/>
            <w:sz w:val="20"/>
          </w:rPr>
          <w:fldChar w:fldCharType="separate"/>
        </w:r>
        <w:r w:rsidR="00D55C79">
          <w:rPr>
            <w:rFonts w:ascii="Arial" w:hAnsi="Arial" w:cs="Arial"/>
            <w:noProof/>
            <w:sz w:val="20"/>
          </w:rPr>
          <w:t>iii</w:t>
        </w:r>
        <w:r w:rsidRPr="001538E9">
          <w:rPr>
            <w:rFonts w:ascii="Arial" w:hAnsi="Arial" w:cs="Arial"/>
            <w:sz w:val="20"/>
          </w:rPr>
          <w:fldChar w:fldCharType="end"/>
        </w:r>
      </w:p>
    </w:sdtContent>
  </w:sdt>
  <w:p w14:paraId="02C84D48" w14:textId="77777777"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32565" w14:textId="77777777"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413229">
      <w:rPr>
        <w:rFonts w:ascii="Arial" w:hAnsi="Arial"/>
        <w:sz w:val="18"/>
        <w:szCs w:val="18"/>
      </w:rPr>
      <w:t>Eylül</w:t>
    </w:r>
    <w:r w:rsidR="00036474">
      <w:rPr>
        <w:rFonts w:ascii="Arial" w:hAnsi="Arial"/>
        <w:sz w:val="18"/>
        <w:szCs w:val="18"/>
      </w:rPr>
      <w:t xml:space="preserve"> 2024</w:t>
    </w:r>
    <w:r w:rsidR="001538E9">
      <w:rPr>
        <w:rFonts w:ascii="Arial" w:hAnsi="Arial"/>
        <w:sz w:val="18"/>
        <w:szCs w:val="18"/>
      </w:rPr>
      <w:t xml:space="preserve">     </w:t>
    </w:r>
    <w:r w:rsidR="0021550F">
      <w:rPr>
        <w:rFonts w:ascii="Arial" w:hAnsi="Arial"/>
        <w:sz w:val="18"/>
        <w:szCs w:val="18"/>
      </w:rPr>
      <w:t xml:space="preserve">                              i</w:t>
    </w:r>
    <w:r w:rsidR="001538E9">
      <w:rPr>
        <w:rFonts w:ascii="Arial" w:hAnsi="Arial"/>
        <w:sz w:val="18"/>
        <w:szCs w:val="18"/>
      </w:rPr>
      <w:t xml:space="preserve"> </w:t>
    </w:r>
    <w:r w:rsidR="006C770B">
      <w:rPr>
        <w:rFonts w:ascii="Arial" w:hAnsi="Arial"/>
        <w:sz w:val="18"/>
        <w:szCs w:val="18"/>
      </w:rPr>
      <w:t xml:space="preserve">    </w:t>
    </w:r>
    <w:r w:rsidR="003F4F1F">
      <w:rPr>
        <w:rFonts w:ascii="Arial" w:hAnsi="Arial"/>
        <w:sz w:val="18"/>
        <w:szCs w:val="18"/>
      </w:rPr>
      <w:t xml:space="preserve">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 w:rsidR="0018452A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</w:t>
    </w:r>
    <w:r w:rsidR="0021550F">
      <w:rPr>
        <w:rFonts w:ascii="Arial" w:hAnsi="Arial"/>
        <w:sz w:val="18"/>
        <w:szCs w:val="18"/>
      </w:rPr>
      <w:t xml:space="preserve">         </w:t>
    </w:r>
    <w:r>
      <w:rPr>
        <w:rFonts w:ascii="Arial" w:hAnsi="Arial"/>
        <w:sz w:val="18"/>
        <w:szCs w:val="18"/>
      </w:rPr>
      <w:t xml:space="preserve">                           </w:t>
    </w:r>
  </w:p>
  <w:p w14:paraId="22BE745A" w14:textId="77777777"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A0DD0" w14:textId="77777777" w:rsidR="00F7160B" w:rsidRDefault="00F7160B">
      <w:r>
        <w:separator/>
      </w:r>
    </w:p>
  </w:footnote>
  <w:footnote w:type="continuationSeparator" w:id="0">
    <w:p w14:paraId="5D3B8789" w14:textId="77777777" w:rsidR="00F7160B" w:rsidRDefault="00F7160B">
      <w:r>
        <w:continuationSeparator/>
      </w:r>
    </w:p>
  </w:footnote>
  <w:footnote w:id="1">
    <w:p w14:paraId="181C3F59" w14:textId="77777777"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B404DF">
        <w:rPr>
          <w:rFonts w:ascii="Arial" w:hAnsi="Arial" w:cs="Arial"/>
          <w:sz w:val="16"/>
          <w:szCs w:val="16"/>
        </w:rPr>
        <w:t xml:space="preserve"> </w:t>
      </w:r>
      <w:r w:rsidR="006A1085">
        <w:rPr>
          <w:rFonts w:ascii="Arial" w:hAnsi="Arial" w:cs="Arial"/>
          <w:sz w:val="16"/>
          <w:szCs w:val="16"/>
        </w:rPr>
        <w:t>Şube ve çalışan sayıları, m</w:t>
      </w:r>
      <w:r w:rsidRPr="00B05AF8">
        <w:rPr>
          <w:rFonts w:ascii="Arial" w:hAnsi="Arial" w:cs="Arial"/>
          <w:sz w:val="16"/>
          <w:szCs w:val="16"/>
        </w:rPr>
        <w:t>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98B0D" w14:textId="77777777"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1CB021B6" wp14:editId="2C0A014F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16E10466" wp14:editId="51728895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8C09C" w14:textId="77777777"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31EE9991" wp14:editId="2986168F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09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0A13"/>
    <w:rsid w:val="00021CE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647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2E7"/>
    <w:rsid w:val="00054B17"/>
    <w:rsid w:val="00054C46"/>
    <w:rsid w:val="000559FE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385"/>
    <w:rsid w:val="00071706"/>
    <w:rsid w:val="000735AC"/>
    <w:rsid w:val="00074145"/>
    <w:rsid w:val="000746BA"/>
    <w:rsid w:val="000748F4"/>
    <w:rsid w:val="00077B49"/>
    <w:rsid w:val="00084722"/>
    <w:rsid w:val="00084911"/>
    <w:rsid w:val="00085218"/>
    <w:rsid w:val="000863FF"/>
    <w:rsid w:val="00086489"/>
    <w:rsid w:val="00086F6D"/>
    <w:rsid w:val="00087B1F"/>
    <w:rsid w:val="00087C33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42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1FC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50F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0F532A"/>
    <w:rsid w:val="00100606"/>
    <w:rsid w:val="001007AF"/>
    <w:rsid w:val="00100DE5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4A6D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947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38E9"/>
    <w:rsid w:val="001544C6"/>
    <w:rsid w:val="00154CA2"/>
    <w:rsid w:val="00154FB2"/>
    <w:rsid w:val="00163CA6"/>
    <w:rsid w:val="00163FEF"/>
    <w:rsid w:val="0016518C"/>
    <w:rsid w:val="00166332"/>
    <w:rsid w:val="00166439"/>
    <w:rsid w:val="00167C8B"/>
    <w:rsid w:val="00170A2A"/>
    <w:rsid w:val="00172211"/>
    <w:rsid w:val="00172E55"/>
    <w:rsid w:val="0017328C"/>
    <w:rsid w:val="00175FA5"/>
    <w:rsid w:val="0017632C"/>
    <w:rsid w:val="00176BF6"/>
    <w:rsid w:val="00176FF8"/>
    <w:rsid w:val="001802BB"/>
    <w:rsid w:val="00180A30"/>
    <w:rsid w:val="00180C8C"/>
    <w:rsid w:val="00180CB4"/>
    <w:rsid w:val="001820F4"/>
    <w:rsid w:val="00182687"/>
    <w:rsid w:val="0018355B"/>
    <w:rsid w:val="00183BFB"/>
    <w:rsid w:val="0018452A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6743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6C0B"/>
    <w:rsid w:val="001B7096"/>
    <w:rsid w:val="001B74A1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263"/>
    <w:rsid w:val="001F2E66"/>
    <w:rsid w:val="001F3E9F"/>
    <w:rsid w:val="001F4364"/>
    <w:rsid w:val="001F4849"/>
    <w:rsid w:val="001F493C"/>
    <w:rsid w:val="001F5A64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34F0"/>
    <w:rsid w:val="002151E5"/>
    <w:rsid w:val="0021550F"/>
    <w:rsid w:val="00215F57"/>
    <w:rsid w:val="00216380"/>
    <w:rsid w:val="00217D0F"/>
    <w:rsid w:val="002211CF"/>
    <w:rsid w:val="00221BC6"/>
    <w:rsid w:val="00226801"/>
    <w:rsid w:val="002276AD"/>
    <w:rsid w:val="0022782D"/>
    <w:rsid w:val="00227D49"/>
    <w:rsid w:val="002305A8"/>
    <w:rsid w:val="00231114"/>
    <w:rsid w:val="00233D86"/>
    <w:rsid w:val="0023665E"/>
    <w:rsid w:val="00236EA0"/>
    <w:rsid w:val="0024108E"/>
    <w:rsid w:val="00241199"/>
    <w:rsid w:val="00241FBB"/>
    <w:rsid w:val="0024253A"/>
    <w:rsid w:val="00243CFF"/>
    <w:rsid w:val="00244108"/>
    <w:rsid w:val="0024694B"/>
    <w:rsid w:val="00246B5F"/>
    <w:rsid w:val="00247F9E"/>
    <w:rsid w:val="00250226"/>
    <w:rsid w:val="00252CEE"/>
    <w:rsid w:val="002549DD"/>
    <w:rsid w:val="0025617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DD8"/>
    <w:rsid w:val="00265F96"/>
    <w:rsid w:val="002665F3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0B77"/>
    <w:rsid w:val="002829FF"/>
    <w:rsid w:val="002839AD"/>
    <w:rsid w:val="00283F10"/>
    <w:rsid w:val="00284ED4"/>
    <w:rsid w:val="00285580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2F7F"/>
    <w:rsid w:val="002B3206"/>
    <w:rsid w:val="002B3544"/>
    <w:rsid w:val="002B41D2"/>
    <w:rsid w:val="002B47B9"/>
    <w:rsid w:val="002B5AA0"/>
    <w:rsid w:val="002B5BD1"/>
    <w:rsid w:val="002C0719"/>
    <w:rsid w:val="002C0738"/>
    <w:rsid w:val="002C1E56"/>
    <w:rsid w:val="002C25F2"/>
    <w:rsid w:val="002C4863"/>
    <w:rsid w:val="002C4956"/>
    <w:rsid w:val="002C6C67"/>
    <w:rsid w:val="002C7135"/>
    <w:rsid w:val="002C71DF"/>
    <w:rsid w:val="002C779C"/>
    <w:rsid w:val="002D111A"/>
    <w:rsid w:val="002D2BBC"/>
    <w:rsid w:val="002D3C9B"/>
    <w:rsid w:val="002D494A"/>
    <w:rsid w:val="002D5D57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2C51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6DA3"/>
    <w:rsid w:val="00307713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61A"/>
    <w:rsid w:val="0033288B"/>
    <w:rsid w:val="0033432E"/>
    <w:rsid w:val="00334483"/>
    <w:rsid w:val="003344B1"/>
    <w:rsid w:val="00334BFD"/>
    <w:rsid w:val="00337F32"/>
    <w:rsid w:val="00340453"/>
    <w:rsid w:val="00340C64"/>
    <w:rsid w:val="0034256D"/>
    <w:rsid w:val="00342ADD"/>
    <w:rsid w:val="003434A5"/>
    <w:rsid w:val="00343BBA"/>
    <w:rsid w:val="00343E2C"/>
    <w:rsid w:val="00345774"/>
    <w:rsid w:val="00347492"/>
    <w:rsid w:val="0035030E"/>
    <w:rsid w:val="00350E4D"/>
    <w:rsid w:val="00351910"/>
    <w:rsid w:val="0035210C"/>
    <w:rsid w:val="00353916"/>
    <w:rsid w:val="00353AB7"/>
    <w:rsid w:val="0035430C"/>
    <w:rsid w:val="00356A87"/>
    <w:rsid w:val="00357345"/>
    <w:rsid w:val="00357356"/>
    <w:rsid w:val="003575B8"/>
    <w:rsid w:val="00357832"/>
    <w:rsid w:val="00357CDE"/>
    <w:rsid w:val="0036100C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1D15"/>
    <w:rsid w:val="00384D9D"/>
    <w:rsid w:val="003863DF"/>
    <w:rsid w:val="00386715"/>
    <w:rsid w:val="00387158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4FC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18FF"/>
    <w:rsid w:val="003D35B7"/>
    <w:rsid w:val="003D3721"/>
    <w:rsid w:val="003D3F8D"/>
    <w:rsid w:val="003D42FC"/>
    <w:rsid w:val="003D4537"/>
    <w:rsid w:val="003D4BBF"/>
    <w:rsid w:val="003E09B6"/>
    <w:rsid w:val="003E0AEB"/>
    <w:rsid w:val="003E186D"/>
    <w:rsid w:val="003E1DB7"/>
    <w:rsid w:val="003E2626"/>
    <w:rsid w:val="003E3E1A"/>
    <w:rsid w:val="003E43E7"/>
    <w:rsid w:val="003E5F75"/>
    <w:rsid w:val="003E6AB2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3F743F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229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A73"/>
    <w:rsid w:val="00421CEE"/>
    <w:rsid w:val="0042239D"/>
    <w:rsid w:val="00422758"/>
    <w:rsid w:val="00422C2C"/>
    <w:rsid w:val="00424150"/>
    <w:rsid w:val="00426B1E"/>
    <w:rsid w:val="00426F02"/>
    <w:rsid w:val="0042754A"/>
    <w:rsid w:val="00431830"/>
    <w:rsid w:val="00431B4F"/>
    <w:rsid w:val="004327DA"/>
    <w:rsid w:val="00432DA7"/>
    <w:rsid w:val="00435716"/>
    <w:rsid w:val="0043656B"/>
    <w:rsid w:val="00440973"/>
    <w:rsid w:val="00441A6B"/>
    <w:rsid w:val="00441CBB"/>
    <w:rsid w:val="004448AC"/>
    <w:rsid w:val="004453B3"/>
    <w:rsid w:val="00446707"/>
    <w:rsid w:val="00447216"/>
    <w:rsid w:val="00447287"/>
    <w:rsid w:val="00450C3E"/>
    <w:rsid w:val="004535A5"/>
    <w:rsid w:val="00453C83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0D21"/>
    <w:rsid w:val="00480FE1"/>
    <w:rsid w:val="004816A2"/>
    <w:rsid w:val="00482999"/>
    <w:rsid w:val="00482C0B"/>
    <w:rsid w:val="00483934"/>
    <w:rsid w:val="00484DB5"/>
    <w:rsid w:val="0048675A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055"/>
    <w:rsid w:val="004A566B"/>
    <w:rsid w:val="004A67A1"/>
    <w:rsid w:val="004A7170"/>
    <w:rsid w:val="004B18F3"/>
    <w:rsid w:val="004B1D46"/>
    <w:rsid w:val="004B1D72"/>
    <w:rsid w:val="004B2378"/>
    <w:rsid w:val="004B2EEF"/>
    <w:rsid w:val="004B30B4"/>
    <w:rsid w:val="004B358C"/>
    <w:rsid w:val="004B3B34"/>
    <w:rsid w:val="004B6064"/>
    <w:rsid w:val="004B6373"/>
    <w:rsid w:val="004B6AE7"/>
    <w:rsid w:val="004B6EEE"/>
    <w:rsid w:val="004B709E"/>
    <w:rsid w:val="004B7AC4"/>
    <w:rsid w:val="004B7D75"/>
    <w:rsid w:val="004C4B96"/>
    <w:rsid w:val="004C66E8"/>
    <w:rsid w:val="004C7967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1C8B"/>
    <w:rsid w:val="004E2786"/>
    <w:rsid w:val="004E290A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1FF6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779"/>
    <w:rsid w:val="00522ADC"/>
    <w:rsid w:val="00522BF6"/>
    <w:rsid w:val="0052319A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116E"/>
    <w:rsid w:val="00542072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5422"/>
    <w:rsid w:val="005678C2"/>
    <w:rsid w:val="00570221"/>
    <w:rsid w:val="0057087E"/>
    <w:rsid w:val="00570A4C"/>
    <w:rsid w:val="005715E5"/>
    <w:rsid w:val="00572123"/>
    <w:rsid w:val="005726D1"/>
    <w:rsid w:val="00572C03"/>
    <w:rsid w:val="0057333C"/>
    <w:rsid w:val="00575BFB"/>
    <w:rsid w:val="00575E9C"/>
    <w:rsid w:val="00576FD4"/>
    <w:rsid w:val="00577EC6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6DF1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5FE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D74CE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3682"/>
    <w:rsid w:val="00614D10"/>
    <w:rsid w:val="00615910"/>
    <w:rsid w:val="0061760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3118"/>
    <w:rsid w:val="00635FEF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6004"/>
    <w:rsid w:val="0066685C"/>
    <w:rsid w:val="006669D7"/>
    <w:rsid w:val="00670A08"/>
    <w:rsid w:val="006712C5"/>
    <w:rsid w:val="00671464"/>
    <w:rsid w:val="00671F32"/>
    <w:rsid w:val="0067444D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2D0"/>
    <w:rsid w:val="006946BA"/>
    <w:rsid w:val="00694B72"/>
    <w:rsid w:val="006951A1"/>
    <w:rsid w:val="006959AA"/>
    <w:rsid w:val="00696668"/>
    <w:rsid w:val="006A051D"/>
    <w:rsid w:val="006A0E5D"/>
    <w:rsid w:val="006A1085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20CA"/>
    <w:rsid w:val="006B3C16"/>
    <w:rsid w:val="006B4242"/>
    <w:rsid w:val="006B4253"/>
    <w:rsid w:val="006B506B"/>
    <w:rsid w:val="006B60CA"/>
    <w:rsid w:val="006B67DE"/>
    <w:rsid w:val="006B7DE6"/>
    <w:rsid w:val="006C15A6"/>
    <w:rsid w:val="006C2562"/>
    <w:rsid w:val="006C48EA"/>
    <w:rsid w:val="006C54DB"/>
    <w:rsid w:val="006C5CBF"/>
    <w:rsid w:val="006C5D36"/>
    <w:rsid w:val="006C7323"/>
    <w:rsid w:val="006C770B"/>
    <w:rsid w:val="006C7D55"/>
    <w:rsid w:val="006D0BF3"/>
    <w:rsid w:val="006D1382"/>
    <w:rsid w:val="006D1B0B"/>
    <w:rsid w:val="006D2470"/>
    <w:rsid w:val="006D3668"/>
    <w:rsid w:val="006D4A89"/>
    <w:rsid w:val="006D4E4F"/>
    <w:rsid w:val="006D5921"/>
    <w:rsid w:val="006D6B5F"/>
    <w:rsid w:val="006D7793"/>
    <w:rsid w:val="006D7B27"/>
    <w:rsid w:val="006E0E80"/>
    <w:rsid w:val="006E2BFD"/>
    <w:rsid w:val="006E4B10"/>
    <w:rsid w:val="006E4F90"/>
    <w:rsid w:val="006E56E9"/>
    <w:rsid w:val="006E7DDD"/>
    <w:rsid w:val="006F071E"/>
    <w:rsid w:val="006F21E8"/>
    <w:rsid w:val="006F31DF"/>
    <w:rsid w:val="006F374E"/>
    <w:rsid w:val="006F6102"/>
    <w:rsid w:val="00704A8D"/>
    <w:rsid w:val="00704B9E"/>
    <w:rsid w:val="00704CEA"/>
    <w:rsid w:val="007058A6"/>
    <w:rsid w:val="00705C34"/>
    <w:rsid w:val="007060D1"/>
    <w:rsid w:val="007063D8"/>
    <w:rsid w:val="00706A04"/>
    <w:rsid w:val="00706A82"/>
    <w:rsid w:val="007111C2"/>
    <w:rsid w:val="00711674"/>
    <w:rsid w:val="00711749"/>
    <w:rsid w:val="00712841"/>
    <w:rsid w:val="00712E74"/>
    <w:rsid w:val="00712EB7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2660"/>
    <w:rsid w:val="0074325D"/>
    <w:rsid w:val="0074426A"/>
    <w:rsid w:val="00744CFA"/>
    <w:rsid w:val="00745129"/>
    <w:rsid w:val="00745D70"/>
    <w:rsid w:val="007503F7"/>
    <w:rsid w:val="00752361"/>
    <w:rsid w:val="00752E87"/>
    <w:rsid w:val="0075356B"/>
    <w:rsid w:val="00753C57"/>
    <w:rsid w:val="00756C74"/>
    <w:rsid w:val="0075718A"/>
    <w:rsid w:val="007574C9"/>
    <w:rsid w:val="007578C0"/>
    <w:rsid w:val="00757A71"/>
    <w:rsid w:val="00760004"/>
    <w:rsid w:val="00765C0A"/>
    <w:rsid w:val="00765D10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566D"/>
    <w:rsid w:val="00786AEB"/>
    <w:rsid w:val="007870B7"/>
    <w:rsid w:val="00787388"/>
    <w:rsid w:val="007873D8"/>
    <w:rsid w:val="007876B0"/>
    <w:rsid w:val="00790FD3"/>
    <w:rsid w:val="007912F6"/>
    <w:rsid w:val="00791D3A"/>
    <w:rsid w:val="00792C8B"/>
    <w:rsid w:val="007930D3"/>
    <w:rsid w:val="00794766"/>
    <w:rsid w:val="007955F4"/>
    <w:rsid w:val="00795629"/>
    <w:rsid w:val="00795BD9"/>
    <w:rsid w:val="00796398"/>
    <w:rsid w:val="00797F2F"/>
    <w:rsid w:val="007A0320"/>
    <w:rsid w:val="007A08EA"/>
    <w:rsid w:val="007A1EBB"/>
    <w:rsid w:val="007A2301"/>
    <w:rsid w:val="007A40B2"/>
    <w:rsid w:val="007A70DD"/>
    <w:rsid w:val="007A7F7C"/>
    <w:rsid w:val="007B17E6"/>
    <w:rsid w:val="007B3D45"/>
    <w:rsid w:val="007B45B4"/>
    <w:rsid w:val="007B575F"/>
    <w:rsid w:val="007B5855"/>
    <w:rsid w:val="007B68A3"/>
    <w:rsid w:val="007B7909"/>
    <w:rsid w:val="007B7BB6"/>
    <w:rsid w:val="007C1743"/>
    <w:rsid w:val="007C3924"/>
    <w:rsid w:val="007C51D3"/>
    <w:rsid w:val="007C7BCF"/>
    <w:rsid w:val="007D0275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6DE5"/>
    <w:rsid w:val="007D75EE"/>
    <w:rsid w:val="007E13F9"/>
    <w:rsid w:val="007E18B2"/>
    <w:rsid w:val="007E3088"/>
    <w:rsid w:val="007E4D5A"/>
    <w:rsid w:val="007E5252"/>
    <w:rsid w:val="007E666B"/>
    <w:rsid w:val="007E68F5"/>
    <w:rsid w:val="007E6BF9"/>
    <w:rsid w:val="007E7215"/>
    <w:rsid w:val="007E79D3"/>
    <w:rsid w:val="007E7B82"/>
    <w:rsid w:val="007F10C5"/>
    <w:rsid w:val="007F1A59"/>
    <w:rsid w:val="007F3D8E"/>
    <w:rsid w:val="007F4232"/>
    <w:rsid w:val="007F4368"/>
    <w:rsid w:val="007F648B"/>
    <w:rsid w:val="007F6A4A"/>
    <w:rsid w:val="007F77A3"/>
    <w:rsid w:val="00801D78"/>
    <w:rsid w:val="00802131"/>
    <w:rsid w:val="00803447"/>
    <w:rsid w:val="00804F7B"/>
    <w:rsid w:val="0080543C"/>
    <w:rsid w:val="0080789F"/>
    <w:rsid w:val="0081044F"/>
    <w:rsid w:val="00810C53"/>
    <w:rsid w:val="008110F2"/>
    <w:rsid w:val="0081159C"/>
    <w:rsid w:val="0081272F"/>
    <w:rsid w:val="00813A0D"/>
    <w:rsid w:val="00817196"/>
    <w:rsid w:val="00817BE8"/>
    <w:rsid w:val="008206F8"/>
    <w:rsid w:val="00820A08"/>
    <w:rsid w:val="00820EC6"/>
    <w:rsid w:val="00821CC2"/>
    <w:rsid w:val="00822381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423D"/>
    <w:rsid w:val="0084584A"/>
    <w:rsid w:val="00847325"/>
    <w:rsid w:val="00847B56"/>
    <w:rsid w:val="00851668"/>
    <w:rsid w:val="00853C66"/>
    <w:rsid w:val="00854967"/>
    <w:rsid w:val="00856D88"/>
    <w:rsid w:val="008577F3"/>
    <w:rsid w:val="00857E81"/>
    <w:rsid w:val="00860F7B"/>
    <w:rsid w:val="0086174C"/>
    <w:rsid w:val="00864B35"/>
    <w:rsid w:val="00865464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1A1E"/>
    <w:rsid w:val="00892052"/>
    <w:rsid w:val="00892E40"/>
    <w:rsid w:val="00894A19"/>
    <w:rsid w:val="008A1D0F"/>
    <w:rsid w:val="008A1E5F"/>
    <w:rsid w:val="008A30A1"/>
    <w:rsid w:val="008A3B91"/>
    <w:rsid w:val="008A42C7"/>
    <w:rsid w:val="008A5890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38C6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183B"/>
    <w:rsid w:val="00902D6C"/>
    <w:rsid w:val="00902F0A"/>
    <w:rsid w:val="00904088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17944"/>
    <w:rsid w:val="00920082"/>
    <w:rsid w:val="00921C64"/>
    <w:rsid w:val="00924819"/>
    <w:rsid w:val="00927E29"/>
    <w:rsid w:val="009305BC"/>
    <w:rsid w:val="009321CE"/>
    <w:rsid w:val="0093372D"/>
    <w:rsid w:val="009357D6"/>
    <w:rsid w:val="00937638"/>
    <w:rsid w:val="00937743"/>
    <w:rsid w:val="00937A41"/>
    <w:rsid w:val="00940667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0E9C"/>
    <w:rsid w:val="0096162D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1C1E"/>
    <w:rsid w:val="00972734"/>
    <w:rsid w:val="00973DDC"/>
    <w:rsid w:val="00974056"/>
    <w:rsid w:val="00974717"/>
    <w:rsid w:val="00975923"/>
    <w:rsid w:val="00975F7B"/>
    <w:rsid w:val="00981AA0"/>
    <w:rsid w:val="00981CED"/>
    <w:rsid w:val="00982968"/>
    <w:rsid w:val="009834C7"/>
    <w:rsid w:val="0098376A"/>
    <w:rsid w:val="0098456E"/>
    <w:rsid w:val="00986974"/>
    <w:rsid w:val="0098772E"/>
    <w:rsid w:val="00990616"/>
    <w:rsid w:val="00993159"/>
    <w:rsid w:val="00995E4C"/>
    <w:rsid w:val="009967A6"/>
    <w:rsid w:val="009A0304"/>
    <w:rsid w:val="009A0497"/>
    <w:rsid w:val="009A1052"/>
    <w:rsid w:val="009A1C35"/>
    <w:rsid w:val="009A2503"/>
    <w:rsid w:val="009A361A"/>
    <w:rsid w:val="009A38EB"/>
    <w:rsid w:val="009A3C46"/>
    <w:rsid w:val="009A4608"/>
    <w:rsid w:val="009A58A6"/>
    <w:rsid w:val="009A5EA3"/>
    <w:rsid w:val="009A7184"/>
    <w:rsid w:val="009B337B"/>
    <w:rsid w:val="009B3F57"/>
    <w:rsid w:val="009B40EA"/>
    <w:rsid w:val="009B47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BA0"/>
    <w:rsid w:val="00A11CD1"/>
    <w:rsid w:val="00A1329F"/>
    <w:rsid w:val="00A13CA3"/>
    <w:rsid w:val="00A148D9"/>
    <w:rsid w:val="00A156C6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34B06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42E3"/>
    <w:rsid w:val="00A6623F"/>
    <w:rsid w:val="00A701C7"/>
    <w:rsid w:val="00A70BE9"/>
    <w:rsid w:val="00A712D1"/>
    <w:rsid w:val="00A72DF6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4D70"/>
    <w:rsid w:val="00AA4DF5"/>
    <w:rsid w:val="00AA6461"/>
    <w:rsid w:val="00AB3448"/>
    <w:rsid w:val="00AB3AEA"/>
    <w:rsid w:val="00AB3C7E"/>
    <w:rsid w:val="00AB4D56"/>
    <w:rsid w:val="00AB4E7D"/>
    <w:rsid w:val="00AB519A"/>
    <w:rsid w:val="00AC20CA"/>
    <w:rsid w:val="00AC45CB"/>
    <w:rsid w:val="00AC4DCC"/>
    <w:rsid w:val="00AC591E"/>
    <w:rsid w:val="00AD08FA"/>
    <w:rsid w:val="00AD13BC"/>
    <w:rsid w:val="00AD1846"/>
    <w:rsid w:val="00AD19A4"/>
    <w:rsid w:val="00AD1A23"/>
    <w:rsid w:val="00AD227A"/>
    <w:rsid w:val="00AD2DFC"/>
    <w:rsid w:val="00AD2E6E"/>
    <w:rsid w:val="00AD3B34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343E"/>
    <w:rsid w:val="00AF4248"/>
    <w:rsid w:val="00AF5CEC"/>
    <w:rsid w:val="00AF5D59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4770"/>
    <w:rsid w:val="00B05AF8"/>
    <w:rsid w:val="00B070AE"/>
    <w:rsid w:val="00B077F4"/>
    <w:rsid w:val="00B07BC8"/>
    <w:rsid w:val="00B11A5B"/>
    <w:rsid w:val="00B13586"/>
    <w:rsid w:val="00B148D5"/>
    <w:rsid w:val="00B15F05"/>
    <w:rsid w:val="00B15F63"/>
    <w:rsid w:val="00B16410"/>
    <w:rsid w:val="00B16D69"/>
    <w:rsid w:val="00B17D83"/>
    <w:rsid w:val="00B20A2E"/>
    <w:rsid w:val="00B20F6A"/>
    <w:rsid w:val="00B21AE8"/>
    <w:rsid w:val="00B22DA8"/>
    <w:rsid w:val="00B24377"/>
    <w:rsid w:val="00B2659E"/>
    <w:rsid w:val="00B2694C"/>
    <w:rsid w:val="00B27DB7"/>
    <w:rsid w:val="00B31F41"/>
    <w:rsid w:val="00B32CCF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04DF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56355"/>
    <w:rsid w:val="00B6018F"/>
    <w:rsid w:val="00B60647"/>
    <w:rsid w:val="00B60AA0"/>
    <w:rsid w:val="00B61012"/>
    <w:rsid w:val="00B61566"/>
    <w:rsid w:val="00B61777"/>
    <w:rsid w:val="00B62D6F"/>
    <w:rsid w:val="00B63342"/>
    <w:rsid w:val="00B63568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2D34"/>
    <w:rsid w:val="00B85AFC"/>
    <w:rsid w:val="00B92F68"/>
    <w:rsid w:val="00B95E33"/>
    <w:rsid w:val="00B96345"/>
    <w:rsid w:val="00B965EF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883"/>
    <w:rsid w:val="00BD5935"/>
    <w:rsid w:val="00BD5CE5"/>
    <w:rsid w:val="00BD6BB5"/>
    <w:rsid w:val="00BD739F"/>
    <w:rsid w:val="00BD7A75"/>
    <w:rsid w:val="00BE0932"/>
    <w:rsid w:val="00BE0FF6"/>
    <w:rsid w:val="00BE300E"/>
    <w:rsid w:val="00BE3530"/>
    <w:rsid w:val="00BE39AA"/>
    <w:rsid w:val="00BE59AB"/>
    <w:rsid w:val="00BE644F"/>
    <w:rsid w:val="00BE7C8B"/>
    <w:rsid w:val="00BF00EA"/>
    <w:rsid w:val="00BF0D3F"/>
    <w:rsid w:val="00BF1CF6"/>
    <w:rsid w:val="00BF2948"/>
    <w:rsid w:val="00BF30F2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5ED8"/>
    <w:rsid w:val="00C16F1C"/>
    <w:rsid w:val="00C17A89"/>
    <w:rsid w:val="00C17D53"/>
    <w:rsid w:val="00C20346"/>
    <w:rsid w:val="00C21796"/>
    <w:rsid w:val="00C21FED"/>
    <w:rsid w:val="00C22907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3BBE"/>
    <w:rsid w:val="00C44C71"/>
    <w:rsid w:val="00C44F1F"/>
    <w:rsid w:val="00C4563F"/>
    <w:rsid w:val="00C46318"/>
    <w:rsid w:val="00C4666A"/>
    <w:rsid w:val="00C46C03"/>
    <w:rsid w:val="00C47E55"/>
    <w:rsid w:val="00C51873"/>
    <w:rsid w:val="00C51D32"/>
    <w:rsid w:val="00C527EE"/>
    <w:rsid w:val="00C528FC"/>
    <w:rsid w:val="00C536EF"/>
    <w:rsid w:val="00C53C3E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103C"/>
    <w:rsid w:val="00C83E50"/>
    <w:rsid w:val="00C83FAE"/>
    <w:rsid w:val="00C8487B"/>
    <w:rsid w:val="00C84984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61F9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0A2F"/>
    <w:rsid w:val="00CD16B9"/>
    <w:rsid w:val="00CD30AB"/>
    <w:rsid w:val="00CD37B8"/>
    <w:rsid w:val="00CD3EC0"/>
    <w:rsid w:val="00CD4B15"/>
    <w:rsid w:val="00CD4E11"/>
    <w:rsid w:val="00CD7BC7"/>
    <w:rsid w:val="00CD7E52"/>
    <w:rsid w:val="00CE035A"/>
    <w:rsid w:val="00CE0D82"/>
    <w:rsid w:val="00CE1A71"/>
    <w:rsid w:val="00CE1D19"/>
    <w:rsid w:val="00CE1EE4"/>
    <w:rsid w:val="00CE4212"/>
    <w:rsid w:val="00CE4940"/>
    <w:rsid w:val="00CE4A44"/>
    <w:rsid w:val="00CE51B3"/>
    <w:rsid w:val="00CE6257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605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2BE2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178E6"/>
    <w:rsid w:val="00D20570"/>
    <w:rsid w:val="00D21CCC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5C79"/>
    <w:rsid w:val="00D56711"/>
    <w:rsid w:val="00D567D8"/>
    <w:rsid w:val="00D56F05"/>
    <w:rsid w:val="00D6275E"/>
    <w:rsid w:val="00D649C1"/>
    <w:rsid w:val="00D6687F"/>
    <w:rsid w:val="00D66BE0"/>
    <w:rsid w:val="00D67B39"/>
    <w:rsid w:val="00D715A8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0CC0"/>
    <w:rsid w:val="00D8111E"/>
    <w:rsid w:val="00D827D0"/>
    <w:rsid w:val="00D82B60"/>
    <w:rsid w:val="00D82D92"/>
    <w:rsid w:val="00D82E93"/>
    <w:rsid w:val="00D837A0"/>
    <w:rsid w:val="00D83BBC"/>
    <w:rsid w:val="00D8470B"/>
    <w:rsid w:val="00D84E5D"/>
    <w:rsid w:val="00D85406"/>
    <w:rsid w:val="00D90BFA"/>
    <w:rsid w:val="00D916E1"/>
    <w:rsid w:val="00D933CE"/>
    <w:rsid w:val="00D94462"/>
    <w:rsid w:val="00D9464E"/>
    <w:rsid w:val="00D952F9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A6A5B"/>
    <w:rsid w:val="00DB0A67"/>
    <w:rsid w:val="00DB0FA2"/>
    <w:rsid w:val="00DB2076"/>
    <w:rsid w:val="00DB337A"/>
    <w:rsid w:val="00DB3826"/>
    <w:rsid w:val="00DB3B8F"/>
    <w:rsid w:val="00DB51F9"/>
    <w:rsid w:val="00DB6937"/>
    <w:rsid w:val="00DB6AD5"/>
    <w:rsid w:val="00DB6AEE"/>
    <w:rsid w:val="00DB7681"/>
    <w:rsid w:val="00DB781F"/>
    <w:rsid w:val="00DC05D1"/>
    <w:rsid w:val="00DC07EC"/>
    <w:rsid w:val="00DC1608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2F4A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5AC"/>
    <w:rsid w:val="00DF7A15"/>
    <w:rsid w:val="00E00540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023"/>
    <w:rsid w:val="00E10C04"/>
    <w:rsid w:val="00E1175E"/>
    <w:rsid w:val="00E13202"/>
    <w:rsid w:val="00E133E3"/>
    <w:rsid w:val="00E13D51"/>
    <w:rsid w:val="00E140C0"/>
    <w:rsid w:val="00E14BF6"/>
    <w:rsid w:val="00E14DDA"/>
    <w:rsid w:val="00E1507C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5812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41EE"/>
    <w:rsid w:val="00E55F64"/>
    <w:rsid w:val="00E56F14"/>
    <w:rsid w:val="00E600BB"/>
    <w:rsid w:val="00E6055E"/>
    <w:rsid w:val="00E60FAD"/>
    <w:rsid w:val="00E61C6B"/>
    <w:rsid w:val="00E62D40"/>
    <w:rsid w:val="00E643CE"/>
    <w:rsid w:val="00E7016D"/>
    <w:rsid w:val="00E72502"/>
    <w:rsid w:val="00E72F71"/>
    <w:rsid w:val="00E75D43"/>
    <w:rsid w:val="00E7641B"/>
    <w:rsid w:val="00E76E52"/>
    <w:rsid w:val="00E8095A"/>
    <w:rsid w:val="00E81850"/>
    <w:rsid w:val="00E8323E"/>
    <w:rsid w:val="00E843DC"/>
    <w:rsid w:val="00E850E8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8D5"/>
    <w:rsid w:val="00EA2FDA"/>
    <w:rsid w:val="00EA5037"/>
    <w:rsid w:val="00EA6775"/>
    <w:rsid w:val="00EA711F"/>
    <w:rsid w:val="00EB0892"/>
    <w:rsid w:val="00EB12AF"/>
    <w:rsid w:val="00EB3C2D"/>
    <w:rsid w:val="00EB7593"/>
    <w:rsid w:val="00EB76DB"/>
    <w:rsid w:val="00EC2930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131E"/>
    <w:rsid w:val="00EF3B80"/>
    <w:rsid w:val="00EF3FC0"/>
    <w:rsid w:val="00EF45D3"/>
    <w:rsid w:val="00EF4EDF"/>
    <w:rsid w:val="00EF4F82"/>
    <w:rsid w:val="00EF5643"/>
    <w:rsid w:val="00EF577C"/>
    <w:rsid w:val="00EF58FE"/>
    <w:rsid w:val="00EF5A58"/>
    <w:rsid w:val="00EF6D07"/>
    <w:rsid w:val="00EF701A"/>
    <w:rsid w:val="00F00461"/>
    <w:rsid w:val="00F006F9"/>
    <w:rsid w:val="00F00F45"/>
    <w:rsid w:val="00F00FE6"/>
    <w:rsid w:val="00F0477B"/>
    <w:rsid w:val="00F04D3B"/>
    <w:rsid w:val="00F04E6D"/>
    <w:rsid w:val="00F069F6"/>
    <w:rsid w:val="00F075B4"/>
    <w:rsid w:val="00F07911"/>
    <w:rsid w:val="00F10B6A"/>
    <w:rsid w:val="00F112A5"/>
    <w:rsid w:val="00F11DB4"/>
    <w:rsid w:val="00F123FA"/>
    <w:rsid w:val="00F12A2B"/>
    <w:rsid w:val="00F13F8D"/>
    <w:rsid w:val="00F20AEB"/>
    <w:rsid w:val="00F2126B"/>
    <w:rsid w:val="00F21457"/>
    <w:rsid w:val="00F21BE2"/>
    <w:rsid w:val="00F21F4F"/>
    <w:rsid w:val="00F22334"/>
    <w:rsid w:val="00F23C3E"/>
    <w:rsid w:val="00F242D8"/>
    <w:rsid w:val="00F243EE"/>
    <w:rsid w:val="00F24853"/>
    <w:rsid w:val="00F24B63"/>
    <w:rsid w:val="00F267BD"/>
    <w:rsid w:val="00F276C0"/>
    <w:rsid w:val="00F27DFD"/>
    <w:rsid w:val="00F302B1"/>
    <w:rsid w:val="00F30394"/>
    <w:rsid w:val="00F30E13"/>
    <w:rsid w:val="00F32809"/>
    <w:rsid w:val="00F3495A"/>
    <w:rsid w:val="00F365A4"/>
    <w:rsid w:val="00F36FA4"/>
    <w:rsid w:val="00F407F0"/>
    <w:rsid w:val="00F40F08"/>
    <w:rsid w:val="00F425B5"/>
    <w:rsid w:val="00F42A25"/>
    <w:rsid w:val="00F45789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60B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3F1"/>
    <w:rsid w:val="00F86E37"/>
    <w:rsid w:val="00F87EDC"/>
    <w:rsid w:val="00F90092"/>
    <w:rsid w:val="00F90721"/>
    <w:rsid w:val="00F90D5D"/>
    <w:rsid w:val="00F92026"/>
    <w:rsid w:val="00F9316F"/>
    <w:rsid w:val="00F93FE9"/>
    <w:rsid w:val="00F9576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1781"/>
    <w:rsid w:val="00FD2AC0"/>
    <w:rsid w:val="00FD2AE4"/>
    <w:rsid w:val="00FD2E64"/>
    <w:rsid w:val="00FD41DD"/>
    <w:rsid w:val="00FD6DC2"/>
    <w:rsid w:val="00FE3BB0"/>
    <w:rsid w:val="00FE408C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9EAE8F6"/>
  <w15:docId w15:val="{3FD0356D-0A68-443C-9711-D33701C4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42415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415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2415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4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4150"/>
    <w:rPr>
      <w:b/>
      <w:bCs/>
      <w:lang w:eastAsia="en-US"/>
    </w:rPr>
  </w:style>
  <w:style w:type="paragraph" w:styleId="Revision">
    <w:name w:val="Revision"/>
    <w:hidden/>
    <w:uiPriority w:val="99"/>
    <w:semiHidden/>
    <w:rsid w:val="006E0E8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Eyl&#252;l%202024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Eyl&#252;l%202024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Eyl&#252;l%202024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Eyl&#252;l%202024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Eyl&#252;l%202024\DATA-Grafi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Eyl&#252;l%202024\DATA-Grafik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Eyl&#252;l%202024\DATA-Grafik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6605673001901584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45444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F0-4937-BF8E-654E52367CB6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45444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F0-4937-BF8E-654E52367CB6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45444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F0-4937-BF8E-654E52367CB6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45444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CF0-4937-BF8E-654E52367CB6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45444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CF0-4937-BF8E-654E52367CB6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1087386318703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CF0-4937-BF8E-654E52367C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45444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CF0-4937-BF8E-654E52367C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22035424"/>
        <c:axId val="1722045216"/>
      </c:barChart>
      <c:dateAx>
        <c:axId val="1722035424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1722045216"/>
        <c:crosses val="autoZero"/>
        <c:auto val="1"/>
        <c:lblOffset val="100"/>
        <c:baseTimeUnit val="days"/>
      </c:dateAx>
      <c:valAx>
        <c:axId val="1722045216"/>
        <c:scaling>
          <c:orientation val="minMax"/>
          <c:max val="63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722035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'çalışan grafik'!$C$45</c:f>
              <c:strCache>
                <c:ptCount val="1"/>
                <c:pt idx="0">
                  <c:v>Mevduat bankaları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grafik'!$D$44:$G$44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 formatCode="mmm\-yy">
                  <c:v>45536</c:v>
                </c:pt>
              </c:numCache>
            </c:numRef>
          </c:cat>
          <c:val>
            <c:numRef>
              <c:f>'çalışan grafik'!$D$45:$G$45</c:f>
              <c:numCache>
                <c:formatCode>#,##0.0</c:formatCode>
                <c:ptCount val="4"/>
                <c:pt idx="0">
                  <c:v>179.68100000000001</c:v>
                </c:pt>
                <c:pt idx="1">
                  <c:v>182.96299999999999</c:v>
                </c:pt>
                <c:pt idx="2">
                  <c:v>182.79</c:v>
                </c:pt>
                <c:pt idx="3">
                  <c:v>182.08199999999999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EC-40C5-A4CF-C29BFC4C6125}"/>
            </c:ext>
          </c:extLst>
        </c:ser>
        <c:ser>
          <c:idx val="1"/>
          <c:order val="1"/>
          <c:tx>
            <c:strRef>
              <c:f>'çalışan grafik'!$C$46</c:f>
              <c:strCache>
                <c:ptCount val="1"/>
                <c:pt idx="0">
                  <c:v>Kalkınma ve yatırım bankaları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grafik'!$D$44:$G$44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 formatCode="mmm\-yy">
                  <c:v>45536</c:v>
                </c:pt>
              </c:numCache>
            </c:numRef>
          </c:cat>
          <c:val>
            <c:numRef>
              <c:f>'çalışan grafik'!$D$46:$G$46</c:f>
              <c:numCache>
                <c:formatCode>#,##0.0</c:formatCode>
                <c:ptCount val="4"/>
                <c:pt idx="0">
                  <c:v>5.5670000000000002</c:v>
                </c:pt>
                <c:pt idx="1">
                  <c:v>5.7</c:v>
                </c:pt>
                <c:pt idx="2">
                  <c:v>6.3170000000000002</c:v>
                </c:pt>
                <c:pt idx="3">
                  <c:v>6.4820000000000002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EC-40C5-A4CF-C29BFC4C612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34056496"/>
        <c:axId val="934038256"/>
      </c:barChart>
      <c:catAx>
        <c:axId val="93405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934038256"/>
        <c:crosses val="autoZero"/>
        <c:auto val="1"/>
        <c:lblAlgn val="ctr"/>
        <c:lblOffset val="100"/>
        <c:noMultiLvlLbl val="0"/>
      </c:catAx>
      <c:valAx>
        <c:axId val="934038256"/>
        <c:scaling>
          <c:orientation val="minMax"/>
          <c:max val="190"/>
          <c:min val="170"/>
        </c:scaling>
        <c:delete val="1"/>
        <c:axPos val="l"/>
        <c:numFmt formatCode="#,##0" sourceLinked="0"/>
        <c:majorTickMark val="out"/>
        <c:minorTickMark val="none"/>
        <c:tickLblPos val="nextTo"/>
        <c:crossAx val="934056496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CF4-4225-B342-E994470F04B1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CF4-4225-B342-E994470F04B1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92298</c:v>
                </c:pt>
                <c:pt idx="1">
                  <c:v>96266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CF4-4225-B342-E994470F04B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2B-4951-9A5D-B088FB009172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2B-4951-9A5D-B088FB009172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72B-4951-9A5D-B088FB009172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72B-4951-9A5D-B088FB009172}"/>
              </c:ext>
            </c:extLst>
          </c:dPt>
          <c:dLbls>
            <c:dLbl>
              <c:idx val="0"/>
              <c:layout>
                <c:manualLayout>
                  <c:x val="4.1283902012248467E-3"/>
                  <c:y val="9.47973564115296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626031121109864"/>
                      <c:h val="0.31698056324040574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972B-4951-9A5D-B088FB009172}"/>
                </c:ext>
              </c:extLst>
            </c:dLbl>
            <c:dLbl>
              <c:idx val="1"/>
              <c:layout>
                <c:manualLayout>
                  <c:x val="-1.5732980929831324E-2"/>
                  <c:y val="-0.2493757353606661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39682539682538"/>
                      <c:h val="0.2316393442622950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972B-4951-9A5D-B088FB009172}"/>
                </c:ext>
              </c:extLst>
            </c:dLbl>
            <c:dLbl>
              <c:idx val="2"/>
              <c:layout>
                <c:manualLayout>
                  <c:x val="3.4126984126984124E-2"/>
                  <c:y val="-0.1851055780189639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106861642294715"/>
                      <c:h val="0.2306307818080116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972B-4951-9A5D-B088FB009172}"/>
                </c:ext>
              </c:extLst>
            </c:dLbl>
            <c:dLbl>
              <c:idx val="3"/>
              <c:layout>
                <c:manualLayout>
                  <c:x val="2.0645075615547966E-2"/>
                  <c:y val="-2.45188101487315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639349768778903"/>
                      <c:h val="0.20124790144475183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972B-4951-9A5D-B088FB009172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148.74100000000001</c:v>
                </c:pt>
                <c:pt idx="1">
                  <c:v>20.667999999999999</c:v>
                </c:pt>
                <c:pt idx="2">
                  <c:v>18.552</c:v>
                </c:pt>
                <c:pt idx="3">
                  <c:v>0.60299999999999998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72B-4951-9A5D-B088FB00917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Yaş!$A$39</c:f>
              <c:strCache>
                <c:ptCount val="1"/>
                <c:pt idx="0">
                  <c:v>Erkek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563-44DD-A47F-0E6A91B69ED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3563-44DD-A47F-0E6A91B69ED7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3563-44DD-A47F-0E6A91B69ED7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3563-44DD-A47F-0E6A91B69ED7}"/>
                </c:ext>
              </c:extLst>
            </c:dLbl>
            <c:dLbl>
              <c:idx val="4"/>
              <c:layout>
                <c:manualLayout>
                  <c:x val="6.8682336083526641E-2"/>
                  <c:y val="-3.242630385487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563-44DD-A47F-0E6A91B69E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2.3355415840330815</c:v>
                </c:pt>
                <c:pt idx="1">
                  <c:v>16.202687877125619</c:v>
                </c:pt>
                <c:pt idx="2">
                  <c:v>22.567407907506645</c:v>
                </c:pt>
                <c:pt idx="3">
                  <c:v>6.9496603232203888</c:v>
                </c:pt>
                <c:pt idx="4" formatCode="0.0">
                  <c:v>0.62660871766741211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563-44DD-A47F-0E6A91B69ED7}"/>
            </c:ext>
          </c:extLst>
        </c:ser>
        <c:ser>
          <c:idx val="1"/>
          <c:order val="1"/>
          <c:tx>
            <c:strRef>
              <c:f>Yaş!$A$40</c:f>
              <c:strCache>
                <c:ptCount val="1"/>
                <c:pt idx="0">
                  <c:v>Kadın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563-44DD-A47F-0E6A91B69ED7}"/>
                </c:ext>
              </c:extLst>
            </c:dLbl>
            <c:dLbl>
              <c:idx val="4"/>
              <c:layout>
                <c:manualLayout>
                  <c:x val="6.8682336083526641E-2"/>
                  <c:y val="-0.1121128117913830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563-44DD-A47F-0E6A91B69E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3.2311489936284228</c:v>
                </c:pt>
                <c:pt idx="1">
                  <c:v>21.415460567956455</c:v>
                </c:pt>
                <c:pt idx="2">
                  <c:v>20.845288830752352</c:v>
                </c:pt>
                <c:pt idx="3">
                  <c:v>5.0017933246128532</c:v>
                </c:pt>
                <c:pt idx="4" formatCode="0.0">
                  <c:v>0.28165745390100849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563-44DD-A47F-0E6A91B69E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53339328"/>
        <c:axId val="1953337696"/>
      </c:barChart>
      <c:catAx>
        <c:axId val="195333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53337696"/>
        <c:crosses val="autoZero"/>
        <c:auto val="1"/>
        <c:lblAlgn val="ctr"/>
        <c:lblOffset val="100"/>
        <c:noMultiLvlLbl val="0"/>
      </c:catAx>
      <c:valAx>
        <c:axId val="1953337696"/>
        <c:scaling>
          <c:orientation val="minMax"/>
          <c:max val="45"/>
          <c:min val="0"/>
        </c:scaling>
        <c:delete val="1"/>
        <c:axPos val="l"/>
        <c:numFmt formatCode="0" sourceLinked="0"/>
        <c:majorTickMark val="none"/>
        <c:minorTickMark val="none"/>
        <c:tickLblPos val="nextTo"/>
        <c:crossAx val="195333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Şube!$B$18</c:f>
              <c:strCache>
                <c:ptCount val="1"/>
                <c:pt idx="0">
                  <c:v>Mevduat bankaları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Şube!$C$17:$F$17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Eyl-2024</c:v>
                </c:pt>
              </c:strCache>
            </c:strRef>
          </c:cat>
          <c:val>
            <c:numRef>
              <c:f>Şube!$C$18:$F$18</c:f>
              <c:numCache>
                <c:formatCode>#,##0</c:formatCode>
                <c:ptCount val="4"/>
                <c:pt idx="0">
                  <c:v>9724</c:v>
                </c:pt>
                <c:pt idx="1">
                  <c:v>9590</c:v>
                </c:pt>
                <c:pt idx="2">
                  <c:v>9422</c:v>
                </c:pt>
                <c:pt idx="3">
                  <c:v>9379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BA-48DA-B181-B09E75D2629D}"/>
            </c:ext>
          </c:extLst>
        </c:ser>
        <c:ser>
          <c:idx val="1"/>
          <c:order val="1"/>
          <c:tx>
            <c:strRef>
              <c:f>Şube!$B$19</c:f>
              <c:strCache>
                <c:ptCount val="1"/>
                <c:pt idx="0">
                  <c:v>Kalkınma ve yatırım bankaları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Şube!$C$17:$F$17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Eyl-2024</c:v>
                </c:pt>
              </c:strCache>
            </c:strRef>
          </c:cat>
          <c:val>
            <c:numRef>
              <c:f>Şube!$C$19:$F$19</c:f>
              <c:numCache>
                <c:formatCode>#,##0</c:formatCode>
                <c:ptCount val="4"/>
                <c:pt idx="0">
                  <c:v>68</c:v>
                </c:pt>
                <c:pt idx="1">
                  <c:v>71</c:v>
                </c:pt>
                <c:pt idx="2">
                  <c:v>75</c:v>
                </c:pt>
                <c:pt idx="3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BA-48DA-B181-B09E75D262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76531072"/>
        <c:axId val="476535872"/>
      </c:barChart>
      <c:catAx>
        <c:axId val="476531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476535872"/>
        <c:crosses val="autoZero"/>
        <c:auto val="1"/>
        <c:lblAlgn val="ctr"/>
        <c:lblOffset val="100"/>
        <c:noMultiLvlLbl val="0"/>
      </c:catAx>
      <c:valAx>
        <c:axId val="476535872"/>
        <c:scaling>
          <c:orientation val="minMax"/>
          <c:max val="9800"/>
        </c:scaling>
        <c:delete val="1"/>
        <c:axPos val="l"/>
        <c:numFmt formatCode="#,##0" sourceLinked="1"/>
        <c:majorTickMark val="none"/>
        <c:minorTickMark val="none"/>
        <c:tickLblPos val="nextTo"/>
        <c:crossAx val="476531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</a:defRPr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16872427983548E-2"/>
          <c:y val="6.129773939904521E-2"/>
          <c:w val="0.86018189300411518"/>
          <c:h val="0.69390401221566977"/>
        </c:manualLayout>
      </c:layout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göre'!$J$1:$O$1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 formatCode="mmm\-yy">
                  <c:v>45352</c:v>
                </c:pt>
                <c:pt idx="4" formatCode="mmm\-yy">
                  <c:v>45444</c:v>
                </c:pt>
                <c:pt idx="5" formatCode="mmm\-yy">
                  <c:v>45536</c:v>
                </c:pt>
              </c:numCache>
            </c:numRef>
          </c:cat>
          <c:val>
            <c:numRef>
              <c:f>'nüfusa göre'!$J$3:$O$3</c:f>
              <c:numCache>
                <c:formatCode>0.0</c:formatCode>
                <c:ptCount val="6"/>
                <c:pt idx="0">
                  <c:v>11.563496022267193</c:v>
                </c:pt>
                <c:pt idx="1">
                  <c:v>11.328624107586492</c:v>
                </c:pt>
                <c:pt idx="2">
                  <c:v>11.136315407281742</c:v>
                </c:pt>
                <c:pt idx="3">
                  <c:v>11.123035733209115</c:v>
                </c:pt>
                <c:pt idx="4">
                  <c:v>11.082038866037431</c:v>
                </c:pt>
                <c:pt idx="5">
                  <c:v>11.079696187913335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9E5-4FB3-BC42-130EA6B551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3487744"/>
        <c:axId val="1763483936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göre'!$J$1:$O$1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 formatCode="mmm\-yy">
                  <c:v>45352</c:v>
                </c:pt>
                <c:pt idx="4" formatCode="mmm\-yy">
                  <c:v>45444</c:v>
                </c:pt>
                <c:pt idx="5" formatCode="mmm\-yy">
                  <c:v>45536</c:v>
                </c:pt>
              </c:numCache>
            </c:numRef>
          </c:cat>
          <c:val>
            <c:numRef>
              <c:f>'nüfusa göre'!$J$4:$O$4</c:f>
              <c:numCache>
                <c:formatCode>0</c:formatCode>
                <c:ptCount val="6"/>
                <c:pt idx="0">
                  <c:v>218.76169435589799</c:v>
                </c:pt>
                <c:pt idx="1">
                  <c:v>221.25702277074552</c:v>
                </c:pt>
                <c:pt idx="2">
                  <c:v>221.74952066176988</c:v>
                </c:pt>
                <c:pt idx="3">
                  <c:v>222.59776133444194</c:v>
                </c:pt>
                <c:pt idx="4">
                  <c:v>222.07651545183052</c:v>
                </c:pt>
                <c:pt idx="5">
                  <c:v>220.87237889604503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E5-4FB3-BC42-130EA6B551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5711472"/>
        <c:axId val="1763488288"/>
      </c:lineChart>
      <c:catAx>
        <c:axId val="176348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3483936"/>
        <c:crosses val="autoZero"/>
        <c:auto val="1"/>
        <c:lblAlgn val="ctr"/>
        <c:lblOffset val="100"/>
        <c:noMultiLvlLbl val="0"/>
      </c:catAx>
      <c:valAx>
        <c:axId val="1763483936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3487744"/>
        <c:crosses val="autoZero"/>
        <c:crossBetween val="between"/>
        <c:majorUnit val="1"/>
      </c:valAx>
      <c:valAx>
        <c:axId val="1763488288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5711472"/>
        <c:crosses val="max"/>
        <c:crossBetween val="between"/>
        <c:majorUnit val="10"/>
      </c:valAx>
      <c:catAx>
        <c:axId val="15157114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634882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0.54031</cdr:y>
    </cdr:from>
    <cdr:to>
      <cdr:x>0.55542</cdr:x>
      <cdr:y>0.66994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347608" y="-470206"/>
          <a:ext cx="191961" cy="2732573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656B8-B859-4A68-9066-03E7C75F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308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Güneş Taş Memiş</cp:lastModifiedBy>
  <cp:revision>6</cp:revision>
  <cp:lastPrinted>2022-10-25T13:50:00Z</cp:lastPrinted>
  <dcterms:created xsi:type="dcterms:W3CDTF">2024-10-24T07:10:00Z</dcterms:created>
  <dcterms:modified xsi:type="dcterms:W3CDTF">2024-12-10T06:56:00Z</dcterms:modified>
</cp:coreProperties>
</file>