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A62D" w14:textId="77777777" w:rsidR="00F950A5" w:rsidRDefault="00F950A5" w:rsidP="004D2FE0">
      <w:pPr>
        <w:jc w:val="center"/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6D32FA45" w:rsidR="006A5465" w:rsidRPr="00D84197" w:rsidRDefault="00AD46F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 2024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173E2318"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>net bankacılığı hizmeti veren 2</w:t>
      </w:r>
      <w:r w:rsidR="007A6381" w:rsidRPr="006F25E4">
        <w:rPr>
          <w:rFonts w:ascii="Arial" w:hAnsi="Arial" w:cs="Arial"/>
          <w:sz w:val="22"/>
          <w:szCs w:val="22"/>
        </w:rPr>
        <w:t>8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</w:t>
      </w:r>
      <w:r w:rsidR="00391623" w:rsidRPr="009277B2">
        <w:rPr>
          <w:rFonts w:ascii="Arial" w:hAnsi="Arial"/>
          <w:sz w:val="22"/>
          <w:szCs w:val="22"/>
        </w:rPr>
        <w:t xml:space="preserve">veren </w:t>
      </w:r>
      <w:r w:rsidR="00BB13F8" w:rsidRPr="009277B2">
        <w:rPr>
          <w:rFonts w:ascii="Arial" w:hAnsi="Arial"/>
          <w:sz w:val="22"/>
          <w:szCs w:val="22"/>
        </w:rPr>
        <w:t>2</w:t>
      </w:r>
      <w:r w:rsidR="00C64BD2" w:rsidRPr="009277B2">
        <w:rPr>
          <w:rFonts w:ascii="Arial" w:hAnsi="Arial"/>
          <w:sz w:val="22"/>
          <w:szCs w:val="22"/>
        </w:rPr>
        <w:t>3</w:t>
      </w:r>
      <w:r w:rsidRPr="009277B2">
        <w:rPr>
          <w:rFonts w:ascii="Arial" w:hAnsi="Arial"/>
          <w:sz w:val="22"/>
          <w:szCs w:val="22"/>
        </w:rPr>
        <w:t xml:space="preserve"> banka</w:t>
      </w:r>
      <w:r w:rsidRPr="006F25E4">
        <w:rPr>
          <w:rFonts w:ascii="Arial" w:hAnsi="Arial"/>
          <w:sz w:val="22"/>
          <w:szCs w:val="22"/>
        </w:rPr>
        <w:t xml:space="preserve">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2E0A7474" w:rsidR="008B3601" w:rsidRPr="004357F6" w:rsidRDefault="00D056ED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 xml:space="preserve">Tekilleştirilmemiş </w:t>
      </w:r>
      <w:r w:rsidR="00A14853" w:rsidRPr="00227B9A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227B9A">
        <w:rPr>
          <w:rFonts w:ascii="Arial" w:hAnsi="Arial" w:cs="Arial"/>
          <w:b/>
          <w:color w:val="000000"/>
          <w:sz w:val="22"/>
          <w:szCs w:val="22"/>
        </w:rPr>
        <w:t>ktif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4853"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 xml:space="preserve"> 1</w:t>
      </w:r>
      <w:r w:rsidR="006C46C4">
        <w:rPr>
          <w:rFonts w:ascii="Arial" w:hAnsi="Arial" w:cs="Arial"/>
          <w:b/>
          <w:color w:val="000000"/>
          <w:sz w:val="22"/>
          <w:szCs w:val="22"/>
        </w:rPr>
        <w:t>1</w:t>
      </w:r>
      <w:r w:rsidR="009277B2">
        <w:rPr>
          <w:rFonts w:ascii="Arial" w:hAnsi="Arial" w:cs="Arial"/>
          <w:b/>
          <w:color w:val="000000"/>
          <w:sz w:val="22"/>
          <w:szCs w:val="22"/>
        </w:rPr>
        <w:t>9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4CF2F00E" w:rsidR="00471B63" w:rsidRDefault="00AD46F0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2024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 w:rsidR="00B13BDF" w:rsidRPr="004357F6">
        <w:rPr>
          <w:rFonts w:ascii="Arial" w:hAnsi="Arial" w:cs="Arial"/>
          <w:sz w:val="22"/>
          <w:szCs w:val="22"/>
        </w:rPr>
        <w:t xml:space="preserve">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C838EC">
        <w:rPr>
          <w:rFonts w:ascii="Arial" w:hAnsi="Arial" w:cs="Arial"/>
          <w:sz w:val="22"/>
          <w:szCs w:val="22"/>
        </w:rPr>
        <w:t>1</w:t>
      </w:r>
      <w:r w:rsidR="006C46C4">
        <w:rPr>
          <w:rFonts w:ascii="Arial" w:hAnsi="Arial" w:cs="Arial"/>
          <w:sz w:val="22"/>
          <w:szCs w:val="22"/>
        </w:rPr>
        <w:t>1</w:t>
      </w:r>
      <w:r w:rsidR="009277B2">
        <w:rPr>
          <w:rFonts w:ascii="Arial" w:hAnsi="Arial" w:cs="Arial"/>
          <w:sz w:val="22"/>
          <w:szCs w:val="22"/>
        </w:rPr>
        <w:t>9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9277B2">
        <w:rPr>
          <w:rFonts w:ascii="Arial" w:hAnsi="Arial" w:cs="Arial"/>
          <w:sz w:val="22"/>
          <w:szCs w:val="22"/>
        </w:rPr>
        <w:t>160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6C46C4">
        <w:rPr>
          <w:rFonts w:ascii="Arial" w:hAnsi="Arial" w:cs="Arial"/>
          <w:sz w:val="22"/>
          <w:szCs w:val="22"/>
        </w:rPr>
        <w:t>4</w:t>
      </w:r>
      <w:r w:rsidR="009277B2">
        <w:rPr>
          <w:rFonts w:ascii="Arial" w:hAnsi="Arial" w:cs="Arial"/>
          <w:sz w:val="22"/>
          <w:szCs w:val="22"/>
        </w:rPr>
        <w:t>05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6C46C4">
        <w:rPr>
          <w:rFonts w:ascii="Arial" w:hAnsi="Arial" w:cs="Arial"/>
          <w:sz w:val="22"/>
          <w:szCs w:val="22"/>
        </w:rPr>
        <w:t>0</w:t>
      </w:r>
      <w:r w:rsidR="009277B2">
        <w:rPr>
          <w:rFonts w:ascii="Arial" w:hAnsi="Arial" w:cs="Arial"/>
          <w:sz w:val="22"/>
          <w:szCs w:val="22"/>
        </w:rPr>
        <w:t>9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9277B2">
        <w:rPr>
          <w:rFonts w:ascii="Arial" w:hAnsi="Arial" w:cs="Arial"/>
          <w:sz w:val="22"/>
          <w:szCs w:val="22"/>
        </w:rPr>
        <w:t>644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</w:t>
      </w:r>
      <w:r w:rsidR="00D01B38">
        <w:rPr>
          <w:rFonts w:ascii="Arial" w:hAnsi="Arial" w:cs="Arial"/>
          <w:sz w:val="22"/>
          <w:szCs w:val="22"/>
        </w:rPr>
        <w:t xml:space="preserve"> tekilleştirilmemiş</w:t>
      </w:r>
      <w:r w:rsidR="003654C5" w:rsidRPr="004357F6">
        <w:rPr>
          <w:rFonts w:ascii="Arial" w:hAnsi="Arial" w:cs="Arial"/>
          <w:sz w:val="22"/>
          <w:szCs w:val="22"/>
        </w:rPr>
        <w:t xml:space="preserve">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4357F6">
        <w:rPr>
          <w:rFonts w:ascii="Arial" w:hAnsi="Arial" w:cs="Arial"/>
          <w:sz w:val="22"/>
          <w:szCs w:val="22"/>
        </w:rPr>
        <w:t>8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9277B2">
        <w:rPr>
          <w:rFonts w:ascii="Arial" w:hAnsi="Arial" w:cs="Arial"/>
          <w:sz w:val="22"/>
          <w:szCs w:val="22"/>
        </w:rPr>
        <w:t>111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5DAB1DAE" w14:textId="77777777" w:rsidR="009277B2" w:rsidRDefault="009277B2" w:rsidP="00471B63">
      <w:pPr>
        <w:pStyle w:val="BodyText"/>
        <w:rPr>
          <w:rFonts w:ascii="Arial" w:hAnsi="Arial" w:cs="Arial"/>
          <w:sz w:val="22"/>
          <w:szCs w:val="22"/>
        </w:rPr>
      </w:pPr>
    </w:p>
    <w:p w14:paraId="6A645B55" w14:textId="7D6808E0" w:rsidR="009277B2" w:rsidRPr="00730375" w:rsidRDefault="009277B2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B297B27" wp14:editId="2CF608D9">
            <wp:extent cx="5535930" cy="2110740"/>
            <wp:effectExtent l="0" t="0" r="762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180F26" w14:textId="77777777" w:rsidR="001B4DE9" w:rsidRDefault="001B4DE9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2968DEF0" w:rsidR="00B13BDF" w:rsidRPr="00101ABD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F602A2">
        <w:rPr>
          <w:rFonts w:ascii="Arial" w:hAnsi="Arial" w:cs="Arial"/>
          <w:sz w:val="22"/>
          <w:szCs w:val="22"/>
        </w:rPr>
        <w:t xml:space="preserve">Toplam (bireysel ve kurumsal)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F602A2">
        <w:rPr>
          <w:rFonts w:ascii="Arial" w:hAnsi="Arial" w:cs="Arial"/>
          <w:sz w:val="22"/>
          <w:szCs w:val="22"/>
        </w:rPr>
        <w:t xml:space="preserve"> </w:t>
      </w:r>
      <w:r w:rsidRPr="00F602A2">
        <w:rPr>
          <w:rFonts w:ascii="Arial" w:hAnsi="Arial" w:cs="Arial"/>
          <w:sz w:val="22"/>
          <w:szCs w:val="22"/>
        </w:rPr>
        <w:t xml:space="preserve">aktif dijital bankacılık müşteri sayısında </w:t>
      </w:r>
      <w:r w:rsidR="00F070E8">
        <w:rPr>
          <w:rFonts w:ascii="Arial" w:hAnsi="Arial" w:cs="Arial"/>
          <w:sz w:val="22"/>
          <w:szCs w:val="22"/>
        </w:rPr>
        <w:t>bir önceki yıla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 xml:space="preserve">göre </w:t>
      </w:r>
      <w:r w:rsidR="00F070E8">
        <w:rPr>
          <w:rFonts w:ascii="Arial" w:hAnsi="Arial" w:cs="Arial"/>
          <w:sz w:val="22"/>
          <w:szCs w:val="22"/>
        </w:rPr>
        <w:t>8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F070E8">
        <w:rPr>
          <w:rFonts w:ascii="Arial" w:hAnsi="Arial" w:cs="Arial"/>
          <w:sz w:val="22"/>
          <w:szCs w:val="22"/>
        </w:rPr>
        <w:t>572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BFABDF6" w:rsidR="008B3601" w:rsidRPr="00470F07" w:rsidRDefault="00D056E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227B9A">
        <w:rPr>
          <w:rFonts w:ascii="Arial" w:hAnsi="Arial" w:cs="Arial"/>
          <w:b/>
          <w:color w:val="000000"/>
          <w:sz w:val="22"/>
          <w:szCs w:val="22"/>
        </w:rPr>
        <w:t>Tekilleştirilmemiş</w:t>
      </w:r>
      <w:r w:rsidRPr="00227B9A">
        <w:rPr>
          <w:rFonts w:ascii="Arial" w:hAnsi="Arial" w:cs="Arial"/>
          <w:b/>
          <w:sz w:val="22"/>
          <w:szCs w:val="22"/>
        </w:rPr>
        <w:t xml:space="preserve"> </w:t>
      </w:r>
      <w:r w:rsidR="006C7767" w:rsidRPr="00227B9A">
        <w:rPr>
          <w:rFonts w:ascii="Arial" w:hAnsi="Arial" w:cs="Arial"/>
          <w:b/>
          <w:sz w:val="22"/>
          <w:szCs w:val="22"/>
        </w:rPr>
        <w:t>Aktif</w:t>
      </w:r>
      <w:r w:rsidR="006C7767" w:rsidRPr="00470F07">
        <w:rPr>
          <w:rFonts w:ascii="Arial" w:hAnsi="Arial" w:cs="Arial"/>
          <w:b/>
          <w:sz w:val="22"/>
          <w:szCs w:val="22"/>
        </w:rPr>
        <w:t xml:space="preserve">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7"/>
        <w:gridCol w:w="1340"/>
        <w:gridCol w:w="1383"/>
        <w:gridCol w:w="1340"/>
      </w:tblGrid>
      <w:tr w:rsidR="00F070E8" w:rsidRPr="00470F07" w14:paraId="5598AAC7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EBE7A" w14:textId="77777777" w:rsidR="00F070E8" w:rsidRPr="00470F07" w:rsidRDefault="00F070E8" w:rsidP="00F070E8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E50FE" w14:textId="299F47AA" w:rsidR="00F070E8" w:rsidRPr="00470F07" w:rsidRDefault="00F070E8" w:rsidP="00F070E8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61816" w14:textId="653DB7E0" w:rsidR="00F070E8" w:rsidRPr="00470F07" w:rsidRDefault="00F070E8" w:rsidP="00F070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 2024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6C88E" w14:textId="78043F63" w:rsidR="00F070E8" w:rsidRPr="00470F07" w:rsidRDefault="00F070E8" w:rsidP="00F070E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</w:tr>
      <w:tr w:rsidR="00F070E8" w:rsidRPr="00470F07" w14:paraId="396F962E" w14:textId="77777777" w:rsidTr="00D3173A">
        <w:trPr>
          <w:trHeight w:val="109"/>
        </w:trPr>
        <w:tc>
          <w:tcPr>
            <w:tcW w:w="4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DC812A" w14:textId="77777777" w:rsidR="00F070E8" w:rsidRPr="00470F07" w:rsidRDefault="00F070E8" w:rsidP="00F070E8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3FF2E" w14:textId="61CF5CFF" w:rsidR="00F070E8" w:rsidRDefault="00F070E8" w:rsidP="00F070E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110.588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2FCC" w14:textId="1ADF1267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117.302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85C5" w14:textId="5BAB7ECA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119.160</w:t>
            </w:r>
          </w:p>
        </w:tc>
      </w:tr>
      <w:tr w:rsidR="00F070E8" w:rsidRPr="00470F07" w14:paraId="5B6B5309" w14:textId="77777777" w:rsidTr="00D3173A">
        <w:trPr>
          <w:trHeight w:val="109"/>
        </w:trPr>
        <w:tc>
          <w:tcPr>
            <w:tcW w:w="4687" w:type="dxa"/>
            <w:tcBorders>
              <w:left w:val="nil"/>
              <w:right w:val="nil"/>
            </w:tcBorders>
            <w:shd w:val="clear" w:color="auto" w:fill="auto"/>
          </w:tcPr>
          <w:p w14:paraId="08E144B9" w14:textId="77777777" w:rsidR="00F070E8" w:rsidRPr="00470F07" w:rsidRDefault="00F070E8" w:rsidP="00F070E8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61F2F" w14:textId="7A0AF619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2DD4" w14:textId="5EC0A249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2377" w14:textId="77407BD2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4.762</w:t>
            </w:r>
          </w:p>
        </w:tc>
      </w:tr>
      <w:tr w:rsidR="00F070E8" w:rsidRPr="00470F07" w14:paraId="7B8A092C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D730F" w14:textId="77777777" w:rsidR="00F070E8" w:rsidRPr="00470F07" w:rsidRDefault="00F070E8" w:rsidP="00F070E8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EAC6" w14:textId="156CFFC3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106.038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B673" w14:textId="400A52E3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112.634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BE31D1" w14:textId="06D9B171" w:rsidR="00F070E8" w:rsidRDefault="00F070E8" w:rsidP="00F070E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114.398</w:t>
            </w:r>
          </w:p>
        </w:tc>
      </w:tr>
    </w:tbl>
    <w:p w14:paraId="798ECC8D" w14:textId="77777777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14:paraId="764A28E4" w14:textId="462C50CC" w:rsidR="00510749" w:rsidRDefault="00AD46F0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2024</w:t>
      </w:r>
      <w:r w:rsidR="00F602A2" w:rsidRPr="00470F07">
        <w:rPr>
          <w:rFonts w:ascii="Arial" w:hAnsi="Arial" w:cs="Arial"/>
          <w:sz w:val="22"/>
          <w:szCs w:val="22"/>
        </w:rPr>
        <w:t xml:space="preserve">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227B9A">
        <w:rPr>
          <w:rFonts w:ascii="Arial" w:hAnsi="Arial" w:cs="Arial"/>
          <w:sz w:val="22"/>
          <w:szCs w:val="22"/>
        </w:rPr>
        <w:t xml:space="preserve">tekilleştirilmemiş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 xml:space="preserve">sayısı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101ABD" w:rsidRPr="005149C7">
        <w:rPr>
          <w:rFonts w:ascii="Arial" w:hAnsi="Arial" w:cs="Arial"/>
          <w:sz w:val="22"/>
          <w:szCs w:val="22"/>
        </w:rPr>
        <w:t>1</w:t>
      </w:r>
      <w:r w:rsidR="00F070E8">
        <w:rPr>
          <w:rFonts w:ascii="Arial" w:hAnsi="Arial" w:cs="Arial"/>
          <w:sz w:val="22"/>
          <w:szCs w:val="22"/>
        </w:rPr>
        <w:t>4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>milyon</w:t>
      </w:r>
      <w:r w:rsidR="00B27062">
        <w:rPr>
          <w:rFonts w:ascii="Arial" w:hAnsi="Arial" w:cs="Arial"/>
          <w:sz w:val="22"/>
          <w:szCs w:val="22"/>
        </w:rPr>
        <w:t xml:space="preserve"> 398 bin</w:t>
      </w:r>
      <w:r w:rsidR="00B13BDF" w:rsidRPr="005149C7">
        <w:rPr>
          <w:rFonts w:ascii="Arial" w:hAnsi="Arial" w:cs="Arial"/>
          <w:sz w:val="22"/>
          <w:szCs w:val="22"/>
        </w:rPr>
        <w:t xml:space="preserve"> kişidir. </w:t>
      </w:r>
      <w:r w:rsidR="00C935CE" w:rsidRPr="00525A7E">
        <w:rPr>
          <w:rFonts w:ascii="Arial" w:hAnsi="Arial" w:cs="Arial"/>
          <w:sz w:val="22"/>
          <w:szCs w:val="22"/>
        </w:rPr>
        <w:t xml:space="preserve">Aynı dönemde </w:t>
      </w:r>
      <w:r w:rsidR="00227B9A">
        <w:rPr>
          <w:rFonts w:ascii="Arial" w:hAnsi="Arial" w:cs="Arial"/>
          <w:sz w:val="22"/>
          <w:szCs w:val="22"/>
        </w:rPr>
        <w:t>tekilleştirilmemiş</w:t>
      </w:r>
      <w:r w:rsidR="00227B9A" w:rsidRPr="00525A7E">
        <w:rPr>
          <w:rFonts w:ascii="Arial" w:hAnsi="Arial" w:cs="Arial"/>
          <w:sz w:val="22"/>
          <w:szCs w:val="22"/>
        </w:rPr>
        <w:t xml:space="preserve"> </w:t>
      </w:r>
      <w:r w:rsidR="00C935CE" w:rsidRPr="00525A7E">
        <w:rPr>
          <w:rFonts w:ascii="Arial" w:hAnsi="Arial" w:cs="Arial"/>
          <w:sz w:val="22"/>
          <w:szCs w:val="22"/>
        </w:rPr>
        <w:t>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F070E8">
        <w:rPr>
          <w:rFonts w:ascii="Arial" w:hAnsi="Arial" w:cs="Arial"/>
          <w:sz w:val="22"/>
          <w:szCs w:val="22"/>
        </w:rPr>
        <w:t>762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  <w:r w:rsidR="00FB188B" w:rsidRPr="00525A7E">
        <w:rPr>
          <w:rFonts w:ascii="Arial" w:hAnsi="Arial" w:cs="Arial"/>
          <w:sz w:val="22"/>
          <w:szCs w:val="22"/>
        </w:rPr>
        <w:t xml:space="preserve"> </w:t>
      </w:r>
    </w:p>
    <w:p w14:paraId="160FB3C8" w14:textId="77777777" w:rsidR="006A590D" w:rsidRDefault="006A590D" w:rsidP="004C0B4B">
      <w:pPr>
        <w:pStyle w:val="BodyText"/>
        <w:rPr>
          <w:rFonts w:ascii="Arial" w:hAnsi="Arial" w:cs="Arial"/>
          <w:sz w:val="22"/>
          <w:szCs w:val="22"/>
        </w:rPr>
      </w:pPr>
    </w:p>
    <w:p w14:paraId="7370CA5B" w14:textId="35014906" w:rsidR="00486243" w:rsidRPr="00525A7E" w:rsidRDefault="00227B9A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Tekilleştirilmemiş</w:t>
      </w:r>
      <w:r w:rsidRPr="00525A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4C0B4B" w:rsidRPr="00525A7E">
        <w:rPr>
          <w:rFonts w:ascii="Arial" w:hAnsi="Arial" w:cs="Arial"/>
          <w:sz w:val="22"/>
          <w:szCs w:val="22"/>
        </w:rPr>
        <w:t>ktif bireysel dijital bankacılık müşterileri</w:t>
      </w:r>
      <w:r w:rsidR="004C1742">
        <w:rPr>
          <w:rFonts w:ascii="Arial" w:hAnsi="Arial" w:cs="Arial"/>
          <w:sz w:val="22"/>
          <w:szCs w:val="22"/>
        </w:rPr>
        <w:t>nin</w:t>
      </w:r>
      <w:r w:rsidR="004C0B4B" w:rsidRPr="00525A7E">
        <w:rPr>
          <w:rFonts w:ascii="Arial" w:hAnsi="Arial" w:cs="Arial"/>
          <w:sz w:val="22"/>
          <w:szCs w:val="22"/>
        </w:rPr>
        <w:t xml:space="preserve">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F070E8">
        <w:rPr>
          <w:rFonts w:ascii="Arial" w:hAnsi="Arial" w:cs="Arial"/>
          <w:sz w:val="22"/>
          <w:szCs w:val="22"/>
        </w:rPr>
        <w:t>4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erkek (yüzde 6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="004C1742">
        <w:rPr>
          <w:rFonts w:ascii="Arial" w:hAnsi="Arial" w:cs="Arial"/>
          <w:sz w:val="22"/>
          <w:szCs w:val="22"/>
        </w:rPr>
        <w:t>),</w:t>
      </w:r>
      <w:r w:rsidR="0093649B">
        <w:rPr>
          <w:rFonts w:ascii="Arial" w:hAnsi="Arial" w:cs="Arial"/>
          <w:sz w:val="22"/>
          <w:szCs w:val="22"/>
        </w:rPr>
        <w:t xml:space="preserve"> 4</w:t>
      </w:r>
      <w:r w:rsidR="00F070E8">
        <w:rPr>
          <w:rFonts w:ascii="Arial" w:hAnsi="Arial" w:cs="Arial"/>
          <w:sz w:val="22"/>
          <w:szCs w:val="22"/>
        </w:rPr>
        <w:t>1</w:t>
      </w:r>
      <w:r w:rsidR="004C0B4B" w:rsidRPr="00525A7E">
        <w:rPr>
          <w:rFonts w:ascii="Arial" w:hAnsi="Arial" w:cs="Arial"/>
          <w:sz w:val="22"/>
          <w:szCs w:val="22"/>
        </w:rPr>
        <w:t xml:space="preserve"> milyon</w:t>
      </w:r>
      <w:r w:rsidR="004C1742">
        <w:rPr>
          <w:rFonts w:ascii="Arial" w:hAnsi="Arial" w:cs="Arial"/>
          <w:sz w:val="22"/>
          <w:szCs w:val="22"/>
        </w:rPr>
        <w:t>u</w:t>
      </w:r>
      <w:r w:rsidR="004C0B4B" w:rsidRPr="00525A7E">
        <w:rPr>
          <w:rFonts w:ascii="Arial" w:hAnsi="Arial" w:cs="Arial"/>
          <w:sz w:val="22"/>
          <w:szCs w:val="22"/>
        </w:rPr>
        <w:t xml:space="preserve"> kadın (yüzde 3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="004C0B4B"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059F523A" w:rsidR="00A73562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A73562">
        <w:rPr>
          <w:rFonts w:ascii="Arial" w:hAnsi="Arial" w:cs="Arial"/>
          <w:b/>
          <w:sz w:val="22"/>
          <w:szCs w:val="22"/>
        </w:rPr>
        <w:t xml:space="preserve">Cinsiyet ve Yaş Gruplarına Göre </w:t>
      </w:r>
      <w:r w:rsidR="00227B9A">
        <w:rPr>
          <w:rFonts w:ascii="Arial" w:hAnsi="Arial" w:cs="Arial"/>
          <w:b/>
          <w:sz w:val="22"/>
          <w:szCs w:val="22"/>
        </w:rPr>
        <w:t>T</w:t>
      </w:r>
      <w:r w:rsidR="00227B9A" w:rsidRPr="00227B9A">
        <w:rPr>
          <w:rFonts w:ascii="Arial" w:hAnsi="Arial" w:cs="Arial"/>
          <w:b/>
          <w:sz w:val="22"/>
          <w:szCs w:val="22"/>
        </w:rPr>
        <w:t xml:space="preserve">ekilleştirilmemiş </w:t>
      </w:r>
      <w:r w:rsidRPr="00A73562">
        <w:rPr>
          <w:rFonts w:ascii="Arial" w:hAnsi="Arial" w:cs="Arial"/>
          <w:b/>
          <w:sz w:val="22"/>
          <w:szCs w:val="22"/>
        </w:rPr>
        <w:t>Aktif Bireysel Dijital Bankacılık Müşterileri</w:t>
      </w:r>
    </w:p>
    <w:p w14:paraId="4C222268" w14:textId="77777777" w:rsidR="00227B9A" w:rsidRPr="00D3173A" w:rsidRDefault="00227B9A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6E07D8" w14:textId="4BF513A4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t xml:space="preserve"> </w:t>
      </w:r>
      <w:r w:rsidR="00F070E8">
        <w:rPr>
          <w:noProof/>
          <w:lang w:eastAsia="tr-TR"/>
        </w:rPr>
        <w:drawing>
          <wp:inline distT="0" distB="0" distL="0" distR="0" wp14:anchorId="13FF4CA1" wp14:editId="4D9488CB">
            <wp:extent cx="1988820" cy="1689100"/>
            <wp:effectExtent l="0" t="0" r="0" b="63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070E8">
        <w:rPr>
          <w:noProof/>
          <w:lang w:eastAsia="tr-TR"/>
        </w:rPr>
        <w:drawing>
          <wp:inline distT="0" distB="0" distL="0" distR="0" wp14:anchorId="42D84D02" wp14:editId="75BE337D">
            <wp:extent cx="3638550" cy="181102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24BAEF46" w:rsidR="00593418" w:rsidRPr="002B1CB8" w:rsidRDefault="00EA612A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93418" w:rsidRPr="00A73562">
        <w:rPr>
          <w:rFonts w:ascii="Arial" w:hAnsi="Arial" w:cs="Arial"/>
          <w:sz w:val="22"/>
          <w:szCs w:val="22"/>
        </w:rPr>
        <w:t>ktif bireysel dijital bankacılık müşterilerinin yaş grupları bazında dağılımında ilk sırayı</w:t>
      </w:r>
      <w:r w:rsidR="008D730E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="00297123">
        <w:rPr>
          <w:rFonts w:ascii="Arial" w:hAnsi="Arial" w:cs="Arial"/>
          <w:sz w:val="22"/>
          <w:szCs w:val="22"/>
        </w:rPr>
        <w:t>6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A73562" w:rsidRPr="00A73562">
        <w:rPr>
          <w:rFonts w:ascii="Arial" w:hAnsi="Arial" w:cs="Arial"/>
          <w:sz w:val="22"/>
          <w:szCs w:val="22"/>
        </w:rPr>
        <w:t>30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</w:t>
      </w:r>
      <w:r w:rsidR="00297123">
        <w:rPr>
          <w:rFonts w:ascii="Arial" w:hAnsi="Arial" w:cs="Arial"/>
          <w:sz w:val="22"/>
          <w:szCs w:val="22"/>
        </w:rPr>
        <w:t>yaklaşık 21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2E78F4AE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</w:t>
      </w:r>
      <w:r w:rsidR="00227B9A">
        <w:rPr>
          <w:rFonts w:ascii="Arial" w:hAnsi="Arial" w:cs="Arial"/>
          <w:sz w:val="22"/>
          <w:szCs w:val="22"/>
        </w:rPr>
        <w:t xml:space="preserve"> tekilleştirilmemiş</w:t>
      </w:r>
      <w:r>
        <w:rPr>
          <w:rFonts w:ascii="Arial" w:hAnsi="Arial" w:cs="Arial"/>
          <w:sz w:val="22"/>
          <w:szCs w:val="22"/>
        </w:rPr>
        <w:t xml:space="preserve"> aktif müşteri sayısı 9 milyon </w:t>
      </w:r>
      <w:r w:rsidR="00297123">
        <w:rPr>
          <w:rFonts w:ascii="Arial" w:hAnsi="Arial" w:cs="Arial"/>
          <w:sz w:val="22"/>
          <w:szCs w:val="22"/>
        </w:rPr>
        <w:t>516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297123">
        <w:rPr>
          <w:rFonts w:ascii="Arial" w:hAnsi="Arial" w:cs="Arial"/>
          <w:sz w:val="22"/>
          <w:szCs w:val="22"/>
        </w:rPr>
        <w:t xml:space="preserve">308 </w:t>
      </w:r>
      <w:r w:rsidRPr="00EE593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azalmıştır.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155A477B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t xml:space="preserve">İnternet Bankacılığını Kullanan </w:t>
      </w:r>
      <w:r w:rsidR="00227B9A">
        <w:rPr>
          <w:rFonts w:ascii="Arial" w:hAnsi="Arial" w:cs="Arial"/>
          <w:szCs w:val="22"/>
        </w:rPr>
        <w:t>Tekilleştirilmemiş</w:t>
      </w:r>
      <w:r w:rsidR="00227B9A" w:rsidRPr="0065131A">
        <w:rPr>
          <w:rFonts w:ascii="Arial" w:hAnsi="Arial" w:cs="Arial"/>
        </w:rPr>
        <w:t xml:space="preserve"> </w:t>
      </w:r>
      <w:r w:rsidRPr="0065131A">
        <w:rPr>
          <w:rFonts w:ascii="Arial" w:hAnsi="Arial" w:cs="Arial"/>
        </w:rPr>
        <w:t>Müşteri Sayı</w:t>
      </w:r>
      <w:r w:rsidR="00227B9A">
        <w:rPr>
          <w:rFonts w:ascii="Arial" w:hAnsi="Arial" w:cs="Arial"/>
        </w:rPr>
        <w:t>ları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428"/>
        <w:gridCol w:w="1476"/>
        <w:gridCol w:w="1373"/>
      </w:tblGrid>
      <w:tr w:rsidR="00297123" w:rsidRPr="0065131A" w14:paraId="02EDD479" w14:textId="77777777" w:rsidTr="008452D8">
        <w:trPr>
          <w:trHeight w:val="538"/>
          <w:jc w:val="center"/>
        </w:trPr>
        <w:tc>
          <w:tcPr>
            <w:tcW w:w="44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257D7A" w14:textId="77777777" w:rsidR="00297123" w:rsidRPr="0065131A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4B7CC6" w14:textId="0E045860" w:rsidR="00297123" w:rsidRPr="0065131A" w:rsidRDefault="00297123" w:rsidP="00297123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3FE8E65" w14:textId="572C0927" w:rsidR="00297123" w:rsidRPr="0065131A" w:rsidRDefault="00297123" w:rsidP="0029712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 2024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A9AA0F" w14:textId="62453BDB" w:rsidR="00297123" w:rsidRPr="0065131A" w:rsidRDefault="00297123" w:rsidP="0029712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</w:tr>
      <w:tr w:rsidR="004A379F" w:rsidRPr="0065131A" w14:paraId="0743EE5B" w14:textId="77777777" w:rsidTr="008452D8">
        <w:trPr>
          <w:trHeight w:val="363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CE352" w14:textId="77777777"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9B7EE" w14:textId="77777777" w:rsidR="004A379F" w:rsidRPr="0065131A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1E8AC" w14:textId="77777777"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E5B3" w14:textId="77777777"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</w:tr>
      <w:tr w:rsidR="00297123" w:rsidRPr="0065131A" w14:paraId="50E4E2F2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BC2DE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FA620" w14:textId="29DC9F53" w:rsidR="00297123" w:rsidRDefault="00297123" w:rsidP="00297123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10.468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4ED8C" w14:textId="152D59F0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8.289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9D81F" w14:textId="3B28A2D9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7.962</w:t>
            </w:r>
          </w:p>
        </w:tc>
      </w:tr>
      <w:tr w:rsidR="00297123" w:rsidRPr="0065131A" w14:paraId="6103823E" w14:textId="77777777" w:rsidTr="008452D8">
        <w:trPr>
          <w:trHeight w:val="138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334E7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17DB3" w14:textId="05DD9E42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99.129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01891" w14:textId="65A690DB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102.192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B32AA" w14:textId="7DD83F6F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103.587</w:t>
            </w:r>
          </w:p>
        </w:tc>
      </w:tr>
      <w:tr w:rsidR="00297123" w:rsidRPr="0065131A" w14:paraId="2CB9FB98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9D96A" w14:textId="77777777" w:rsidR="00297123" w:rsidRPr="0065131A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69DA2" w14:textId="507146E5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3FCC" w14:textId="02BCF0B7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E36D2" w14:textId="212678D6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297123" w:rsidRPr="0065131A" w14:paraId="5D526750" w14:textId="77777777" w:rsidTr="008452D8">
        <w:trPr>
          <w:trHeight w:val="251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2E812D66" w14:textId="77777777" w:rsidR="00297123" w:rsidRPr="0065131A" w:rsidRDefault="00297123" w:rsidP="00297123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65131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65131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7674A" w14:textId="77777777" w:rsidR="00297123" w:rsidRDefault="00297123" w:rsidP="00297123">
            <w:pPr>
              <w:jc w:val="right"/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2556E" w14:textId="77777777" w:rsidR="00297123" w:rsidRDefault="00297123" w:rsidP="00297123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424BE" w14:textId="77777777" w:rsidR="00297123" w:rsidRDefault="00297123" w:rsidP="00297123">
            <w:pPr>
              <w:rPr>
                <w:sz w:val="20"/>
              </w:rPr>
            </w:pPr>
          </w:p>
        </w:tc>
      </w:tr>
      <w:tr w:rsidR="00297123" w:rsidRPr="0065131A" w14:paraId="7FCB0D0A" w14:textId="77777777" w:rsidTr="008452D8">
        <w:trPr>
          <w:trHeight w:val="169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3D523D2E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1F4BD" w14:textId="16AD9025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1.577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6C722" w14:textId="0B40D504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24057" w14:textId="06E57018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1.554</w:t>
            </w:r>
          </w:p>
        </w:tc>
      </w:tr>
      <w:tr w:rsidR="00297123" w:rsidRPr="0065131A" w14:paraId="57CBA8B8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024C2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4EDE27" w14:textId="37F4C928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6.610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DAD3012" w14:textId="5BE7F3B1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6.249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19FB54" w14:textId="05A63BEF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6.413</w:t>
            </w:r>
          </w:p>
        </w:tc>
      </w:tr>
      <w:tr w:rsidR="00297123" w:rsidRPr="0065131A" w14:paraId="7D1E1E55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85B71" w14:textId="77777777" w:rsidR="00297123" w:rsidRPr="0065131A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F8C468" w14:textId="5E49984C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93B920" w14:textId="533F3453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31D750" w14:textId="07E5A7CF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297123" w:rsidRPr="0065131A" w14:paraId="4651E9F7" w14:textId="77777777" w:rsidTr="002923AA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04AC5" w14:textId="77777777" w:rsidR="00297123" w:rsidRPr="0065131A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120BC" w14:textId="77777777" w:rsidR="00297123" w:rsidRDefault="00297123" w:rsidP="00297123">
            <w:pPr>
              <w:rPr>
                <w:sz w:val="20"/>
              </w:rPr>
            </w:pPr>
          </w:p>
        </w:tc>
        <w:tc>
          <w:tcPr>
            <w:tcW w:w="14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1BCD6" w14:textId="77777777" w:rsidR="00297123" w:rsidRDefault="00297123" w:rsidP="00297123">
            <w:pPr>
              <w:rPr>
                <w:sz w:val="20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6575B" w14:textId="77777777" w:rsidR="00297123" w:rsidRDefault="00297123" w:rsidP="00297123">
            <w:pPr>
              <w:rPr>
                <w:sz w:val="20"/>
              </w:rPr>
            </w:pPr>
          </w:p>
        </w:tc>
      </w:tr>
      <w:tr w:rsidR="00297123" w:rsidRPr="0065131A" w14:paraId="0861A73C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99381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C8F7B" w14:textId="5077EF92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12.044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956CB" w14:textId="294ABF4F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9.824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A65A" w14:textId="35884DDD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9.516</w:t>
            </w:r>
          </w:p>
        </w:tc>
      </w:tr>
      <w:tr w:rsidR="00297123" w:rsidRPr="0065131A" w14:paraId="21154C79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968CA" w14:textId="77777777" w:rsidR="00297123" w:rsidRPr="0065131A" w:rsidRDefault="00297123" w:rsidP="00297123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5C580" w14:textId="662AD00F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105.739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6C193" w14:textId="32827605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108.440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0AD4" w14:textId="741D5EF2" w:rsidR="00297123" w:rsidRDefault="00297123" w:rsidP="0029712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110.000</w:t>
            </w:r>
          </w:p>
        </w:tc>
      </w:tr>
      <w:tr w:rsidR="00297123" w:rsidRPr="004357F6" w14:paraId="611E69C5" w14:textId="77777777" w:rsidTr="008452D8">
        <w:trPr>
          <w:trHeight w:val="99"/>
          <w:jc w:val="center"/>
        </w:trPr>
        <w:tc>
          <w:tcPr>
            <w:tcW w:w="4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0F76" w14:textId="77777777" w:rsidR="00297123" w:rsidRPr="0065131A" w:rsidRDefault="00297123" w:rsidP="00297123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FC17A8" w14:textId="4716978F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245031" w14:textId="35D3405F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3251835" w14:textId="731323B3" w:rsidR="00297123" w:rsidRDefault="00297123" w:rsidP="0029712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</w:tbl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7ABECAD5" w:rsidR="00F950A5" w:rsidRDefault="00AD46F0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2024</w:t>
      </w:r>
      <w:r w:rsidR="004A379F" w:rsidRPr="00D74A9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="00ED6942" w:rsidRPr="00D74A96">
        <w:rPr>
          <w:rFonts w:ascii="Arial" w:hAnsi="Arial" w:cs="Arial"/>
          <w:sz w:val="22"/>
          <w:szCs w:val="22"/>
        </w:rPr>
        <w:t xml:space="preserve">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297123">
        <w:rPr>
          <w:rFonts w:ascii="Arial" w:hAnsi="Arial" w:cs="Arial"/>
          <w:sz w:val="22"/>
          <w:szCs w:val="22"/>
        </w:rPr>
        <w:t>7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297123">
        <w:rPr>
          <w:rFonts w:ascii="Arial" w:hAnsi="Arial" w:cs="Arial"/>
          <w:sz w:val="22"/>
          <w:szCs w:val="22"/>
        </w:rPr>
        <w:t>962</w:t>
      </w:r>
      <w:r w:rsidR="00ED6942" w:rsidRPr="00D74A96">
        <w:rPr>
          <w:rFonts w:ascii="Arial" w:hAnsi="Arial" w:cs="Arial"/>
          <w:sz w:val="22"/>
          <w:szCs w:val="22"/>
        </w:rPr>
        <w:t xml:space="preserve"> bin kişidir. Bu miktar kayıtlı toplam</w:t>
      </w:r>
      <w:r w:rsidR="00F5652B">
        <w:rPr>
          <w:rFonts w:ascii="Arial" w:hAnsi="Arial" w:cs="Arial"/>
          <w:sz w:val="22"/>
          <w:szCs w:val="22"/>
        </w:rPr>
        <w:t xml:space="preserve"> </w:t>
      </w:r>
      <w:r w:rsidR="00ED6942" w:rsidRPr="00D74A96">
        <w:rPr>
          <w:rFonts w:ascii="Arial" w:hAnsi="Arial" w:cs="Arial"/>
          <w:sz w:val="22"/>
          <w:szCs w:val="22"/>
        </w:rPr>
        <w:t xml:space="preserve">bireysel müşteri sayısının yüzde </w:t>
      </w:r>
      <w:r w:rsidR="00D74A96" w:rsidRPr="00D74A96">
        <w:rPr>
          <w:rFonts w:ascii="Arial" w:hAnsi="Arial" w:cs="Arial"/>
          <w:sz w:val="22"/>
          <w:szCs w:val="22"/>
        </w:rPr>
        <w:t>8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D74A96" w:rsidRPr="00D74A96">
        <w:rPr>
          <w:rFonts w:ascii="Arial" w:hAnsi="Arial" w:cs="Arial"/>
          <w:sz w:val="22"/>
          <w:szCs w:val="22"/>
        </w:rPr>
        <w:t>ini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39700B27" w:rsidR="00074293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>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AD46F0">
        <w:rPr>
          <w:rFonts w:ascii="Arial" w:hAnsi="Arial" w:cs="Arial"/>
          <w:sz w:val="22"/>
          <w:szCs w:val="22"/>
        </w:rPr>
        <w:t>Aralık 2024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297123">
        <w:rPr>
          <w:rFonts w:ascii="Arial" w:hAnsi="Arial" w:cs="Arial"/>
          <w:sz w:val="22"/>
          <w:szCs w:val="22"/>
        </w:rPr>
        <w:t>413</w:t>
      </w:r>
      <w:r w:rsidR="008452D8">
        <w:rPr>
          <w:rFonts w:ascii="Arial" w:hAnsi="Arial" w:cs="Arial"/>
          <w:sz w:val="22"/>
          <w:szCs w:val="22"/>
        </w:rPr>
        <w:t xml:space="preserve">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297123">
        <w:rPr>
          <w:rFonts w:ascii="Arial" w:hAnsi="Arial" w:cs="Arial"/>
          <w:sz w:val="22"/>
          <w:szCs w:val="22"/>
        </w:rPr>
        <w:t>54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297123">
        <w:rPr>
          <w:rFonts w:ascii="Arial" w:hAnsi="Arial" w:cs="Arial"/>
          <w:sz w:val="22"/>
          <w:szCs w:val="22"/>
        </w:rPr>
        <w:t>4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297123">
        <w:rPr>
          <w:rFonts w:ascii="Arial" w:hAnsi="Arial" w:cs="Arial"/>
          <w:sz w:val="22"/>
          <w:szCs w:val="22"/>
        </w:rPr>
        <w:t>ü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2C139C34" w14:textId="78078C95" w:rsidR="00227B9A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54A91AE7" w14:textId="77777777" w:rsidR="00227B9A" w:rsidRPr="00F217E7" w:rsidRDefault="00227B9A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3D0EE221" w14:textId="77777777" w:rsidR="001F39AE" w:rsidRPr="004357F6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1F1575C9" w14:textId="77777777"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64BAD944" w:rsidR="00350946" w:rsidRPr="002953BF" w:rsidRDefault="00297123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AD46F0">
        <w:rPr>
          <w:rFonts w:ascii="Arial" w:hAnsi="Arial" w:cs="Arial"/>
          <w:sz w:val="22"/>
          <w:szCs w:val="22"/>
        </w:rPr>
        <w:t xml:space="preserve"> 2024</w:t>
      </w:r>
      <w:r w:rsidR="00453BD1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40458F">
        <w:rPr>
          <w:rFonts w:ascii="Arial" w:hAnsi="Arial" w:cs="Arial"/>
          <w:sz w:val="22"/>
          <w:szCs w:val="22"/>
        </w:rPr>
        <w:t>05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>milyon, tutarı ise</w:t>
      </w:r>
      <w:r>
        <w:rPr>
          <w:rFonts w:ascii="Arial" w:hAnsi="Arial" w:cs="Arial"/>
          <w:sz w:val="22"/>
          <w:szCs w:val="22"/>
        </w:rPr>
        <w:t xml:space="preserve"> yaklaşık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2953BF" w:rsidRPr="002953B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D825AC" w:rsidRPr="002953BF">
        <w:rPr>
          <w:rFonts w:ascii="Arial" w:hAnsi="Arial" w:cs="Arial"/>
          <w:sz w:val="22"/>
          <w:szCs w:val="22"/>
        </w:rPr>
        <w:t>5’ini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40458F">
        <w:rPr>
          <w:rFonts w:ascii="Arial" w:hAnsi="Arial" w:cs="Arial"/>
          <w:sz w:val="22"/>
          <w:szCs w:val="22"/>
        </w:rPr>
        <w:t>6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40458F">
        <w:rPr>
          <w:rFonts w:ascii="Arial" w:hAnsi="Arial" w:cs="Arial"/>
          <w:sz w:val="22"/>
          <w:szCs w:val="22"/>
        </w:rPr>
        <w:t>sını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20"/>
        <w:gridCol w:w="962"/>
        <w:gridCol w:w="908"/>
        <w:gridCol w:w="985"/>
        <w:gridCol w:w="1025"/>
        <w:gridCol w:w="895"/>
        <w:gridCol w:w="1171"/>
      </w:tblGrid>
      <w:tr w:rsidR="00743750" w:rsidRPr="008B63DE" w14:paraId="08F00001" w14:textId="77777777" w:rsidTr="00F77F57">
        <w:trPr>
          <w:trHeight w:val="352"/>
          <w:jc w:val="center"/>
        </w:trPr>
        <w:tc>
          <w:tcPr>
            <w:tcW w:w="2390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391D6F13" w:rsidR="00743750" w:rsidRPr="008B63DE" w:rsidRDefault="00AD46F0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743750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33A0" w14:textId="667852D0" w:rsidR="00743750" w:rsidRPr="008B63DE" w:rsidRDefault="00AD46F0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205E8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AF970" w14:textId="138BF479" w:rsidR="00743750" w:rsidRPr="008B63DE" w:rsidRDefault="00AD46F0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F77F5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743750" w:rsidRPr="008B63DE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743750" w:rsidRPr="008B63DE" w14:paraId="7437C73D" w14:textId="77777777" w:rsidTr="00F77F57">
        <w:trPr>
          <w:trHeight w:val="253"/>
          <w:jc w:val="center"/>
        </w:trPr>
        <w:tc>
          <w:tcPr>
            <w:tcW w:w="23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3A41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A421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DECB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DCC57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F77F57" w:rsidRPr="008B63DE" w14:paraId="00CBF1D4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E360FB" w14:textId="77777777" w:rsidR="00F77F57" w:rsidRPr="008B63DE" w:rsidRDefault="00F77F57" w:rsidP="00F77F57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2D5D" w14:textId="55173567" w:rsidR="00F77F57" w:rsidRDefault="00F77F57" w:rsidP="00F77F5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51AC3" w14:textId="2669D6AC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6.956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5361" w14:textId="27A84278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6DFA" w14:textId="1DB16174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9.773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036F" w14:textId="133724DD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9DA8" w14:textId="6F300175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11.117</w:t>
            </w:r>
          </w:p>
        </w:tc>
      </w:tr>
      <w:tr w:rsidR="00F77F57" w:rsidRPr="008B63DE" w14:paraId="183C45E7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9038B" w14:textId="77777777" w:rsidR="00F77F57" w:rsidRPr="008B63DE" w:rsidRDefault="00F77F57" w:rsidP="00F77F57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9C7D0" w14:textId="7975A727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2D26" w14:textId="0FE542E1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DDF0" w14:textId="5B57CC17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1B31" w14:textId="184BFDEB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E3F" w14:textId="08FA9B0D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009C" w14:textId="51EFDAB1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664</w:t>
            </w:r>
          </w:p>
        </w:tc>
      </w:tr>
      <w:tr w:rsidR="00F77F57" w:rsidRPr="008B63DE" w14:paraId="6253A0E5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271AE" w14:textId="77777777" w:rsidR="00F77F57" w:rsidRPr="008B63DE" w:rsidRDefault="00F77F57" w:rsidP="00F77F57">
            <w:pPr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F3FC" w14:textId="5F40681F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FC0DF" w14:textId="78463A9D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F8EF" w14:textId="6FF61AF1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8E56F" w14:textId="42CD72B0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8980" w14:textId="7B94E13A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5B37D" w14:textId="79043ED6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2.377</w:t>
            </w:r>
          </w:p>
        </w:tc>
      </w:tr>
      <w:tr w:rsidR="00F77F57" w:rsidRPr="008B63DE" w14:paraId="4935B024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04CE7" w14:textId="77777777" w:rsidR="00F77F57" w:rsidRPr="008B63DE" w:rsidRDefault="00F77F57" w:rsidP="00F77F57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32058" w14:textId="0F8ABAC5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CB56C" w14:textId="249D4536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C7D3" w14:textId="60F81630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074" w14:textId="216A4A8F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D413" w14:textId="76F46AED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9FE3" w14:textId="19B0D561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206</w:t>
            </w:r>
          </w:p>
        </w:tc>
      </w:tr>
      <w:tr w:rsidR="00F77F57" w:rsidRPr="008B63DE" w14:paraId="16D9A253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32567" w14:textId="77777777" w:rsidR="00F77F57" w:rsidRPr="008B63DE" w:rsidRDefault="00F77F57" w:rsidP="00F77F57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EAF78" w14:textId="263AC28E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5A45" w14:textId="2866F18F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F470" w14:textId="12EC51F3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51B0" w14:textId="08AABFA9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C773" w14:textId="7A460992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39A8" w14:textId="0E266897" w:rsid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444</w:t>
            </w:r>
          </w:p>
        </w:tc>
      </w:tr>
      <w:tr w:rsidR="00F77F57" w:rsidRPr="004357F6" w14:paraId="6146FA9C" w14:textId="77777777" w:rsidTr="00F77F57">
        <w:trPr>
          <w:trHeight w:val="240"/>
          <w:jc w:val="center"/>
        </w:trPr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F7C9" w14:textId="77777777" w:rsidR="00F77F57" w:rsidRPr="008B63DE" w:rsidRDefault="00F77F57" w:rsidP="00F77F57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12A540" w14:textId="45AFAB08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5A49D0" w14:textId="02CD8956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9.194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CE87ED" w14:textId="6A93589E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41875B" w14:textId="027468AC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13.058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F29C5B" w14:textId="21C88924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6510EC" w14:textId="6F38B014" w:rsid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14.808</w:t>
            </w:r>
          </w:p>
        </w:tc>
      </w:tr>
    </w:tbl>
    <w:p w14:paraId="22120665" w14:textId="77777777" w:rsidR="000045B2" w:rsidRPr="004357F6" w:rsidRDefault="000045B2" w:rsidP="00D3173A">
      <w:pPr>
        <w:pStyle w:val="BodyText"/>
        <w:tabs>
          <w:tab w:val="left" w:pos="48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88C17E0" w14:textId="5B7898E9" w:rsidR="00D615D4" w:rsidRPr="00044557" w:rsidRDefault="00297123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AD46F0">
        <w:rPr>
          <w:rFonts w:ascii="Arial" w:hAnsi="Arial" w:cs="Arial"/>
          <w:sz w:val="22"/>
          <w:szCs w:val="22"/>
        </w:rPr>
        <w:t xml:space="preserve"> 2024</w:t>
      </w:r>
      <w:r w:rsidR="00BC2606" w:rsidRPr="00B45B07">
        <w:rPr>
          <w:rFonts w:ascii="Arial" w:hAnsi="Arial" w:cs="Arial"/>
          <w:sz w:val="22"/>
          <w:szCs w:val="22"/>
        </w:rPr>
        <w:t xml:space="preserve"> </w:t>
      </w:r>
      <w:r w:rsidR="005A2BE6" w:rsidRPr="00B45B07">
        <w:rPr>
          <w:rFonts w:ascii="Arial" w:hAnsi="Arial" w:cs="Arial"/>
          <w:sz w:val="22"/>
          <w:szCs w:val="22"/>
        </w:rPr>
        <w:t xml:space="preserve">dönemi itibarıyla, internet bankacılığı hizmeti kullanılarak yapılan yatırım işlemlerinin toplam </w:t>
      </w:r>
      <w:r w:rsidR="005A2BE6" w:rsidRPr="00044557">
        <w:rPr>
          <w:rFonts w:ascii="Arial" w:hAnsi="Arial" w:cs="Arial"/>
          <w:sz w:val="22"/>
          <w:szCs w:val="22"/>
        </w:rPr>
        <w:t xml:space="preserve">adedi </w:t>
      </w:r>
      <w:r w:rsidR="00590F0A" w:rsidRPr="00044557">
        <w:rPr>
          <w:rFonts w:ascii="Arial" w:hAnsi="Arial" w:cs="Arial"/>
          <w:sz w:val="22"/>
          <w:szCs w:val="22"/>
        </w:rPr>
        <w:t>1</w:t>
      </w:r>
      <w:r w:rsidR="00F77F57">
        <w:rPr>
          <w:rFonts w:ascii="Arial" w:hAnsi="Arial" w:cs="Arial"/>
          <w:sz w:val="22"/>
          <w:szCs w:val="22"/>
        </w:rPr>
        <w:t>3</w:t>
      </w:r>
      <w:r w:rsidR="005A2BE6" w:rsidRPr="00044557">
        <w:rPr>
          <w:rFonts w:ascii="Arial" w:hAnsi="Arial" w:cs="Arial"/>
          <w:sz w:val="22"/>
          <w:szCs w:val="22"/>
        </w:rPr>
        <w:t xml:space="preserve"> milyon, tutarı ise </w:t>
      </w:r>
      <w:r w:rsidR="0040458F">
        <w:rPr>
          <w:rFonts w:ascii="Arial" w:hAnsi="Arial" w:cs="Arial"/>
          <w:sz w:val="22"/>
          <w:szCs w:val="22"/>
        </w:rPr>
        <w:t>2</w:t>
      </w:r>
      <w:r w:rsidR="002D74EE" w:rsidRPr="00044557">
        <w:rPr>
          <w:rFonts w:ascii="Arial" w:hAnsi="Arial" w:cs="Arial"/>
          <w:sz w:val="22"/>
          <w:szCs w:val="22"/>
        </w:rPr>
        <w:t xml:space="preserve"> trilyon </w:t>
      </w:r>
      <w:r w:rsidR="00F77F57">
        <w:rPr>
          <w:rFonts w:ascii="Arial" w:hAnsi="Arial" w:cs="Arial"/>
          <w:sz w:val="22"/>
          <w:szCs w:val="22"/>
        </w:rPr>
        <w:t>377</w:t>
      </w:r>
      <w:r w:rsidR="002D74EE" w:rsidRPr="00044557">
        <w:rPr>
          <w:rFonts w:ascii="Arial" w:hAnsi="Arial" w:cs="Arial"/>
          <w:sz w:val="22"/>
          <w:szCs w:val="22"/>
        </w:rPr>
        <w:t xml:space="preserve"> milyar</w:t>
      </w:r>
      <w:r w:rsidR="005A2BE6" w:rsidRPr="00044557">
        <w:rPr>
          <w:rFonts w:ascii="Arial" w:hAnsi="Arial" w:cs="Arial"/>
          <w:sz w:val="22"/>
          <w:szCs w:val="22"/>
        </w:rPr>
        <w:t xml:space="preserve"> TL’dir. </w:t>
      </w:r>
    </w:p>
    <w:p w14:paraId="4A607AE7" w14:textId="5517E1EC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58B0553A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 bankacılık (bireysel ve kurumsal) toplam </w:t>
      </w:r>
      <w:r w:rsidR="00EA612A">
        <w:rPr>
          <w:rFonts w:ascii="Arial" w:hAnsi="Arial" w:cs="Arial"/>
          <w:sz w:val="22"/>
          <w:szCs w:val="22"/>
        </w:rPr>
        <w:t>tekilleştirilmemiş</w:t>
      </w:r>
      <w:r w:rsidR="00EA612A" w:rsidRPr="00435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aktif müşteri sayısı 11</w:t>
      </w:r>
      <w:r w:rsidR="00F77F5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milyon </w:t>
      </w:r>
      <w:r w:rsidR="00F77F57">
        <w:rPr>
          <w:rFonts w:ascii="Arial" w:hAnsi="Arial" w:cs="Arial"/>
          <w:sz w:val="22"/>
          <w:szCs w:val="22"/>
        </w:rPr>
        <w:t>755</w:t>
      </w:r>
      <w:r>
        <w:rPr>
          <w:rFonts w:ascii="Arial" w:hAnsi="Arial" w:cs="Arial"/>
          <w:sz w:val="22"/>
          <w:szCs w:val="22"/>
        </w:rPr>
        <w:t xml:space="preserve">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 w:rsidR="00F77F57">
        <w:rPr>
          <w:rFonts w:ascii="Arial" w:hAnsi="Arial" w:cs="Arial"/>
          <w:sz w:val="22"/>
          <w:szCs w:val="22"/>
        </w:rPr>
        <w:t>1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F77F57">
        <w:rPr>
          <w:rFonts w:ascii="Arial" w:hAnsi="Arial" w:cs="Arial"/>
          <w:sz w:val="22"/>
          <w:szCs w:val="22"/>
        </w:rPr>
        <w:t>939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</w:t>
      </w:r>
      <w:r w:rsidR="00F77F57">
        <w:rPr>
          <w:rFonts w:ascii="Arial" w:hAnsi="Arial" w:cs="Arial"/>
          <w:sz w:val="22"/>
          <w:szCs w:val="22"/>
        </w:rPr>
        <w:t>8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 w:rsidR="00F77F57">
        <w:rPr>
          <w:rFonts w:ascii="Arial" w:hAnsi="Arial" w:cs="Arial"/>
          <w:sz w:val="22"/>
          <w:szCs w:val="22"/>
        </w:rPr>
        <w:t>969</w:t>
      </w:r>
      <w:r>
        <w:rPr>
          <w:rFonts w:ascii="Arial" w:hAnsi="Arial" w:cs="Arial"/>
          <w:sz w:val="22"/>
          <w:szCs w:val="22"/>
        </w:rPr>
        <w:t xml:space="preserve"> bin kişi artış olmuştur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FD5657" w14:textId="77777777" w:rsidR="00EA612A" w:rsidRDefault="00EA612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5174E3F9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 xml:space="preserve">Mobil Bankacılık Kullanan </w:t>
      </w:r>
      <w:r w:rsidR="00EA612A">
        <w:rPr>
          <w:rFonts w:ascii="Arial" w:hAnsi="Arial" w:cs="Arial"/>
          <w:szCs w:val="22"/>
        </w:rPr>
        <w:t>Tekilleştirilmemiş</w:t>
      </w:r>
      <w:r w:rsidR="00EA612A" w:rsidRPr="001D1325">
        <w:rPr>
          <w:rFonts w:ascii="Arial" w:hAnsi="Arial" w:cs="Arial"/>
        </w:rPr>
        <w:t xml:space="preserve"> </w:t>
      </w:r>
      <w:r w:rsidRPr="001D1325">
        <w:rPr>
          <w:rFonts w:ascii="Arial" w:hAnsi="Arial" w:cs="Arial"/>
        </w:rPr>
        <w:t>Müşteri Sayı</w:t>
      </w:r>
      <w:r w:rsidR="002923AA">
        <w:rPr>
          <w:rFonts w:ascii="Arial" w:hAnsi="Arial" w:cs="Arial"/>
        </w:rPr>
        <w:t>ları</w:t>
      </w:r>
    </w:p>
    <w:tbl>
      <w:tblPr>
        <w:tblW w:w="86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475"/>
        <w:gridCol w:w="1437"/>
        <w:gridCol w:w="1243"/>
      </w:tblGrid>
      <w:tr w:rsidR="00F77F57" w:rsidRPr="001D1325" w14:paraId="368DB088" w14:textId="77777777" w:rsidTr="005321E7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27168" w14:textId="77777777" w:rsidR="00F77F57" w:rsidRPr="001D1325" w:rsidRDefault="00F77F57" w:rsidP="00F77F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F575E0" w14:textId="786FC61A" w:rsidR="00F77F57" w:rsidRPr="001D1325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B7FD12" w14:textId="42230E72" w:rsidR="00F77F57" w:rsidRPr="001D1325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 2024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48E8D" w14:textId="2963083B" w:rsidR="00F77F57" w:rsidRPr="001D1325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Aralık 2024</w:t>
            </w:r>
          </w:p>
        </w:tc>
      </w:tr>
      <w:tr w:rsidR="00174A96" w:rsidRPr="001D1325" w14:paraId="28C670A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A2E3D" w14:textId="77777777" w:rsidR="00174A96" w:rsidRPr="001D1325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75" w:type="dxa"/>
            <w:tcBorders>
              <w:left w:val="nil"/>
              <w:right w:val="nil"/>
            </w:tcBorders>
            <w:shd w:val="clear" w:color="auto" w:fill="auto"/>
          </w:tcPr>
          <w:p w14:paraId="258CDC63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14:paraId="27EF901E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2C7893AF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F77F57" w:rsidRPr="001D1325" w14:paraId="391F274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D56FE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F2650" w14:textId="79F870B0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77F57">
              <w:rPr>
                <w:rFonts w:ascii="Arial" w:hAnsi="Arial" w:cs="Arial"/>
                <w:sz w:val="20"/>
              </w:rPr>
              <w:t>104.829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DB54F" w14:textId="0E8590A8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111.680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18744" w14:textId="0B3C46CA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113.514</w:t>
            </w:r>
          </w:p>
        </w:tc>
      </w:tr>
      <w:tr w:rsidR="00F77F57" w:rsidRPr="001D1325" w14:paraId="65A7D64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38884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91E1A" w14:textId="646A50CF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164.581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47F86" w14:textId="0702065D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182.032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CF45F" w14:textId="5E4BC7EB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187.613</w:t>
            </w:r>
          </w:p>
        </w:tc>
      </w:tr>
      <w:tr w:rsidR="00F77F57" w:rsidRPr="001D1325" w14:paraId="759E306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D3ED1" w14:textId="77777777" w:rsidR="00F77F57" w:rsidRPr="001D1325" w:rsidRDefault="00F77F57" w:rsidP="00F77F57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99F0" w14:textId="164CA952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17E01" w14:textId="5D5ABD98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BC2D5" w14:textId="101AD731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</w:tr>
      <w:tr w:rsidR="00F77F57" w:rsidRPr="001D1325" w14:paraId="5547242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FC9DB" w14:textId="77777777" w:rsidR="00F77F57" w:rsidRPr="001D1325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1D1325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D064" w14:textId="77777777" w:rsidR="00F77F57" w:rsidRPr="00F77F57" w:rsidRDefault="00F77F57" w:rsidP="00F77F57">
            <w:pPr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7381" w14:textId="77777777" w:rsidR="00F77F57" w:rsidRPr="00F77F57" w:rsidRDefault="00F77F57" w:rsidP="00F77F57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FA47" w14:textId="77777777" w:rsidR="00F77F57" w:rsidRPr="00F77F57" w:rsidRDefault="00F77F57" w:rsidP="00F77F57">
            <w:pPr>
              <w:rPr>
                <w:sz w:val="20"/>
              </w:rPr>
            </w:pPr>
          </w:p>
        </w:tc>
      </w:tr>
      <w:tr w:rsidR="00F77F57" w:rsidRPr="001D1325" w14:paraId="6948105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39689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2C47C" w14:textId="4898D16F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3.957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A428" w14:textId="14245CD5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4.136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E8DF0" w14:textId="6837EF3E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4.241</w:t>
            </w:r>
          </w:p>
        </w:tc>
      </w:tr>
      <w:tr w:rsidR="00F77F57" w:rsidRPr="001D1325" w14:paraId="15BA55A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F55B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F562F" w14:textId="3008CC59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7.454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A36C5" w14:textId="406343D9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7.938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3FA69" w14:textId="07057B4D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8.211</w:t>
            </w:r>
          </w:p>
        </w:tc>
      </w:tr>
      <w:tr w:rsidR="00F77F57" w:rsidRPr="001D1325" w14:paraId="0F5CB6D9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A73E8" w14:textId="77777777" w:rsidR="00F77F57" w:rsidRPr="001D1325" w:rsidRDefault="00F77F57" w:rsidP="00F77F57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D4B1F" w14:textId="6216726D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7B4CF" w14:textId="727775F0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04D26" w14:textId="18AAD4E5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</w:tr>
      <w:tr w:rsidR="00F77F57" w:rsidRPr="001D1325" w14:paraId="67C9D04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56A0A5" w14:textId="77777777" w:rsidR="00F77F57" w:rsidRPr="001D1325" w:rsidRDefault="00F77F57" w:rsidP="00F77F5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9CC7" w14:textId="77777777" w:rsidR="00F77F57" w:rsidRPr="00F77F57" w:rsidRDefault="00F77F57" w:rsidP="00F77F57">
            <w:pPr>
              <w:jc w:val="right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45908" w14:textId="77777777" w:rsidR="00F77F57" w:rsidRPr="00F77F57" w:rsidRDefault="00F77F57" w:rsidP="00F77F57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6079" w14:textId="77777777" w:rsidR="00F77F57" w:rsidRPr="00F77F57" w:rsidRDefault="00F77F57" w:rsidP="00F77F57">
            <w:pPr>
              <w:rPr>
                <w:sz w:val="20"/>
              </w:rPr>
            </w:pPr>
          </w:p>
        </w:tc>
      </w:tr>
      <w:tr w:rsidR="00F77F57" w:rsidRPr="001D1325" w14:paraId="53CFC103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746B3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08E1" w14:textId="1ECD95EA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108.786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1A75C" w14:textId="38636506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115.816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E4592" w14:textId="7B756681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117.755</w:t>
            </w:r>
          </w:p>
        </w:tc>
      </w:tr>
      <w:tr w:rsidR="00F77F57" w:rsidRPr="001D1325" w14:paraId="40770ADF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C7B29" w14:textId="77777777" w:rsidR="00F77F57" w:rsidRPr="001D1325" w:rsidRDefault="00F77F57" w:rsidP="00F77F57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C364" w14:textId="75E1EC33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172.035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D9199" w14:textId="6CC77879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189.970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4BE2" w14:textId="45F1A7AE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195.824</w:t>
            </w:r>
          </w:p>
        </w:tc>
      </w:tr>
      <w:tr w:rsidR="00F77F57" w:rsidRPr="004357F6" w14:paraId="05C47651" w14:textId="77777777" w:rsidTr="005321E7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FE1DA" w14:textId="77777777" w:rsidR="00F77F57" w:rsidRPr="001D1325" w:rsidRDefault="00F77F57" w:rsidP="00F77F57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C81BBE" w14:textId="2B201FA1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DD4706" w14:textId="26DF86C9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2FAACD0" w14:textId="5F9DBC61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60</w:t>
            </w:r>
          </w:p>
        </w:tc>
      </w:tr>
    </w:tbl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2FD06432" w:rsidR="002E385C" w:rsidRDefault="00AD46F0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 2024</w:t>
      </w:r>
      <w:r w:rsidR="002E385C" w:rsidRPr="00D74A96">
        <w:rPr>
          <w:rFonts w:ascii="Arial" w:hAnsi="Arial" w:cs="Arial"/>
          <w:sz w:val="22"/>
          <w:szCs w:val="22"/>
        </w:rPr>
        <w:t xml:space="preserve"> </w:t>
      </w:r>
      <w:r w:rsidR="002E385C">
        <w:rPr>
          <w:rFonts w:ascii="Arial" w:hAnsi="Arial" w:cs="Arial"/>
          <w:sz w:val="22"/>
          <w:szCs w:val="22"/>
        </w:rPr>
        <w:t>itibarıyla</w:t>
      </w:r>
      <w:r w:rsidR="004C0C8A">
        <w:rPr>
          <w:rFonts w:ascii="Arial" w:hAnsi="Arial" w:cs="Arial"/>
          <w:sz w:val="22"/>
          <w:szCs w:val="22"/>
        </w:rPr>
        <w:t xml:space="preserve"> tekilleştirilmemiş</w:t>
      </w:r>
      <w:r w:rsidR="002E385C"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 w:rsidR="002E385C">
        <w:rPr>
          <w:rFonts w:ascii="Arial" w:hAnsi="Arial" w:cs="Arial"/>
          <w:sz w:val="22"/>
          <w:szCs w:val="22"/>
        </w:rPr>
        <w:t xml:space="preserve"> mobil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11</w:t>
      </w:r>
      <w:r w:rsidR="00F77F57">
        <w:rPr>
          <w:rFonts w:ascii="Arial" w:hAnsi="Arial" w:cs="Arial"/>
          <w:sz w:val="22"/>
          <w:szCs w:val="22"/>
        </w:rPr>
        <w:t>3</w:t>
      </w:r>
      <w:r w:rsidR="002E385C" w:rsidRPr="00D74A96">
        <w:rPr>
          <w:rFonts w:ascii="Arial" w:hAnsi="Arial" w:cs="Arial"/>
          <w:sz w:val="22"/>
          <w:szCs w:val="22"/>
        </w:rPr>
        <w:t xml:space="preserve"> milyon </w:t>
      </w:r>
      <w:r w:rsidR="00F77F57">
        <w:rPr>
          <w:rFonts w:ascii="Arial" w:hAnsi="Arial" w:cs="Arial"/>
          <w:sz w:val="22"/>
          <w:szCs w:val="22"/>
        </w:rPr>
        <w:t>514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="002E385C"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 w:rsidR="002E385C">
        <w:rPr>
          <w:rFonts w:ascii="Arial" w:hAnsi="Arial" w:cs="Arial"/>
          <w:sz w:val="22"/>
          <w:szCs w:val="22"/>
        </w:rPr>
        <w:t>l</w:t>
      </w:r>
      <w:r w:rsidR="002E385C"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0B7210">
        <w:rPr>
          <w:rFonts w:ascii="Arial" w:hAnsi="Arial" w:cs="Arial"/>
          <w:sz w:val="22"/>
          <w:szCs w:val="22"/>
        </w:rPr>
        <w:t>61</w:t>
      </w:r>
      <w:r w:rsidR="002E385C" w:rsidRPr="00D74A96">
        <w:rPr>
          <w:rFonts w:ascii="Arial" w:hAnsi="Arial" w:cs="Arial"/>
          <w:sz w:val="22"/>
          <w:szCs w:val="22"/>
        </w:rPr>
        <w:t>’</w:t>
      </w:r>
      <w:r w:rsidR="000B7210">
        <w:rPr>
          <w:rFonts w:ascii="Arial" w:hAnsi="Arial" w:cs="Arial"/>
          <w:sz w:val="22"/>
          <w:szCs w:val="22"/>
        </w:rPr>
        <w:t>ini</w:t>
      </w:r>
      <w:r w:rsidR="002E385C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135E53EA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</w:t>
      </w:r>
      <w:r w:rsidR="004C0C8A">
        <w:rPr>
          <w:rFonts w:ascii="Arial" w:hAnsi="Arial" w:cs="Arial"/>
          <w:sz w:val="22"/>
          <w:szCs w:val="22"/>
        </w:rPr>
        <w:t xml:space="preserve">tekilleştirilmemiş </w:t>
      </w:r>
      <w:r w:rsidRPr="00F217E7">
        <w:rPr>
          <w:rFonts w:ascii="Arial" w:hAnsi="Arial" w:cs="Arial"/>
          <w:sz w:val="22"/>
          <w:szCs w:val="22"/>
        </w:rPr>
        <w:t xml:space="preserve">kurumsal müşteri sayısı, </w:t>
      </w:r>
      <w:r w:rsidR="00AD46F0">
        <w:rPr>
          <w:rFonts w:ascii="Arial" w:hAnsi="Arial" w:cs="Arial"/>
          <w:sz w:val="22"/>
          <w:szCs w:val="22"/>
        </w:rPr>
        <w:t>Aralık 2024</w:t>
      </w:r>
      <w:r w:rsidRPr="00F217E7">
        <w:rPr>
          <w:rFonts w:ascii="Arial" w:hAnsi="Arial" w:cs="Arial"/>
          <w:sz w:val="22"/>
          <w:szCs w:val="22"/>
        </w:rPr>
        <w:t xml:space="preserve"> itibarıyla </w:t>
      </w:r>
      <w:r w:rsidR="00F77F57">
        <w:rPr>
          <w:rFonts w:ascii="Arial" w:hAnsi="Arial" w:cs="Arial"/>
          <w:sz w:val="22"/>
          <w:szCs w:val="22"/>
        </w:rPr>
        <w:t xml:space="preserve">8 </w:t>
      </w:r>
      <w:r w:rsidRPr="00F217E7">
        <w:rPr>
          <w:rFonts w:ascii="Arial" w:hAnsi="Arial" w:cs="Arial"/>
          <w:sz w:val="22"/>
          <w:szCs w:val="22"/>
        </w:rPr>
        <w:t xml:space="preserve">milyon </w:t>
      </w:r>
      <w:r w:rsidR="00F77F57">
        <w:rPr>
          <w:rFonts w:ascii="Arial" w:hAnsi="Arial" w:cs="Arial"/>
          <w:sz w:val="22"/>
          <w:szCs w:val="22"/>
        </w:rPr>
        <w:t>211</w:t>
      </w:r>
      <w:r w:rsidR="000B7210">
        <w:rPr>
          <w:rFonts w:ascii="Arial" w:hAnsi="Arial" w:cs="Arial"/>
          <w:sz w:val="22"/>
          <w:szCs w:val="22"/>
        </w:rPr>
        <w:t xml:space="preserve">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F77F57">
        <w:rPr>
          <w:rFonts w:ascii="Arial" w:hAnsi="Arial" w:cs="Arial"/>
          <w:sz w:val="22"/>
          <w:szCs w:val="22"/>
        </w:rPr>
        <w:t>241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6A590D">
        <w:rPr>
          <w:rFonts w:ascii="Arial" w:hAnsi="Arial" w:cs="Arial"/>
          <w:sz w:val="22"/>
          <w:szCs w:val="22"/>
        </w:rPr>
        <w:t>52</w:t>
      </w:r>
      <w:r w:rsidRPr="00F217E7">
        <w:rPr>
          <w:rFonts w:ascii="Arial" w:hAnsi="Arial" w:cs="Arial"/>
          <w:sz w:val="22"/>
          <w:szCs w:val="22"/>
        </w:rPr>
        <w:t>’</w:t>
      </w:r>
      <w:r w:rsidR="006A59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0F68884" w14:textId="77777777" w:rsidR="002923AA" w:rsidRDefault="002923A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1050A5D5" w:rsidR="00090952" w:rsidRDefault="00297123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Ekim-Aralık</w:t>
      </w:r>
      <w:r w:rsidR="00AD46F0">
        <w:rPr>
          <w:rFonts w:ascii="Arial" w:hAnsi="Arial" w:cs="Arial"/>
          <w:sz w:val="22"/>
          <w:szCs w:val="22"/>
        </w:rPr>
        <w:t xml:space="preserve"> 2024</w:t>
      </w:r>
      <w:r w:rsidR="00906628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F77F57">
        <w:rPr>
          <w:rFonts w:ascii="Arial" w:hAnsi="Arial" w:cs="Arial"/>
          <w:sz w:val="22"/>
          <w:szCs w:val="22"/>
        </w:rPr>
        <w:t>571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3432E1" w:rsidRPr="004947E8">
        <w:rPr>
          <w:rFonts w:ascii="Arial" w:hAnsi="Arial" w:cs="Arial"/>
          <w:sz w:val="22"/>
          <w:szCs w:val="22"/>
        </w:rPr>
        <w:t xml:space="preserve"> ise </w:t>
      </w:r>
      <w:r w:rsidR="00E94F45">
        <w:rPr>
          <w:rFonts w:ascii="Arial" w:hAnsi="Arial" w:cs="Arial"/>
          <w:sz w:val="22"/>
          <w:szCs w:val="22"/>
        </w:rPr>
        <w:t>3</w:t>
      </w:r>
      <w:r w:rsidR="00F77F57">
        <w:rPr>
          <w:rFonts w:ascii="Arial" w:hAnsi="Arial" w:cs="Arial"/>
          <w:sz w:val="22"/>
          <w:szCs w:val="22"/>
        </w:rPr>
        <w:t xml:space="preserve">7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14539907" w14:textId="77777777" w:rsidR="00227B9A" w:rsidRPr="00227B9A" w:rsidRDefault="00227B9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D6736C" w:rsidRPr="00D6736C" w14:paraId="0BB82AB2" w14:textId="77777777" w:rsidTr="00D3173A">
        <w:trPr>
          <w:trHeight w:val="364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D6736C" w:rsidRPr="00D6736C" w:rsidRDefault="00D6736C" w:rsidP="00D6736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65C8347" w14:textId="0D7E58B9" w:rsidR="00D6736C" w:rsidRPr="00D6736C" w:rsidRDefault="00AD46F0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F77F5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21E7" w:rsidRPr="008B63DE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5321E7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251D7A" w14:textId="7E6F3F52" w:rsidR="00D6736C" w:rsidRPr="00D6736C" w:rsidRDefault="00AD46F0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D6736C" w:rsidRPr="00D6736C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80292A" w14:textId="3138C024" w:rsidR="00D6736C" w:rsidRPr="00D6736C" w:rsidRDefault="00AD46F0" w:rsidP="00F77F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</w:t>
            </w:r>
            <w:r w:rsidR="00F77F5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21E7" w:rsidRPr="008B63DE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CA1F8B" w:rsidRPr="00D6736C" w14:paraId="6F7932FC" w14:textId="77777777" w:rsidTr="00F77F57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B0931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C5DB0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0A0D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35948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F77F57" w:rsidRPr="00D6736C" w14:paraId="2F87964E" w14:textId="77777777" w:rsidTr="00F77F57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A5EAD4" w14:textId="77777777" w:rsidR="00F77F57" w:rsidRPr="00D6736C" w:rsidRDefault="00F77F57" w:rsidP="00F77F57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E9577" w14:textId="3852106C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F77F57">
              <w:rPr>
                <w:rFonts w:ascii="Arial" w:hAnsi="Arial" w:cs="Arial"/>
                <w:sz w:val="20"/>
              </w:rPr>
              <w:t>1.512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8D6E3" w14:textId="7EF1C4F2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14.349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A871" w14:textId="31C6C65F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D90F" w14:textId="096357A3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20.958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DE67" w14:textId="1A08A231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1.614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F9FA" w14:textId="1976C590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24.032</w:t>
            </w:r>
          </w:p>
        </w:tc>
      </w:tr>
      <w:tr w:rsidR="00F77F57" w:rsidRPr="00D6736C" w14:paraId="39A575C2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E07CC" w14:textId="77777777" w:rsidR="00F77F57" w:rsidRPr="00D6736C" w:rsidRDefault="00F77F57" w:rsidP="00F77F57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E18AA" w14:textId="37365F68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51FD5" w14:textId="0BBB0FF4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DB6A" w14:textId="4F67EFE5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2B5B" w14:textId="60A04A94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FE3B" w14:textId="145271C2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CB71" w14:textId="516710C7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1.095</w:t>
            </w:r>
          </w:p>
        </w:tc>
      </w:tr>
      <w:tr w:rsidR="00F77F57" w:rsidRPr="00D6736C" w14:paraId="2C405FBE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366CD" w14:textId="77777777" w:rsidR="00F77F57" w:rsidRPr="00D6736C" w:rsidRDefault="00F77F57" w:rsidP="00F77F57">
            <w:pPr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7959" w14:textId="415A0491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B31FC" w14:textId="56586382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5.618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648A" w14:textId="2CAC710E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F3BA" w14:textId="578A4DB8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7.510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E822" w14:textId="448CA262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37B8" w14:textId="0BA55851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8.182</w:t>
            </w:r>
          </w:p>
        </w:tc>
      </w:tr>
      <w:tr w:rsidR="00F77F57" w:rsidRPr="00D6736C" w14:paraId="40677AEA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5C3F5" w14:textId="77777777" w:rsidR="00F77F57" w:rsidRPr="00D6736C" w:rsidRDefault="00F77F57" w:rsidP="00F77F57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4FDE" w14:textId="021981B7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3C486" w14:textId="25492433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1.588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3075" w14:textId="1B42745A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C1F0" w14:textId="5D61F84D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2.487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C7F7" w14:textId="3F33B271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15EA" w14:textId="79861CED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2.690</w:t>
            </w:r>
          </w:p>
        </w:tc>
      </w:tr>
      <w:tr w:rsidR="00F77F57" w:rsidRPr="00D6736C" w14:paraId="3096F197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332BB" w14:textId="77777777" w:rsidR="00F77F57" w:rsidRPr="00D6736C" w:rsidRDefault="00F77F57" w:rsidP="00F77F57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13F7" w14:textId="0081C923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0B104" w14:textId="48F0830D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A877" w14:textId="34F505E6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B80B" w14:textId="35A38B85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1.078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5D89" w14:textId="618AB408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F497" w14:textId="515DB873" w:rsidR="00F77F57" w:rsidRPr="00F77F57" w:rsidRDefault="00F77F57" w:rsidP="00F77F57">
            <w:pPr>
              <w:jc w:val="right"/>
              <w:rPr>
                <w:rFonts w:ascii="Arial" w:hAnsi="Arial" w:cs="Arial"/>
                <w:sz w:val="20"/>
              </w:rPr>
            </w:pPr>
            <w:r w:rsidRPr="00F77F57">
              <w:rPr>
                <w:rFonts w:ascii="Arial" w:hAnsi="Arial" w:cs="Arial"/>
                <w:sz w:val="20"/>
              </w:rPr>
              <w:t>1.282</w:t>
            </w:r>
          </w:p>
        </w:tc>
      </w:tr>
      <w:tr w:rsidR="00F77F57" w:rsidRPr="004357F6" w14:paraId="776A5F13" w14:textId="77777777" w:rsidTr="00F77F57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F0930" w14:textId="77777777" w:rsidR="00F77F57" w:rsidRPr="00D6736C" w:rsidRDefault="00F77F57" w:rsidP="00F77F57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D05021" w14:textId="49190700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2.558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9EC5B8" w14:textId="6DC5AA73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23.031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142BD7" w14:textId="63DB7800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2.464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E2A4A8" w14:textId="52A0011B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33.020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D39ACD" w14:textId="340050D2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2.571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E64ED0" w14:textId="4A5F036C" w:rsidR="00F77F57" w:rsidRPr="00F77F57" w:rsidRDefault="00F77F57" w:rsidP="00F77F5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77F57">
              <w:rPr>
                <w:rFonts w:ascii="Arial" w:hAnsi="Arial" w:cs="Arial"/>
                <w:b/>
                <w:bCs/>
                <w:sz w:val="20"/>
              </w:rPr>
              <w:t>37.281</w:t>
            </w:r>
          </w:p>
        </w:tc>
      </w:tr>
    </w:tbl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7299A0C" w14:textId="5BEEBF94" w:rsidR="00B46D6D" w:rsidRPr="00D6736C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761237">
        <w:rPr>
          <w:rFonts w:ascii="Arial" w:hAnsi="Arial" w:cs="Arial"/>
          <w:sz w:val="22"/>
          <w:szCs w:val="22"/>
        </w:rPr>
        <w:t>4</w:t>
      </w:r>
      <w:r w:rsidR="00E94F45">
        <w:rPr>
          <w:rFonts w:ascii="Arial" w:hAnsi="Arial" w:cs="Arial"/>
          <w:sz w:val="22"/>
          <w:szCs w:val="22"/>
        </w:rPr>
        <w:t>’ü</w:t>
      </w:r>
      <w:r w:rsidR="00761237">
        <w:rPr>
          <w:rFonts w:ascii="Arial" w:hAnsi="Arial" w:cs="Arial"/>
          <w:sz w:val="22"/>
          <w:szCs w:val="22"/>
        </w:rPr>
        <w:t>nü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761237">
        <w:rPr>
          <w:rFonts w:ascii="Arial" w:hAnsi="Arial" w:cs="Arial"/>
          <w:sz w:val="22"/>
          <w:szCs w:val="22"/>
        </w:rPr>
        <w:t>2’sini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  <w:r w:rsidR="00B46D6D" w:rsidRPr="00D6736C">
        <w:t xml:space="preserve"> </w:t>
      </w:r>
    </w:p>
    <w:p w14:paraId="47EB839A" w14:textId="77777777" w:rsidR="002E385C" w:rsidRDefault="002E385C" w:rsidP="00090952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0C38E7" w14:textId="437984BD" w:rsidR="00090952" w:rsidRPr="004357F6" w:rsidRDefault="00297123" w:rsidP="00090952">
      <w:pPr>
        <w:pStyle w:val="BodyTex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Ekim-Aralık</w:t>
      </w:r>
      <w:r w:rsidR="00AD46F0"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dönemi itibarıyla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,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m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obil bankacılık hizmeti kullanılarak yapılan yatırım işlemleri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toplam adedi 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>1</w:t>
      </w:r>
      <w:r w:rsidR="00761237">
        <w:rPr>
          <w:rFonts w:ascii="Arial" w:hAnsi="Arial" w:cs="Arial"/>
          <w:color w:val="000000" w:themeColor="text1"/>
          <w:sz w:val="22"/>
          <w:szCs w:val="22"/>
        </w:rPr>
        <w:t>5</w:t>
      </w:r>
      <w:r w:rsidR="002923AA">
        <w:rPr>
          <w:rFonts w:ascii="Arial" w:hAnsi="Arial" w:cs="Arial"/>
          <w:color w:val="000000" w:themeColor="text1"/>
          <w:sz w:val="22"/>
          <w:szCs w:val="22"/>
        </w:rPr>
        <w:t>5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milyon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, hacmi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ise </w:t>
      </w:r>
      <w:r w:rsidR="00761237">
        <w:rPr>
          <w:rFonts w:ascii="Arial" w:hAnsi="Arial" w:cs="Arial"/>
          <w:color w:val="000000" w:themeColor="text1"/>
          <w:sz w:val="22"/>
          <w:szCs w:val="22"/>
        </w:rPr>
        <w:t>8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trilyon TL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’dir. </w:t>
      </w:r>
    </w:p>
    <w:p w14:paraId="66ED1E80" w14:textId="77777777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4407" w14:textId="77777777" w:rsidR="00227B9A" w:rsidRDefault="00227B9A">
      <w:r>
        <w:separator/>
      </w:r>
    </w:p>
  </w:endnote>
  <w:endnote w:type="continuationSeparator" w:id="0">
    <w:p w14:paraId="01504AD1" w14:textId="77777777" w:rsidR="00227B9A" w:rsidRDefault="0022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3BC9" w14:textId="77777777" w:rsidR="00227B9A" w:rsidRDefault="00227B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227B9A" w:rsidRDefault="00227B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2FB5" w14:textId="1D55916F" w:rsidR="00227B9A" w:rsidRPr="004A3CA1" w:rsidRDefault="00227B9A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Aralık 2024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4C0C8A">
      <w:rPr>
        <w:rFonts w:ascii="Arial" w:hAnsi="Arial" w:cs="Arial"/>
        <w:noProof/>
        <w:sz w:val="18"/>
        <w:szCs w:val="18"/>
      </w:rPr>
      <w:t>ii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227B9A" w:rsidRDefault="00227B9A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CA11" w14:textId="77777777" w:rsidR="00227B9A" w:rsidRPr="00325942" w:rsidRDefault="00227B9A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227B9A" w:rsidRDefault="00227B9A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227B9A" w:rsidRPr="00371F55" w:rsidRDefault="00227B9A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F321" w14:textId="77777777" w:rsidR="00227B9A" w:rsidRDefault="00227B9A">
      <w:r>
        <w:separator/>
      </w:r>
    </w:p>
  </w:footnote>
  <w:footnote w:type="continuationSeparator" w:id="0">
    <w:p w14:paraId="3EBD99F7" w14:textId="77777777" w:rsidR="00227B9A" w:rsidRDefault="00227B9A">
      <w:r>
        <w:continuationSeparator/>
      </w:r>
    </w:p>
  </w:footnote>
  <w:footnote w:id="1">
    <w:p w14:paraId="40A0CD18" w14:textId="77777777" w:rsidR="00227B9A" w:rsidRPr="00227B9A" w:rsidRDefault="00227B9A" w:rsidP="00F06EBF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Mevduat bankaları ile kalkınma ve yatırım 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</w:rPr>
      </w:pPr>
      <w:r w:rsidRPr="00227B9A">
        <w:rPr>
          <w:rStyle w:val="FootnoteReference"/>
          <w:rFonts w:ascii="Arial" w:hAnsi="Arial" w:cs="Arial"/>
          <w:sz w:val="18"/>
          <w:szCs w:val="18"/>
        </w:rPr>
        <w:footnoteRef/>
      </w:r>
      <w:r w:rsidRPr="00227B9A">
        <w:rPr>
          <w:rFonts w:ascii="Arial" w:hAnsi="Arial" w:cs="Arial"/>
          <w:sz w:val="18"/>
          <w:szCs w:val="18"/>
        </w:rPr>
        <w:t xml:space="preserve"> Aktif Müşteri Sayısı=Son üç ay içinde en az bir kez işlem yapmış (login olması yeterli)  toplam müşteri sayısı</w:t>
      </w:r>
    </w:p>
    <w:p w14:paraId="4B312CA5" w14:textId="77777777" w:rsidR="00227B9A" w:rsidRPr="00227B9A" w:rsidRDefault="00227B9A" w:rsidP="00854195">
      <w:pPr>
        <w:pStyle w:val="FootnoteText"/>
        <w:spacing w:line="276" w:lineRule="auto"/>
        <w:rPr>
          <w:rFonts w:ascii="Arial" w:hAnsi="Arial" w:cs="Arial"/>
          <w:sz w:val="18"/>
          <w:szCs w:val="18"/>
          <w:highlight w:val="yellow"/>
        </w:rPr>
      </w:pPr>
      <w:r w:rsidRPr="00227B9A">
        <w:rPr>
          <w:rFonts w:ascii="Arial" w:hAnsi="Arial" w:cs="Arial"/>
          <w:sz w:val="18"/>
          <w:szCs w:val="18"/>
        </w:rPr>
        <w:t xml:space="preserve">  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227B9A" w:rsidRPr="00F06EBF" w:rsidRDefault="00227B9A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D2FE" w14:textId="77777777" w:rsidR="00227B9A" w:rsidRDefault="00227B9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84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2123"/>
    <w:rsid w:val="000C3A2B"/>
    <w:rsid w:val="000C3A41"/>
    <w:rsid w:val="000C4966"/>
    <w:rsid w:val="000C50E1"/>
    <w:rsid w:val="000C7067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27B9A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23AA"/>
    <w:rsid w:val="002951D5"/>
    <w:rsid w:val="002953BF"/>
    <w:rsid w:val="00297123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0C8A"/>
    <w:rsid w:val="004C1742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23B8"/>
    <w:rsid w:val="005234BF"/>
    <w:rsid w:val="005240DD"/>
    <w:rsid w:val="00525A7E"/>
    <w:rsid w:val="00526DCA"/>
    <w:rsid w:val="00527632"/>
    <w:rsid w:val="00531039"/>
    <w:rsid w:val="00531162"/>
    <w:rsid w:val="0053180A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1237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277B2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46F0"/>
    <w:rsid w:val="00AD57CB"/>
    <w:rsid w:val="00AD7412"/>
    <w:rsid w:val="00AD7456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27062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4BD2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1B38"/>
    <w:rsid w:val="00D03AE9"/>
    <w:rsid w:val="00D043A4"/>
    <w:rsid w:val="00D04705"/>
    <w:rsid w:val="00D04D23"/>
    <w:rsid w:val="00D056ED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12A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0E8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47BD"/>
    <w:rsid w:val="00F55E9C"/>
    <w:rsid w:val="00F5652B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77F57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12-24\1&#304;nternet%20Bankac&#305;l&#305;&#287;&#305;%20Raporu-Aral&#305;k%202024(toplula&#351;t&#305;r&#305;lm&#305;&#351;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12-24\1&#304;nternet%20Bankac&#305;l&#305;&#287;&#305;%20Raporu-Aral&#305;k%202024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12-24\1&#304;nternet%20Bankac&#305;l&#305;&#287;&#305;%20Raporu-Aral&#305;k%202024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r>
              <a:rPr lang="tr-TR">
                <a:solidFill>
                  <a:sysClr val="windowText" lastClr="000000"/>
                </a:solidFill>
              </a:rPr>
              <a:t>Tekilleştirilmemiş </a:t>
            </a:r>
            <a:r>
              <a:rPr lang="en-US">
                <a:solidFill>
                  <a:sysClr val="windowText" lastClr="000000"/>
                </a:solidFill>
              </a:rPr>
              <a:t>Aktif Diijtal Bankacılık Müşteri Sayısı (milyon kişi)</a:t>
            </a:r>
          </a:p>
        </c:rich>
      </c:tx>
      <c:layout>
        <c:manualLayout>
          <c:xMode val="edge"/>
          <c:yMode val="edge"/>
          <c:x val="0.1137649123609618"/>
          <c:y val="2.90404829312069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899601340173278E-2"/>
          <c:y val="0.17607383741569044"/>
          <c:w val="0.90641672351872593"/>
          <c:h val="0.67688817983939009"/>
        </c:manualLayout>
      </c:layout>
      <c:lineChart>
        <c:grouping val="standard"/>
        <c:varyColors val="0"/>
        <c:ser>
          <c:idx val="0"/>
          <c:order val="0"/>
          <c:tx>
            <c:strRef>
              <c:f>data!$E$89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002060"/>
              </a:solidFill>
            </a:ln>
          </c:spPr>
          <c:cat>
            <c:strRef>
              <c:f>data!$A$90:$A$94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Aralık 2024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0">
                  <c:v>65.677055999999993</c:v>
                </c:pt>
                <c:pt idx="1">
                  <c:v>77.931625999999994</c:v>
                </c:pt>
                <c:pt idx="2">
                  <c:v>94.390203</c:v>
                </c:pt>
                <c:pt idx="3">
                  <c:v>110.587728</c:v>
                </c:pt>
                <c:pt idx="4">
                  <c:v>119.15988299999999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74-460C-A5D8-2A86A9D4243C}"/>
            </c:ext>
          </c:extLst>
        </c:ser>
        <c:ser>
          <c:idx val="3"/>
          <c:order val="1"/>
          <c:tx>
            <c:strRef>
              <c:f>data!$E$89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002060"/>
              </a:solidFill>
            </a:ln>
          </c:spPr>
          <c:marker>
            <c:symbol val="circle"/>
            <c:size val="7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data!$A$90:$A$94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Aralık 2024</c:v>
                </c:pt>
              </c:strCache>
            </c:strRef>
          </c:cat>
          <c:val>
            <c:numRef>
              <c:f>data!$E$90:$E$94</c:f>
              <c:numCache>
                <c:formatCode>#,##0</c:formatCode>
                <c:ptCount val="5"/>
                <c:pt idx="0">
                  <c:v>65.677055999999993</c:v>
                </c:pt>
                <c:pt idx="1">
                  <c:v>77.931625999999994</c:v>
                </c:pt>
                <c:pt idx="2">
                  <c:v>94.390203</c:v>
                </c:pt>
                <c:pt idx="3">
                  <c:v>110.587728</c:v>
                </c:pt>
                <c:pt idx="4">
                  <c:v>119.15988299999999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74-460C-A5D8-2A86A9D424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748992"/>
        <c:axId val="1"/>
      </c:lineChart>
      <c:catAx>
        <c:axId val="3797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none"/>
        <c:minorTickMark val="none"/>
        <c:tickLblPos val="nextTo"/>
        <c:crossAx val="379748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data!$B$70</c:f>
              <c:strCache>
                <c:ptCount val="1"/>
                <c:pt idx="0">
                  <c:v>Aralık 2024</c:v>
                </c:pt>
              </c:strCache>
            </c:strRef>
          </c:tx>
          <c:spPr>
            <a:solidFill>
              <a:srgbClr val="0000FF"/>
            </a:solidFill>
          </c:spPr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D8-4EBF-8A37-29966DDA72C8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D8-4EBF-8A37-29966DDA72C8}"/>
              </c:ext>
            </c:extLst>
          </c:dPt>
          <c:dLbls>
            <c:dLbl>
              <c:idx val="0"/>
              <c:layout>
                <c:manualLayout>
                  <c:x val="-4.7773254853938275E-2"/>
                  <c:y val="-0.1104261062403237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D8-4EBF-8A37-29966DDA72C8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6D8-4EBF-8A37-29966DDA72C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data!$A$71:$A$72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data!$B$71:$B$72</c:f>
              <c:numCache>
                <c:formatCode>#,##0</c:formatCode>
                <c:ptCount val="2"/>
                <c:pt idx="0">
                  <c:v>40550.511362700003</c:v>
                </c:pt>
                <c:pt idx="1">
                  <c:v>73847.4646373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D8-4EBF-8A37-29966DDA7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2530904701727097"/>
          <c:y val="0.82568927737243847"/>
          <c:w val="0.43827241502219627"/>
          <c:h val="8.715596330275232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data!$B$75</c:f>
              <c:strCache>
                <c:ptCount val="1"/>
                <c:pt idx="0">
                  <c:v>Aralık 2024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data!$A$76:$A$81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data!$B$76:$B$81</c:f>
              <c:numCache>
                <c:formatCode>#,##0</c:formatCode>
                <c:ptCount val="6"/>
                <c:pt idx="0">
                  <c:v>897.22300810000002</c:v>
                </c:pt>
                <c:pt idx="1">
                  <c:v>20601.597181899997</c:v>
                </c:pt>
                <c:pt idx="2">
                  <c:v>30365.039255300002</c:v>
                </c:pt>
                <c:pt idx="3">
                  <c:v>46107.407411300002</c:v>
                </c:pt>
                <c:pt idx="4">
                  <c:v>10769.049094599999</c:v>
                </c:pt>
                <c:pt idx="5">
                  <c:v>5657.6600488000004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5-4A84-B5AE-08420BEEF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020240"/>
        <c:axId val="1"/>
      </c:barChart>
      <c:catAx>
        <c:axId val="35802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0.42732517773436135"/>
              <c:y val="2.9478125726156556E-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358020240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BE34-8EB2-4F8A-8892-656B34D0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971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13</cp:revision>
  <cp:lastPrinted>2024-08-09T07:15:00Z</cp:lastPrinted>
  <dcterms:created xsi:type="dcterms:W3CDTF">2024-11-12T07:03:00Z</dcterms:created>
  <dcterms:modified xsi:type="dcterms:W3CDTF">2025-02-14T11:37:00Z</dcterms:modified>
</cp:coreProperties>
</file>