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3C84668B" w:rsidR="006A5465" w:rsidRPr="00E66174" w:rsidRDefault="006A6486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Şubat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5C3FF8">
        <w:rPr>
          <w:rFonts w:ascii="Arial" w:hAnsi="Arial" w:cs="Arial"/>
          <w:bCs/>
          <w:szCs w:val="24"/>
        </w:rPr>
        <w:t>5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292FB1AC" w:rsidR="002C4312" w:rsidRPr="00E66174" w:rsidRDefault="00333239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20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32104999" w:rsidR="00E0043C" w:rsidRPr="00E66174" w:rsidRDefault="00333239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1 milyon 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45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1CEF2A4B" w:rsidR="007A67C6" w:rsidRPr="00E66174" w:rsidRDefault="00333239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E364921" wp14:editId="2FADBA7F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3DA8AAE0" w:rsidR="0007306D" w:rsidRPr="00E66174" w:rsidRDefault="00333239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BA0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70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6D1DF2" w:rsidRPr="001426F8" w14:paraId="326F1476" w14:textId="77777777" w:rsidTr="00C8666A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6D1DF2" w:rsidRPr="001426F8" w:rsidRDefault="006D1DF2" w:rsidP="006D1D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C4B6CCE" w14:textId="77777777" w:rsidR="00333239" w:rsidRPr="001426F8" w:rsidRDefault="00333239" w:rsidP="0033323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14:paraId="5F0DCE21" w14:textId="0499FB7F" w:rsidR="006D1DF2" w:rsidRDefault="00333239" w:rsidP="0033323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48E084" w14:textId="77777777" w:rsidR="00333239" w:rsidRPr="001426F8" w:rsidRDefault="00333239" w:rsidP="0033323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14:paraId="270F500A" w14:textId="54D9FD85" w:rsidR="006D1DF2" w:rsidRDefault="00333239" w:rsidP="0033323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6881142B" w:rsidR="006D1DF2" w:rsidRPr="001426F8" w:rsidRDefault="00333239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14:paraId="15C25C6F" w14:textId="322FDEAE" w:rsidR="006D1DF2" w:rsidRPr="001426F8" w:rsidRDefault="006D1DF2" w:rsidP="006D1DF2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0EDFD7CC" w:rsidR="006D1DF2" w:rsidRPr="00B4105B" w:rsidRDefault="00333239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  <w:r w:rsidR="006D1D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  <w:r w:rsidR="006D1DF2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6D1DF2" w:rsidRPr="00B4105B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333239" w:rsidRPr="001426F8" w14:paraId="46DE719F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333239" w:rsidRPr="001426F8" w:rsidRDefault="00333239" w:rsidP="00333239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B44585" w14:textId="4825610A" w:rsidR="00333239" w:rsidRDefault="00333239" w:rsidP="003332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791FABD0" w:rsidR="00333239" w:rsidRDefault="00333239" w:rsidP="003332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5B790930" w:rsidR="00333239" w:rsidRPr="001426F8" w:rsidRDefault="00333239" w:rsidP="003910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="003910D7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07F5901C" w:rsidR="00333239" w:rsidRPr="00B4105B" w:rsidRDefault="00333239" w:rsidP="0033323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58</w:t>
            </w:r>
          </w:p>
        </w:tc>
      </w:tr>
      <w:tr w:rsidR="00333239" w:rsidRPr="001426F8" w14:paraId="589A7657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333239" w:rsidRPr="00B4105B" w:rsidRDefault="00333239" w:rsidP="0033323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2DD21" w14:textId="300B1467" w:rsidR="00333239" w:rsidRPr="00B4105B" w:rsidRDefault="00333239" w:rsidP="0033323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191B8E4C" w:rsidR="00333239" w:rsidRPr="00B4105B" w:rsidRDefault="00333239" w:rsidP="0033323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76F381B5" w:rsidR="00333239" w:rsidRPr="00B4105B" w:rsidRDefault="00333239" w:rsidP="0033323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6CAFDB1F" w:rsidR="00333239" w:rsidRPr="00B4105B" w:rsidRDefault="00333239" w:rsidP="0033323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-9</w:t>
            </w:r>
          </w:p>
        </w:tc>
      </w:tr>
      <w:tr w:rsidR="00333239" w:rsidRPr="001426F8" w14:paraId="64562022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333239" w:rsidRPr="001426F8" w:rsidRDefault="00333239" w:rsidP="00333239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1C3DE" w14:textId="780081C9" w:rsidR="00333239" w:rsidRDefault="00333239" w:rsidP="003332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0870829F" w:rsidR="00333239" w:rsidRDefault="00333239" w:rsidP="003332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6941A46C" w:rsidR="00333239" w:rsidRPr="001426F8" w:rsidRDefault="00333239" w:rsidP="003332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7E102EBB" w:rsidR="00333239" w:rsidRPr="00B4105B" w:rsidRDefault="00333239" w:rsidP="0033323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-6</w:t>
            </w:r>
          </w:p>
        </w:tc>
      </w:tr>
      <w:tr w:rsidR="00333239" w:rsidRPr="001426F8" w14:paraId="08879BAB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333239" w:rsidRPr="001426F8" w:rsidRDefault="00333239" w:rsidP="003332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A70559" w14:textId="36552FF5" w:rsidR="00333239" w:rsidRDefault="00333239" w:rsidP="0033323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13A65C76" w:rsidR="00333239" w:rsidRDefault="00333239" w:rsidP="0033323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0C257DDA" w:rsidR="00333239" w:rsidRPr="001426F8" w:rsidRDefault="00333239" w:rsidP="0033323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4DDDCAAC" w:rsidR="00333239" w:rsidRPr="00B4105B" w:rsidRDefault="00333239" w:rsidP="00333239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-2</w:t>
            </w:r>
          </w:p>
        </w:tc>
      </w:tr>
    </w:tbl>
    <w:p w14:paraId="05A265DE" w14:textId="1C27F874" w:rsidR="000E2CB8" w:rsidRPr="0065636C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52B2FEA0" w:rsidR="007A67C6" w:rsidRPr="00E66174" w:rsidRDefault="00333239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18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04ACCB43" w:rsidR="007A67C6" w:rsidRPr="00E66174" w:rsidRDefault="00333239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BA0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308EEEDD" w:rsidR="00443C8A" w:rsidRPr="00E66174" w:rsidRDefault="00333239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426962">
        <w:rPr>
          <w:rFonts w:ascii="Arial" w:hAnsi="Arial" w:cs="Arial"/>
          <w:color w:val="000000" w:themeColor="text1"/>
          <w:sz w:val="22"/>
          <w:szCs w:val="22"/>
        </w:rPr>
        <w:t>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6677C">
        <w:rPr>
          <w:rFonts w:ascii="Arial" w:hAnsi="Arial" w:cs="Arial"/>
          <w:color w:val="000000" w:themeColor="text1"/>
          <w:sz w:val="22"/>
          <w:szCs w:val="22"/>
        </w:rPr>
        <w:t>611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66677C">
        <w:rPr>
          <w:rFonts w:ascii="Arial" w:hAnsi="Arial" w:cs="Arial"/>
          <w:color w:val="000000" w:themeColor="text1"/>
          <w:sz w:val="22"/>
          <w:szCs w:val="22"/>
        </w:rPr>
        <w:t>462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 w:rsidR="0066677C">
        <w:rPr>
          <w:rFonts w:ascii="Arial" w:hAnsi="Arial" w:cs="Arial"/>
          <w:color w:val="000000" w:themeColor="text1"/>
          <w:sz w:val="22"/>
          <w:szCs w:val="22"/>
        </w:rPr>
        <w:t>s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47E9B64E" w:rsidR="00443C8A" w:rsidRPr="00E66174" w:rsidRDefault="0066677C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>
        <w:rPr>
          <w:rFonts w:ascii="Arial" w:hAnsi="Arial" w:cs="Arial"/>
          <w:color w:val="000000" w:themeColor="text1"/>
          <w:sz w:val="22"/>
          <w:szCs w:val="22"/>
        </w:rPr>
        <w:t>28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3F20E578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3910D7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15511356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6A6486">
      <w:rPr>
        <w:rFonts w:ascii="Arial" w:hAnsi="Arial" w:cs="Arial"/>
        <w:sz w:val="18"/>
        <w:szCs w:val="18"/>
      </w:rPr>
      <w:t>Şubat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2E616F">
      <w:rPr>
        <w:rFonts w:ascii="Arial" w:hAnsi="Arial" w:cs="Arial"/>
        <w:sz w:val="18"/>
        <w:szCs w:val="18"/>
      </w:rPr>
      <w:t>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28FD70A6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6A6486">
      <w:rPr>
        <w:rFonts w:ascii="Arial" w:hAnsi="Arial" w:cs="Arial"/>
        <w:sz w:val="18"/>
        <w:szCs w:val="18"/>
      </w:rPr>
      <w:t>Şubat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5C3FF8">
      <w:rPr>
        <w:rFonts w:ascii="Arial" w:hAnsi="Arial" w:cs="Arial"/>
        <w:sz w:val="18"/>
        <w:szCs w:val="18"/>
      </w:rPr>
      <w:t>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67"/>
    <w:rsid w:val="00E07981"/>
    <w:rsid w:val="00E117E4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2-25\Uzaktan%20ve%20&#350;ubeden%20M&#252;&#351;teri%20Edinimi%20&#304;statistikleri-&#350;ubat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Aralık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1297.951</c:v>
                </c:pt>
                <c:pt idx="1">
                  <c:v>711.00699999999995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08-47DE-95A8-60FF4DCD6832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Ocak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1157.944</c:v>
                </c:pt>
                <c:pt idx="1">
                  <c:v>622.60500000000002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08-47DE-95A8-60FF4DCD6832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Şubat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1144.828</c:v>
                </c:pt>
                <c:pt idx="1">
                  <c:v>614.17600000000004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08-47DE-95A8-60FF4DCD68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916A758F-BFA8-40B8-A605-E5F34F50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23</cp:revision>
  <cp:lastPrinted>2024-09-12T10:29:00Z</cp:lastPrinted>
  <dcterms:created xsi:type="dcterms:W3CDTF">2025-01-13T08:18:00Z</dcterms:created>
  <dcterms:modified xsi:type="dcterms:W3CDTF">2025-03-11T08:13:00Z</dcterms:modified>
</cp:coreProperties>
</file>