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8A62D" w14:textId="77777777" w:rsidR="00F950A5" w:rsidRDefault="00F950A5" w:rsidP="004D2FE0">
      <w:pPr>
        <w:jc w:val="center"/>
        <w:rPr>
          <w:rFonts w:ascii="Arial" w:hAnsi="Arial" w:cs="Arial"/>
          <w:b/>
          <w:sz w:val="28"/>
          <w:szCs w:val="28"/>
        </w:rPr>
      </w:pPr>
    </w:p>
    <w:p w14:paraId="3F5BE19E" w14:textId="77777777"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14:paraId="42EB3900" w14:textId="7067F7EB" w:rsidR="006A5465" w:rsidRPr="00D84197" w:rsidRDefault="00995EA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 2025</w:t>
      </w:r>
    </w:p>
    <w:p w14:paraId="54F67D3B" w14:textId="77777777" w:rsidR="006A5465" w:rsidRPr="00F950A5" w:rsidRDefault="006A5465" w:rsidP="00CB12B8">
      <w:pPr>
        <w:pStyle w:val="BodyText"/>
        <w:rPr>
          <w:rFonts w:ascii="Arial" w:hAnsi="Arial" w:cs="Arial"/>
          <w:sz w:val="22"/>
          <w:szCs w:val="22"/>
        </w:rPr>
      </w:pPr>
    </w:p>
    <w:p w14:paraId="0F2F1E2C" w14:textId="316E4B15" w:rsidR="001B580B" w:rsidRPr="006F25E4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 w:rsidRPr="006F25E4">
        <w:rPr>
          <w:rFonts w:ascii="Arial" w:hAnsi="Arial" w:cs="Arial"/>
          <w:sz w:val="22"/>
          <w:szCs w:val="22"/>
        </w:rPr>
        <w:t>Bu raporda yer alan istatistikler, Türkiye Ba</w:t>
      </w:r>
      <w:r w:rsidR="006C57C3" w:rsidRPr="006F25E4">
        <w:rPr>
          <w:rFonts w:ascii="Arial" w:hAnsi="Arial" w:cs="Arial"/>
          <w:sz w:val="22"/>
          <w:szCs w:val="22"/>
        </w:rPr>
        <w:t xml:space="preserve">nkalar Birliği üyesi </w:t>
      </w:r>
      <w:r w:rsidR="005918FC" w:rsidRPr="006F25E4">
        <w:rPr>
          <w:rFonts w:ascii="Arial" w:hAnsi="Arial" w:cs="Arial"/>
          <w:sz w:val="22"/>
          <w:szCs w:val="22"/>
        </w:rPr>
        <w:t xml:space="preserve">ve </w:t>
      </w:r>
      <w:r w:rsidRPr="006F25E4">
        <w:rPr>
          <w:rFonts w:ascii="Arial" w:hAnsi="Arial" w:cs="Arial"/>
          <w:sz w:val="22"/>
          <w:szCs w:val="22"/>
        </w:rPr>
        <w:t>inter</w:t>
      </w:r>
      <w:r w:rsidR="00BB13F8" w:rsidRPr="006F25E4">
        <w:rPr>
          <w:rFonts w:ascii="Arial" w:hAnsi="Arial" w:cs="Arial"/>
          <w:sz w:val="22"/>
          <w:szCs w:val="22"/>
        </w:rPr>
        <w:t xml:space="preserve">net bankacılığı hizmeti veren </w:t>
      </w:r>
      <w:r w:rsidR="00F12172">
        <w:rPr>
          <w:rFonts w:ascii="Arial" w:hAnsi="Arial" w:cs="Arial"/>
          <w:sz w:val="22"/>
          <w:szCs w:val="22"/>
        </w:rPr>
        <w:t>30</w:t>
      </w:r>
      <w:r w:rsidRPr="006F25E4">
        <w:rPr>
          <w:rFonts w:ascii="Arial" w:hAnsi="Arial" w:cs="Arial"/>
          <w:sz w:val="22"/>
          <w:szCs w:val="22"/>
        </w:rPr>
        <w:t xml:space="preserve"> banka ile </w:t>
      </w:r>
      <w:r w:rsidRPr="006F25E4">
        <w:rPr>
          <w:rFonts w:ascii="Arial" w:hAnsi="Arial"/>
          <w:sz w:val="22"/>
          <w:szCs w:val="22"/>
        </w:rPr>
        <w:t>m</w:t>
      </w:r>
      <w:r w:rsidR="00391623" w:rsidRPr="006F25E4">
        <w:rPr>
          <w:rFonts w:ascii="Arial" w:hAnsi="Arial"/>
          <w:sz w:val="22"/>
          <w:szCs w:val="22"/>
        </w:rPr>
        <w:t xml:space="preserve">obil bankacılık hizmeti </w:t>
      </w:r>
      <w:r w:rsidR="00391623" w:rsidRPr="009277B2">
        <w:rPr>
          <w:rFonts w:ascii="Arial" w:hAnsi="Arial"/>
          <w:sz w:val="22"/>
          <w:szCs w:val="22"/>
        </w:rPr>
        <w:t xml:space="preserve">veren </w:t>
      </w:r>
      <w:r w:rsidR="00BB13F8" w:rsidRPr="009277B2">
        <w:rPr>
          <w:rFonts w:ascii="Arial" w:hAnsi="Arial"/>
          <w:sz w:val="22"/>
          <w:szCs w:val="22"/>
        </w:rPr>
        <w:t>2</w:t>
      </w:r>
      <w:r w:rsidR="00995EA2">
        <w:rPr>
          <w:rFonts w:ascii="Arial" w:hAnsi="Arial"/>
          <w:sz w:val="22"/>
          <w:szCs w:val="22"/>
        </w:rPr>
        <w:t>5</w:t>
      </w:r>
      <w:r w:rsidRPr="009277B2">
        <w:rPr>
          <w:rFonts w:ascii="Arial" w:hAnsi="Arial"/>
          <w:sz w:val="22"/>
          <w:szCs w:val="22"/>
        </w:rPr>
        <w:t xml:space="preserve"> banka</w:t>
      </w:r>
      <w:r w:rsidRPr="006F25E4">
        <w:rPr>
          <w:rFonts w:ascii="Arial" w:hAnsi="Arial"/>
          <w:sz w:val="22"/>
          <w:szCs w:val="22"/>
        </w:rPr>
        <w:t xml:space="preserve"> verisinden </w:t>
      </w:r>
      <w:r w:rsidRPr="006F25E4">
        <w:rPr>
          <w:rFonts w:ascii="Arial" w:hAnsi="Arial" w:cs="Arial"/>
          <w:sz w:val="22"/>
          <w:szCs w:val="22"/>
        </w:rPr>
        <w:t>oluşmaktadır.</w:t>
      </w:r>
      <w:r w:rsidRPr="006F25E4">
        <w:rPr>
          <w:rFonts w:ascii="Arial" w:hAnsi="Arial"/>
          <w:sz w:val="22"/>
          <w:szCs w:val="22"/>
        </w:rPr>
        <w:t xml:space="preserve"> </w:t>
      </w:r>
    </w:p>
    <w:p w14:paraId="1DA53A61" w14:textId="77777777" w:rsidR="004C0B4B" w:rsidRPr="006F25E4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14:paraId="66BD5E26" w14:textId="77777777" w:rsidR="00EC0D5C" w:rsidRPr="006F25E4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 w:rsidRPr="006F25E4">
        <w:rPr>
          <w:rFonts w:ascii="Arial" w:hAnsi="Arial"/>
          <w:b/>
          <w:color w:val="000000"/>
          <w:szCs w:val="24"/>
        </w:rPr>
        <w:t xml:space="preserve">I. </w:t>
      </w:r>
      <w:r w:rsidR="00B16366" w:rsidRPr="006F25E4">
        <w:rPr>
          <w:rFonts w:ascii="Arial" w:hAnsi="Arial"/>
          <w:b/>
          <w:color w:val="000000"/>
          <w:szCs w:val="24"/>
        </w:rPr>
        <w:t>Dijital Bankacılık</w:t>
      </w:r>
      <w:r w:rsidR="00796318" w:rsidRPr="006F25E4">
        <w:rPr>
          <w:rFonts w:ascii="Arial" w:hAnsi="Arial"/>
          <w:b/>
          <w:color w:val="000000"/>
          <w:szCs w:val="24"/>
        </w:rPr>
        <w:t xml:space="preserve"> İstatistikleri</w:t>
      </w:r>
    </w:p>
    <w:p w14:paraId="09D1B984" w14:textId="77777777" w:rsidR="008A2E80" w:rsidRPr="006F25E4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14:paraId="4DC6AB09" w14:textId="6B9FAB0A" w:rsidR="008B3601" w:rsidRPr="004357F6" w:rsidRDefault="00D056ED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 xml:space="preserve">Tekilleştirilmemiş </w:t>
      </w:r>
      <w:r w:rsidR="00A14853" w:rsidRPr="00227B9A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227B9A">
        <w:rPr>
          <w:rFonts w:ascii="Arial" w:hAnsi="Arial" w:cs="Arial"/>
          <w:b/>
          <w:color w:val="000000"/>
          <w:sz w:val="22"/>
          <w:szCs w:val="22"/>
        </w:rPr>
        <w:t>ktif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14853" w:rsidRPr="00F602A2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4357F6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4357F6">
        <w:rPr>
          <w:rFonts w:ascii="Arial" w:hAnsi="Arial" w:cs="Arial"/>
          <w:b/>
          <w:color w:val="000000"/>
          <w:sz w:val="22"/>
          <w:szCs w:val="22"/>
        </w:rPr>
        <w:t>1</w:t>
      </w:r>
      <w:r w:rsidR="00F12172">
        <w:rPr>
          <w:rFonts w:ascii="Arial" w:hAnsi="Arial" w:cs="Arial"/>
          <w:b/>
          <w:color w:val="000000"/>
          <w:sz w:val="22"/>
          <w:szCs w:val="22"/>
        </w:rPr>
        <w:t>2</w:t>
      </w:r>
      <w:r w:rsidR="00B50C08">
        <w:rPr>
          <w:rFonts w:ascii="Arial" w:hAnsi="Arial" w:cs="Arial"/>
          <w:b/>
          <w:color w:val="000000"/>
          <w:sz w:val="22"/>
          <w:szCs w:val="22"/>
        </w:rPr>
        <w:t>1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4357F6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4357F6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14:paraId="599C46F1" w14:textId="77777777" w:rsidR="00EC0D5C" w:rsidRPr="004357F6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B5A811D" w14:textId="6FECF8F5" w:rsidR="00471B63" w:rsidRDefault="00995EA2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 2025</w:t>
      </w:r>
      <w:r w:rsidR="00B13BDF" w:rsidRPr="004357F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B13BDF" w:rsidRPr="004357F6">
        <w:rPr>
          <w:rFonts w:ascii="Arial" w:hAnsi="Arial" w:cs="Arial"/>
          <w:sz w:val="22"/>
          <w:szCs w:val="22"/>
        </w:rPr>
        <w:t xml:space="preserve"> toplam (bireysel ve kurumsal)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 w:rsidR="00B13BDF" w:rsidRPr="004357F6">
        <w:rPr>
          <w:rFonts w:ascii="Arial" w:hAnsi="Arial" w:cs="Arial"/>
          <w:sz w:val="22"/>
          <w:szCs w:val="22"/>
        </w:rPr>
        <w:t xml:space="preserve"> aktif dijital bankacılık müşteri </w:t>
      </w:r>
      <w:r w:rsidR="00AE7F48" w:rsidRPr="004357F6">
        <w:rPr>
          <w:rFonts w:ascii="Arial" w:hAnsi="Arial" w:cs="Arial"/>
          <w:sz w:val="22"/>
          <w:szCs w:val="22"/>
        </w:rPr>
        <w:t>sayısı</w:t>
      </w:r>
      <w:r w:rsidR="00D36670" w:rsidRPr="004357F6">
        <w:rPr>
          <w:rFonts w:ascii="Arial" w:hAnsi="Arial" w:cs="Arial"/>
          <w:sz w:val="22"/>
          <w:szCs w:val="22"/>
        </w:rPr>
        <w:t xml:space="preserve"> </w:t>
      </w:r>
      <w:r w:rsidR="00F12172">
        <w:rPr>
          <w:rFonts w:ascii="Arial" w:hAnsi="Arial" w:cs="Arial"/>
          <w:sz w:val="22"/>
          <w:szCs w:val="22"/>
        </w:rPr>
        <w:t>120</w:t>
      </w:r>
      <w:r w:rsidR="001B4DE9" w:rsidRPr="004357F6">
        <w:rPr>
          <w:rFonts w:ascii="Arial" w:hAnsi="Arial" w:cs="Arial"/>
          <w:sz w:val="22"/>
          <w:szCs w:val="22"/>
        </w:rPr>
        <w:t xml:space="preserve"> </w:t>
      </w:r>
      <w:r w:rsidR="00B13BDF" w:rsidRPr="004357F6">
        <w:rPr>
          <w:rFonts w:ascii="Arial" w:hAnsi="Arial" w:cs="Arial"/>
          <w:sz w:val="22"/>
          <w:szCs w:val="22"/>
        </w:rPr>
        <w:t xml:space="preserve">milyon </w:t>
      </w:r>
      <w:r w:rsidR="00B50C08">
        <w:rPr>
          <w:rFonts w:ascii="Arial" w:hAnsi="Arial" w:cs="Arial"/>
          <w:sz w:val="22"/>
          <w:szCs w:val="22"/>
        </w:rPr>
        <w:t>999</w:t>
      </w:r>
      <w:r w:rsidR="004357F6" w:rsidRPr="004357F6">
        <w:rPr>
          <w:rFonts w:ascii="Arial" w:hAnsi="Arial" w:cs="Arial"/>
          <w:sz w:val="22"/>
          <w:szCs w:val="22"/>
        </w:rPr>
        <w:t xml:space="preserve"> </w:t>
      </w:r>
      <w:r w:rsidR="00D36670" w:rsidRPr="004357F6">
        <w:rPr>
          <w:rFonts w:ascii="Arial" w:hAnsi="Arial" w:cs="Arial"/>
          <w:sz w:val="22"/>
          <w:szCs w:val="22"/>
        </w:rPr>
        <w:t>bin kişiye ulaşmıştır</w:t>
      </w:r>
      <w:r w:rsidR="00624212" w:rsidRPr="004357F6">
        <w:rPr>
          <w:rFonts w:ascii="Arial" w:hAnsi="Arial" w:cs="Arial"/>
          <w:sz w:val="22"/>
          <w:szCs w:val="22"/>
        </w:rPr>
        <w:t xml:space="preserve"> </w:t>
      </w:r>
      <w:r w:rsidR="00394B5A" w:rsidRPr="004357F6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4357F6">
        <w:rPr>
          <w:rFonts w:ascii="Arial" w:hAnsi="Arial" w:cs="Arial"/>
          <w:sz w:val="22"/>
          <w:szCs w:val="22"/>
        </w:rPr>
        <w:t xml:space="preserve">bankalar arasında </w:t>
      </w:r>
      <w:r w:rsidR="00394B5A" w:rsidRPr="004357F6">
        <w:rPr>
          <w:rFonts w:ascii="Arial" w:hAnsi="Arial" w:cs="Arial"/>
          <w:sz w:val="22"/>
          <w:szCs w:val="22"/>
        </w:rPr>
        <w:t>müşteri</w:t>
      </w:r>
      <w:r w:rsidR="00624212" w:rsidRPr="004357F6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4357F6">
        <w:rPr>
          <w:rFonts w:ascii="Arial" w:hAnsi="Arial" w:cs="Arial"/>
          <w:sz w:val="22"/>
          <w:szCs w:val="22"/>
        </w:rPr>
        <w:t>)</w:t>
      </w:r>
      <w:r w:rsidR="00624212" w:rsidRPr="004357F6">
        <w:rPr>
          <w:rFonts w:ascii="Arial" w:hAnsi="Arial" w:cs="Arial"/>
          <w:sz w:val="22"/>
          <w:szCs w:val="22"/>
        </w:rPr>
        <w:t>.</w:t>
      </w:r>
      <w:r w:rsidR="00AE7F48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Bu sayının </w:t>
      </w:r>
      <w:r w:rsidR="00DC650F" w:rsidRPr="004357F6">
        <w:rPr>
          <w:rFonts w:ascii="Arial" w:hAnsi="Arial" w:cs="Arial"/>
          <w:sz w:val="22"/>
          <w:szCs w:val="22"/>
        </w:rPr>
        <w:t>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B50C08">
        <w:rPr>
          <w:rFonts w:ascii="Arial" w:hAnsi="Arial" w:cs="Arial"/>
          <w:sz w:val="22"/>
          <w:szCs w:val="22"/>
        </w:rPr>
        <w:t>230</w:t>
      </w:r>
      <w:r w:rsidR="00471B63" w:rsidRPr="004357F6">
        <w:rPr>
          <w:rFonts w:ascii="Arial" w:hAnsi="Arial" w:cs="Arial"/>
          <w:sz w:val="22"/>
          <w:szCs w:val="22"/>
        </w:rPr>
        <w:t xml:space="preserve"> bin kişisi</w:t>
      </w:r>
      <w:r w:rsidR="004C0B4B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“sadece internet </w:t>
      </w:r>
      <w:r w:rsidR="00277C12" w:rsidRPr="004357F6">
        <w:rPr>
          <w:rFonts w:ascii="Arial" w:hAnsi="Arial" w:cs="Arial"/>
          <w:sz w:val="22"/>
          <w:szCs w:val="22"/>
        </w:rPr>
        <w:t xml:space="preserve">bankacılığı” işlemi yaparken, </w:t>
      </w:r>
      <w:r w:rsidR="00730375" w:rsidRPr="004357F6">
        <w:rPr>
          <w:rFonts w:ascii="Arial" w:hAnsi="Arial" w:cs="Arial"/>
          <w:sz w:val="22"/>
          <w:szCs w:val="22"/>
        </w:rPr>
        <w:t>1</w:t>
      </w:r>
      <w:r w:rsidR="00F12172">
        <w:rPr>
          <w:rFonts w:ascii="Arial" w:hAnsi="Arial" w:cs="Arial"/>
          <w:sz w:val="22"/>
          <w:szCs w:val="22"/>
        </w:rPr>
        <w:t>1</w:t>
      </w:r>
      <w:r w:rsidR="00B50C08">
        <w:rPr>
          <w:rFonts w:ascii="Arial" w:hAnsi="Arial" w:cs="Arial"/>
          <w:sz w:val="22"/>
          <w:szCs w:val="22"/>
        </w:rPr>
        <w:t>3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B50C08">
        <w:rPr>
          <w:rFonts w:ascii="Arial" w:hAnsi="Arial" w:cs="Arial"/>
          <w:sz w:val="22"/>
          <w:szCs w:val="22"/>
        </w:rPr>
        <w:t>355</w:t>
      </w:r>
      <w:r w:rsidR="003654C5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4357F6">
        <w:rPr>
          <w:rFonts w:ascii="Arial" w:hAnsi="Arial" w:cs="Arial"/>
          <w:sz w:val="22"/>
          <w:szCs w:val="22"/>
        </w:rPr>
        <w:t>emi yapan</w:t>
      </w:r>
      <w:r w:rsidR="00D01B38">
        <w:rPr>
          <w:rFonts w:ascii="Arial" w:hAnsi="Arial" w:cs="Arial"/>
          <w:sz w:val="22"/>
          <w:szCs w:val="22"/>
        </w:rPr>
        <w:t xml:space="preserve"> tekilleştirilmemiş</w:t>
      </w:r>
      <w:r w:rsidR="003654C5" w:rsidRPr="004357F6">
        <w:rPr>
          <w:rFonts w:ascii="Arial" w:hAnsi="Arial" w:cs="Arial"/>
          <w:sz w:val="22"/>
          <w:szCs w:val="22"/>
        </w:rPr>
        <w:t xml:space="preserve"> kullanıcı sayısı</w:t>
      </w:r>
      <w:r w:rsidR="003654C5" w:rsidRPr="00730375">
        <w:rPr>
          <w:rFonts w:ascii="Arial" w:hAnsi="Arial" w:cs="Arial"/>
          <w:sz w:val="22"/>
          <w:szCs w:val="22"/>
        </w:rPr>
        <w:t xml:space="preserve"> ise </w:t>
      </w:r>
      <w:r w:rsidR="00B50C08">
        <w:rPr>
          <w:rFonts w:ascii="Arial" w:hAnsi="Arial" w:cs="Arial"/>
          <w:sz w:val="22"/>
          <w:szCs w:val="22"/>
        </w:rPr>
        <w:t>6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B50C08">
        <w:rPr>
          <w:rFonts w:ascii="Arial" w:hAnsi="Arial" w:cs="Arial"/>
          <w:sz w:val="22"/>
          <w:szCs w:val="22"/>
        </w:rPr>
        <w:t>413</w:t>
      </w:r>
      <w:r w:rsidR="00471B63" w:rsidRPr="00730375">
        <w:rPr>
          <w:rFonts w:ascii="Arial" w:hAnsi="Arial" w:cs="Arial"/>
          <w:sz w:val="22"/>
          <w:szCs w:val="22"/>
        </w:rPr>
        <w:t xml:space="preserve"> bin kişidir.</w:t>
      </w:r>
    </w:p>
    <w:p w14:paraId="5DAB1DAE" w14:textId="77777777" w:rsidR="009277B2" w:rsidRDefault="009277B2" w:rsidP="00471B63">
      <w:pPr>
        <w:pStyle w:val="BodyText"/>
        <w:rPr>
          <w:rFonts w:ascii="Arial" w:hAnsi="Arial" w:cs="Arial"/>
          <w:sz w:val="22"/>
          <w:szCs w:val="22"/>
        </w:rPr>
      </w:pPr>
    </w:p>
    <w:p w14:paraId="6A645B55" w14:textId="5D8059C4" w:rsidR="009277B2" w:rsidRPr="00730375" w:rsidRDefault="00DC228E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000A067" wp14:editId="2F7EE705">
            <wp:extent cx="5796793" cy="2317750"/>
            <wp:effectExtent l="0" t="0" r="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182199" w14:textId="77777777" w:rsidR="000C7A01" w:rsidRDefault="000C7A01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445F5F7" w14:textId="49CC0B48" w:rsidR="00B13BDF" w:rsidRPr="00101ABD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F602A2">
        <w:rPr>
          <w:rFonts w:ascii="Arial" w:hAnsi="Arial" w:cs="Arial"/>
          <w:sz w:val="22"/>
          <w:szCs w:val="22"/>
        </w:rPr>
        <w:t xml:space="preserve">Toplam (bireysel ve kurumsal)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F602A2">
        <w:rPr>
          <w:rFonts w:ascii="Arial" w:hAnsi="Arial" w:cs="Arial"/>
          <w:sz w:val="22"/>
          <w:szCs w:val="22"/>
        </w:rPr>
        <w:t xml:space="preserve"> </w:t>
      </w:r>
      <w:r w:rsidRPr="00F602A2">
        <w:rPr>
          <w:rFonts w:ascii="Arial" w:hAnsi="Arial" w:cs="Arial"/>
          <w:sz w:val="22"/>
          <w:szCs w:val="22"/>
        </w:rPr>
        <w:t xml:space="preserve">aktif dijital bankacılık müşteri sayısında </w:t>
      </w:r>
      <w:r w:rsidR="00F070E8">
        <w:rPr>
          <w:rFonts w:ascii="Arial" w:hAnsi="Arial" w:cs="Arial"/>
          <w:sz w:val="22"/>
          <w:szCs w:val="22"/>
        </w:rPr>
        <w:t>bir önceki yıla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 xml:space="preserve">göre </w:t>
      </w:r>
      <w:r w:rsidR="00C4560F">
        <w:rPr>
          <w:rFonts w:ascii="Arial" w:hAnsi="Arial" w:cs="Arial"/>
          <w:sz w:val="22"/>
          <w:szCs w:val="22"/>
        </w:rPr>
        <w:t>6</w:t>
      </w:r>
      <w:r w:rsidR="00D6075E" w:rsidRPr="00101ABD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>milyon</w:t>
      </w:r>
      <w:r w:rsidR="00E13DE7" w:rsidRPr="00101ABD">
        <w:rPr>
          <w:rFonts w:ascii="Arial" w:hAnsi="Arial" w:cs="Arial"/>
          <w:sz w:val="22"/>
          <w:szCs w:val="22"/>
        </w:rPr>
        <w:t xml:space="preserve"> </w:t>
      </w:r>
      <w:r w:rsidR="00B50C08">
        <w:rPr>
          <w:rFonts w:ascii="Arial" w:hAnsi="Arial" w:cs="Arial"/>
          <w:sz w:val="22"/>
          <w:szCs w:val="22"/>
        </w:rPr>
        <w:t>383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="00D6075E" w:rsidRPr="00101ABD">
        <w:rPr>
          <w:rFonts w:ascii="Arial" w:hAnsi="Arial" w:cs="Arial"/>
          <w:sz w:val="22"/>
          <w:szCs w:val="22"/>
        </w:rPr>
        <w:t>bin</w:t>
      </w:r>
      <w:r w:rsidRPr="00101ABD">
        <w:rPr>
          <w:rFonts w:ascii="Arial" w:hAnsi="Arial" w:cs="Arial"/>
          <w:sz w:val="22"/>
          <w:szCs w:val="22"/>
        </w:rPr>
        <w:t xml:space="preserve"> kişi artış olmuştur.</w:t>
      </w:r>
    </w:p>
    <w:p w14:paraId="4AF9E829" w14:textId="77777777" w:rsidR="00461867" w:rsidRPr="00101ABD" w:rsidRDefault="00461867" w:rsidP="00B13BDF">
      <w:pPr>
        <w:pStyle w:val="BodyText"/>
        <w:rPr>
          <w:rFonts w:ascii="Arial" w:hAnsi="Arial" w:cs="Arial"/>
          <w:sz w:val="22"/>
          <w:szCs w:val="22"/>
        </w:rPr>
      </w:pPr>
    </w:p>
    <w:p w14:paraId="704C4828" w14:textId="7BFABDF6" w:rsidR="008B3601" w:rsidRPr="00470F07" w:rsidRDefault="00D056E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>Tekilleştirilmemiş</w:t>
      </w:r>
      <w:r w:rsidRPr="00227B9A">
        <w:rPr>
          <w:rFonts w:ascii="Arial" w:hAnsi="Arial" w:cs="Arial"/>
          <w:b/>
          <w:sz w:val="22"/>
          <w:szCs w:val="22"/>
        </w:rPr>
        <w:t xml:space="preserve"> </w:t>
      </w:r>
      <w:r w:rsidR="006C7767" w:rsidRPr="00227B9A">
        <w:rPr>
          <w:rFonts w:ascii="Arial" w:hAnsi="Arial" w:cs="Arial"/>
          <w:b/>
          <w:sz w:val="22"/>
          <w:szCs w:val="22"/>
        </w:rPr>
        <w:t>Aktif</w:t>
      </w:r>
      <w:r w:rsidR="006C7767" w:rsidRPr="00470F07">
        <w:rPr>
          <w:rFonts w:ascii="Arial" w:hAnsi="Arial" w:cs="Arial"/>
          <w:b/>
          <w:sz w:val="22"/>
          <w:szCs w:val="22"/>
        </w:rPr>
        <w:t xml:space="preserve"> Dijital Bankacılık Müşteri Sayıları</w:t>
      </w:r>
    </w:p>
    <w:p w14:paraId="39790983" w14:textId="77777777" w:rsidR="008F438D" w:rsidRPr="00470F07" w:rsidRDefault="008F438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372"/>
        <w:gridCol w:w="1416"/>
        <w:gridCol w:w="1372"/>
      </w:tblGrid>
      <w:tr w:rsidR="00C4560F" w:rsidRPr="00470F07" w14:paraId="5598AAC7" w14:textId="77777777" w:rsidTr="00406FCF">
        <w:trPr>
          <w:trHeight w:val="99"/>
        </w:trPr>
        <w:tc>
          <w:tcPr>
            <w:tcW w:w="4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EBE7A" w14:textId="77777777" w:rsidR="00C4560F" w:rsidRPr="00470F07" w:rsidRDefault="00C4560F" w:rsidP="00C4560F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8E50FE" w14:textId="3146D7B2" w:rsidR="00C4560F" w:rsidRPr="00470F07" w:rsidRDefault="00995EA2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 2024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C61816" w14:textId="2BE3ED78" w:rsidR="00C4560F" w:rsidRPr="00470F07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2025</w:t>
            </w:r>
          </w:p>
        </w:tc>
        <w:tc>
          <w:tcPr>
            <w:tcW w:w="13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6C88E" w14:textId="3F90A9C4" w:rsidR="00C4560F" w:rsidRPr="00470F07" w:rsidRDefault="00995EA2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 2025</w:t>
            </w:r>
          </w:p>
        </w:tc>
      </w:tr>
      <w:tr w:rsidR="00406FCF" w:rsidRPr="00470F07" w14:paraId="396F962E" w14:textId="77777777" w:rsidTr="00406FCF">
        <w:trPr>
          <w:trHeight w:val="99"/>
        </w:trPr>
        <w:tc>
          <w:tcPr>
            <w:tcW w:w="4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CDC812A" w14:textId="77777777" w:rsidR="00406FCF" w:rsidRPr="00470F07" w:rsidRDefault="00406FCF" w:rsidP="00406FCF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dijital müşteri sayısı (bin kişi)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3FF2E" w14:textId="2227159C" w:rsidR="00406FCF" w:rsidRDefault="00406FCF" w:rsidP="00406FC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114.615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2FCC" w14:textId="2892A1C3" w:rsidR="00406FCF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120.384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385C5" w14:textId="718F0999" w:rsidR="00406FCF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120.999</w:t>
            </w:r>
          </w:p>
        </w:tc>
      </w:tr>
      <w:tr w:rsidR="00406FCF" w:rsidRPr="00470F07" w14:paraId="5B6B5309" w14:textId="77777777" w:rsidTr="00406FCF">
        <w:trPr>
          <w:trHeight w:val="99"/>
        </w:trPr>
        <w:tc>
          <w:tcPr>
            <w:tcW w:w="4800" w:type="dxa"/>
            <w:tcBorders>
              <w:left w:val="nil"/>
              <w:right w:val="nil"/>
            </w:tcBorders>
            <w:shd w:val="clear" w:color="auto" w:fill="auto"/>
          </w:tcPr>
          <w:p w14:paraId="08E144B9" w14:textId="77777777" w:rsidR="00406FCF" w:rsidRPr="00470F07" w:rsidRDefault="00406FCF" w:rsidP="00406FCF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-Kurumsal (bin kişi)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61F2F" w14:textId="44A70E38" w:rsidR="00406FCF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2DD4" w14:textId="48B2F2E8" w:rsidR="00406FCF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62377" w14:textId="4ED31E37" w:rsidR="00406FCF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4.817</w:t>
            </w:r>
          </w:p>
        </w:tc>
      </w:tr>
      <w:tr w:rsidR="00406FCF" w:rsidRPr="00470F07" w14:paraId="7B8A092C" w14:textId="77777777" w:rsidTr="00406FCF">
        <w:trPr>
          <w:trHeight w:val="99"/>
        </w:trPr>
        <w:tc>
          <w:tcPr>
            <w:tcW w:w="4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D730F" w14:textId="77777777" w:rsidR="00406FCF" w:rsidRPr="00470F07" w:rsidRDefault="00406FCF" w:rsidP="00406FCF">
            <w:pPr>
              <w:rPr>
                <w:rFonts w:ascii="Arial" w:hAnsi="Arial" w:cs="Arial"/>
                <w:sz w:val="20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-Bireysel (bin kişi)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3EAC6" w14:textId="35115F82" w:rsidR="00406FCF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110.096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B673" w14:textId="1DCBDD09" w:rsidR="00406FCF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115.573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BE31D1" w14:textId="525EAE5D" w:rsidR="00406FCF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116.182</w:t>
            </w:r>
          </w:p>
        </w:tc>
      </w:tr>
    </w:tbl>
    <w:p w14:paraId="798ECC8D" w14:textId="77777777" w:rsidR="00BA2FAE" w:rsidRPr="00470F07" w:rsidRDefault="00CE4E09" w:rsidP="008F438D">
      <w:pPr>
        <w:rPr>
          <w:rFonts w:ascii="Arial" w:hAnsi="Arial" w:cs="Arial"/>
          <w:sz w:val="20"/>
          <w:lang w:eastAsia="tr-TR"/>
        </w:rPr>
      </w:pPr>
      <w:r w:rsidRPr="00470F07">
        <w:rPr>
          <w:rFonts w:ascii="Arial" w:hAnsi="Arial" w:cs="Arial"/>
          <w:sz w:val="20"/>
          <w:lang w:eastAsia="tr-TR"/>
        </w:rPr>
        <w:t xml:space="preserve">                </w:t>
      </w:r>
    </w:p>
    <w:p w14:paraId="764A28E4" w14:textId="4C4C5119" w:rsidR="00510749" w:rsidRDefault="00995EA2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 2025</w:t>
      </w:r>
      <w:r w:rsidR="00F602A2" w:rsidRPr="00470F07">
        <w:rPr>
          <w:rFonts w:ascii="Arial" w:hAnsi="Arial" w:cs="Arial"/>
          <w:sz w:val="22"/>
          <w:szCs w:val="22"/>
        </w:rPr>
        <w:t xml:space="preserve"> </w:t>
      </w:r>
      <w:r w:rsidR="006A590D">
        <w:rPr>
          <w:rFonts w:ascii="Arial" w:hAnsi="Arial" w:cs="Arial"/>
          <w:sz w:val="22"/>
          <w:szCs w:val="22"/>
        </w:rPr>
        <w:t xml:space="preserve">itibarıyla </w:t>
      </w:r>
      <w:r w:rsidR="00227B9A">
        <w:rPr>
          <w:rFonts w:ascii="Arial" w:hAnsi="Arial" w:cs="Arial"/>
          <w:sz w:val="22"/>
          <w:szCs w:val="22"/>
        </w:rPr>
        <w:t xml:space="preserve">tekilleştirilmemiş </w:t>
      </w:r>
      <w:r w:rsidR="00B13BDF" w:rsidRPr="005149C7">
        <w:rPr>
          <w:rFonts w:ascii="Arial" w:hAnsi="Arial" w:cs="Arial"/>
          <w:sz w:val="22"/>
          <w:szCs w:val="22"/>
        </w:rPr>
        <w:t xml:space="preserve">aktif bireysel dijital bankacılık müşteri </w:t>
      </w:r>
      <w:r w:rsidR="00AE7F48" w:rsidRPr="005149C7">
        <w:rPr>
          <w:rFonts w:ascii="Arial" w:hAnsi="Arial" w:cs="Arial"/>
          <w:sz w:val="22"/>
          <w:szCs w:val="22"/>
        </w:rPr>
        <w:t xml:space="preserve">sayısı </w:t>
      </w:r>
      <w:r w:rsidR="00B709FF" w:rsidRPr="005149C7">
        <w:rPr>
          <w:rFonts w:ascii="Arial" w:hAnsi="Arial" w:cs="Arial"/>
          <w:sz w:val="22"/>
          <w:szCs w:val="22"/>
        </w:rPr>
        <w:t>1</w:t>
      </w:r>
      <w:r w:rsidR="00101ABD" w:rsidRPr="005149C7">
        <w:rPr>
          <w:rFonts w:ascii="Arial" w:hAnsi="Arial" w:cs="Arial"/>
          <w:sz w:val="22"/>
          <w:szCs w:val="22"/>
        </w:rPr>
        <w:t>1</w:t>
      </w:r>
      <w:r w:rsidR="00B50C08">
        <w:rPr>
          <w:rFonts w:ascii="Arial" w:hAnsi="Arial" w:cs="Arial"/>
          <w:sz w:val="22"/>
          <w:szCs w:val="22"/>
        </w:rPr>
        <w:t>6</w:t>
      </w:r>
      <w:r w:rsidR="00E93BAF" w:rsidRPr="005149C7">
        <w:rPr>
          <w:rFonts w:ascii="Arial" w:hAnsi="Arial" w:cs="Arial"/>
          <w:sz w:val="22"/>
          <w:szCs w:val="22"/>
        </w:rPr>
        <w:t xml:space="preserve"> </w:t>
      </w:r>
      <w:r w:rsidR="00B13BDF" w:rsidRPr="005149C7">
        <w:rPr>
          <w:rFonts w:ascii="Arial" w:hAnsi="Arial" w:cs="Arial"/>
          <w:sz w:val="22"/>
          <w:szCs w:val="22"/>
        </w:rPr>
        <w:t>milyon</w:t>
      </w:r>
      <w:r w:rsidR="00B27062">
        <w:rPr>
          <w:rFonts w:ascii="Arial" w:hAnsi="Arial" w:cs="Arial"/>
          <w:sz w:val="22"/>
          <w:szCs w:val="22"/>
        </w:rPr>
        <w:t xml:space="preserve"> </w:t>
      </w:r>
      <w:r w:rsidR="00B50C08">
        <w:rPr>
          <w:rFonts w:ascii="Arial" w:hAnsi="Arial" w:cs="Arial"/>
          <w:sz w:val="22"/>
          <w:szCs w:val="22"/>
        </w:rPr>
        <w:t>182</w:t>
      </w:r>
      <w:r w:rsidR="00B27062">
        <w:rPr>
          <w:rFonts w:ascii="Arial" w:hAnsi="Arial" w:cs="Arial"/>
          <w:sz w:val="22"/>
          <w:szCs w:val="22"/>
        </w:rPr>
        <w:t xml:space="preserve"> bin</w:t>
      </w:r>
      <w:r w:rsidR="00B13BDF" w:rsidRPr="005149C7">
        <w:rPr>
          <w:rFonts w:ascii="Arial" w:hAnsi="Arial" w:cs="Arial"/>
          <w:sz w:val="22"/>
          <w:szCs w:val="22"/>
        </w:rPr>
        <w:t xml:space="preserve"> kişidir. </w:t>
      </w:r>
      <w:r w:rsidR="00C935CE" w:rsidRPr="00525A7E">
        <w:rPr>
          <w:rFonts w:ascii="Arial" w:hAnsi="Arial" w:cs="Arial"/>
          <w:sz w:val="22"/>
          <w:szCs w:val="22"/>
        </w:rPr>
        <w:t xml:space="preserve">Aynı dönemde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525A7E">
        <w:rPr>
          <w:rFonts w:ascii="Arial" w:hAnsi="Arial" w:cs="Arial"/>
          <w:sz w:val="22"/>
          <w:szCs w:val="22"/>
        </w:rPr>
        <w:t xml:space="preserve"> </w:t>
      </w:r>
      <w:r w:rsidR="00C935CE" w:rsidRPr="00525A7E">
        <w:rPr>
          <w:rFonts w:ascii="Arial" w:hAnsi="Arial" w:cs="Arial"/>
          <w:sz w:val="22"/>
          <w:szCs w:val="22"/>
        </w:rPr>
        <w:t>aktif kurumsal dijital bankacılık müşteri sayısı</w:t>
      </w:r>
      <w:r w:rsidR="006A590D">
        <w:rPr>
          <w:rFonts w:ascii="Arial" w:hAnsi="Arial" w:cs="Arial"/>
          <w:sz w:val="22"/>
          <w:szCs w:val="22"/>
        </w:rPr>
        <w:t xml:space="preserve"> ise</w:t>
      </w:r>
      <w:r w:rsidR="00C935CE" w:rsidRPr="00525A7E">
        <w:rPr>
          <w:rFonts w:ascii="Arial" w:hAnsi="Arial" w:cs="Arial"/>
          <w:sz w:val="22"/>
          <w:szCs w:val="22"/>
        </w:rPr>
        <w:t xml:space="preserve"> 4 milyon </w:t>
      </w:r>
      <w:r w:rsidR="00B50C08">
        <w:rPr>
          <w:rFonts w:ascii="Arial" w:hAnsi="Arial" w:cs="Arial"/>
          <w:sz w:val="22"/>
          <w:szCs w:val="22"/>
        </w:rPr>
        <w:t>817</w:t>
      </w:r>
      <w:r w:rsidR="00C935CE" w:rsidRPr="00525A7E">
        <w:rPr>
          <w:rFonts w:ascii="Arial" w:hAnsi="Arial" w:cs="Arial"/>
          <w:sz w:val="22"/>
          <w:szCs w:val="22"/>
        </w:rPr>
        <w:t xml:space="preserve"> bin kişidir.</w:t>
      </w:r>
      <w:r w:rsidR="00FB188B" w:rsidRPr="00525A7E">
        <w:rPr>
          <w:rFonts w:ascii="Arial" w:hAnsi="Arial" w:cs="Arial"/>
          <w:sz w:val="22"/>
          <w:szCs w:val="22"/>
        </w:rPr>
        <w:t xml:space="preserve"> </w:t>
      </w:r>
    </w:p>
    <w:p w14:paraId="160FB3C8" w14:textId="77777777" w:rsidR="006A590D" w:rsidRDefault="006A590D" w:rsidP="004C0B4B">
      <w:pPr>
        <w:pStyle w:val="BodyText"/>
        <w:rPr>
          <w:rFonts w:ascii="Arial" w:hAnsi="Arial" w:cs="Arial"/>
          <w:sz w:val="22"/>
          <w:szCs w:val="22"/>
        </w:rPr>
      </w:pPr>
    </w:p>
    <w:p w14:paraId="7370CA5B" w14:textId="33897838" w:rsidR="00486243" w:rsidRPr="00525A7E" w:rsidRDefault="00227B9A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Tekilleştirilmemiş</w:t>
      </w:r>
      <w:r w:rsidRPr="00525A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4C0B4B" w:rsidRPr="00525A7E">
        <w:rPr>
          <w:rFonts w:ascii="Arial" w:hAnsi="Arial" w:cs="Arial"/>
          <w:sz w:val="22"/>
          <w:szCs w:val="22"/>
        </w:rPr>
        <w:t>ktif bireysel dijital bankacılık müşterileri</w:t>
      </w:r>
      <w:r w:rsidR="004C1742">
        <w:rPr>
          <w:rFonts w:ascii="Arial" w:hAnsi="Arial" w:cs="Arial"/>
          <w:sz w:val="22"/>
          <w:szCs w:val="22"/>
        </w:rPr>
        <w:t>nin</w:t>
      </w:r>
      <w:r w:rsidR="004C0B4B" w:rsidRPr="00525A7E">
        <w:rPr>
          <w:rFonts w:ascii="Arial" w:hAnsi="Arial" w:cs="Arial"/>
          <w:sz w:val="22"/>
          <w:szCs w:val="22"/>
        </w:rPr>
        <w:t xml:space="preserve"> </w:t>
      </w:r>
      <w:r w:rsidR="00B50C08">
        <w:rPr>
          <w:rFonts w:ascii="Arial" w:hAnsi="Arial" w:cs="Arial"/>
          <w:sz w:val="22"/>
          <w:szCs w:val="22"/>
        </w:rPr>
        <w:t xml:space="preserve">yaklaşık </w:t>
      </w:r>
      <w:r w:rsidR="00F602A2" w:rsidRPr="00525A7E">
        <w:rPr>
          <w:rFonts w:ascii="Arial" w:hAnsi="Arial" w:cs="Arial"/>
          <w:sz w:val="22"/>
          <w:szCs w:val="22"/>
        </w:rPr>
        <w:t>7</w:t>
      </w:r>
      <w:r w:rsidR="00B50C08">
        <w:rPr>
          <w:rFonts w:ascii="Arial" w:hAnsi="Arial" w:cs="Arial"/>
          <w:sz w:val="22"/>
          <w:szCs w:val="22"/>
        </w:rPr>
        <w:t>5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erkek (yüzde 6</w:t>
      </w:r>
      <w:r w:rsidR="009B2168">
        <w:rPr>
          <w:rFonts w:ascii="Arial" w:hAnsi="Arial" w:cs="Arial"/>
          <w:sz w:val="22"/>
          <w:szCs w:val="22"/>
        </w:rPr>
        <w:t>4</w:t>
      </w:r>
      <w:r w:rsidR="004C1742">
        <w:rPr>
          <w:rFonts w:ascii="Arial" w:hAnsi="Arial" w:cs="Arial"/>
          <w:sz w:val="22"/>
          <w:szCs w:val="22"/>
        </w:rPr>
        <w:t>),</w:t>
      </w:r>
      <w:r w:rsidR="0093649B">
        <w:rPr>
          <w:rFonts w:ascii="Arial" w:hAnsi="Arial" w:cs="Arial"/>
          <w:sz w:val="22"/>
          <w:szCs w:val="22"/>
        </w:rPr>
        <w:t xml:space="preserve"> 4</w:t>
      </w:r>
      <w:r w:rsidR="00F070E8">
        <w:rPr>
          <w:rFonts w:ascii="Arial" w:hAnsi="Arial" w:cs="Arial"/>
          <w:sz w:val="22"/>
          <w:szCs w:val="22"/>
        </w:rPr>
        <w:t>1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kadın (yüzde 3</w:t>
      </w:r>
      <w:r w:rsidR="009B2168">
        <w:rPr>
          <w:rFonts w:ascii="Arial" w:hAnsi="Arial" w:cs="Arial"/>
          <w:sz w:val="22"/>
          <w:szCs w:val="22"/>
        </w:rPr>
        <w:t>6</w:t>
      </w:r>
      <w:r w:rsidR="004C0B4B" w:rsidRPr="00525A7E">
        <w:rPr>
          <w:rFonts w:ascii="Arial" w:hAnsi="Arial" w:cs="Arial"/>
          <w:sz w:val="22"/>
          <w:szCs w:val="22"/>
        </w:rPr>
        <w:t>) müşteriden oluşmaktadır.</w:t>
      </w:r>
    </w:p>
    <w:p w14:paraId="491008EF" w14:textId="77777777" w:rsidR="00AB02FB" w:rsidRPr="004357F6" w:rsidRDefault="00AB02FB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14:paraId="5EC26A1F" w14:textId="059F523A" w:rsidR="00A73562" w:rsidRDefault="00A93BF8" w:rsidP="00D3173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A73562">
        <w:rPr>
          <w:rFonts w:ascii="Arial" w:hAnsi="Arial" w:cs="Arial"/>
          <w:b/>
          <w:sz w:val="22"/>
          <w:szCs w:val="22"/>
        </w:rPr>
        <w:t xml:space="preserve">Cinsiyet ve Yaş Gruplarına Göre </w:t>
      </w:r>
      <w:r w:rsidR="00227B9A">
        <w:rPr>
          <w:rFonts w:ascii="Arial" w:hAnsi="Arial" w:cs="Arial"/>
          <w:b/>
          <w:sz w:val="22"/>
          <w:szCs w:val="22"/>
        </w:rPr>
        <w:t>T</w:t>
      </w:r>
      <w:r w:rsidR="00227B9A" w:rsidRPr="00227B9A">
        <w:rPr>
          <w:rFonts w:ascii="Arial" w:hAnsi="Arial" w:cs="Arial"/>
          <w:b/>
          <w:sz w:val="22"/>
          <w:szCs w:val="22"/>
        </w:rPr>
        <w:t xml:space="preserve">ekilleştirilmemiş </w:t>
      </w:r>
      <w:r w:rsidRPr="00A73562">
        <w:rPr>
          <w:rFonts w:ascii="Arial" w:hAnsi="Arial" w:cs="Arial"/>
          <w:b/>
          <w:sz w:val="22"/>
          <w:szCs w:val="22"/>
        </w:rPr>
        <w:t>Aktif Bireysel Dijital Bankacılık Müşterileri</w:t>
      </w:r>
    </w:p>
    <w:p w14:paraId="4C222268" w14:textId="77777777" w:rsidR="00227B9A" w:rsidRPr="00D3173A" w:rsidRDefault="00227B9A" w:rsidP="00D3173A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6E07D8" w14:textId="7A3232FF" w:rsidR="00A73562" w:rsidRPr="00A73562" w:rsidRDefault="0093649B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93649B">
        <w:rPr>
          <w:noProof/>
          <w:lang w:eastAsia="tr-TR"/>
        </w:rPr>
        <w:t xml:space="preserve"> </w:t>
      </w:r>
      <w:r w:rsidR="00DC228E">
        <w:rPr>
          <w:noProof/>
          <w:lang w:eastAsia="tr-TR"/>
        </w:rPr>
        <w:drawing>
          <wp:inline distT="0" distB="0" distL="0" distR="0" wp14:anchorId="2EE1A85A" wp14:editId="32717EF6">
            <wp:extent cx="2114026" cy="1619075"/>
            <wp:effectExtent l="0" t="0" r="635" b="6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C228E">
        <w:rPr>
          <w:noProof/>
          <w:lang w:eastAsia="tr-TR"/>
        </w:rPr>
        <w:drawing>
          <wp:inline distT="0" distB="0" distL="0" distR="0" wp14:anchorId="72DB49FC" wp14:editId="41B347A6">
            <wp:extent cx="3489820" cy="196596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2FC87B" w14:textId="77777777"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72AD673" w14:textId="7F49D0E0" w:rsidR="00593418" w:rsidRPr="002B1CB8" w:rsidRDefault="00EA612A" w:rsidP="0059341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93418" w:rsidRPr="00A73562">
        <w:rPr>
          <w:rFonts w:ascii="Arial" w:hAnsi="Arial" w:cs="Arial"/>
          <w:sz w:val="22"/>
          <w:szCs w:val="22"/>
        </w:rPr>
        <w:t>ktif bireysel dijital bankacılık müşterilerinin yaş grupları bazında dağılımında ilk sırayı</w:t>
      </w:r>
      <w:r w:rsidR="008D730E" w:rsidRPr="00A73562">
        <w:rPr>
          <w:rFonts w:ascii="Arial" w:hAnsi="Arial" w:cs="Arial"/>
          <w:sz w:val="22"/>
          <w:szCs w:val="22"/>
        </w:rPr>
        <w:t xml:space="preserve"> </w:t>
      </w:r>
      <w:r w:rsidR="00B12600">
        <w:rPr>
          <w:rFonts w:ascii="Arial" w:hAnsi="Arial" w:cs="Arial"/>
          <w:sz w:val="22"/>
          <w:szCs w:val="22"/>
        </w:rPr>
        <w:t xml:space="preserve">yaklaşık </w:t>
      </w:r>
      <w:r w:rsidR="00593418" w:rsidRPr="00A73562">
        <w:rPr>
          <w:rFonts w:ascii="Arial" w:hAnsi="Arial" w:cs="Arial"/>
          <w:sz w:val="22"/>
          <w:szCs w:val="22"/>
        </w:rPr>
        <w:t>4</w:t>
      </w:r>
      <w:r w:rsidR="00B12600">
        <w:rPr>
          <w:rFonts w:ascii="Arial" w:hAnsi="Arial" w:cs="Arial"/>
          <w:sz w:val="22"/>
          <w:szCs w:val="22"/>
        </w:rPr>
        <w:t>7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36-55 yaş grubu almaktadır. Bunu,</w:t>
      </w:r>
      <w:r w:rsidR="00B12600">
        <w:rPr>
          <w:rFonts w:ascii="Arial" w:hAnsi="Arial" w:cs="Arial"/>
          <w:sz w:val="22"/>
          <w:szCs w:val="22"/>
        </w:rPr>
        <w:t xml:space="preserve"> yaklaşık</w:t>
      </w:r>
      <w:r w:rsidR="00593418" w:rsidRPr="00A73562">
        <w:rPr>
          <w:rFonts w:ascii="Arial" w:hAnsi="Arial" w:cs="Arial"/>
          <w:sz w:val="22"/>
          <w:szCs w:val="22"/>
        </w:rPr>
        <w:t xml:space="preserve"> </w:t>
      </w:r>
      <w:r w:rsidR="00A73562" w:rsidRPr="00A73562">
        <w:rPr>
          <w:rFonts w:ascii="Arial" w:hAnsi="Arial" w:cs="Arial"/>
          <w:sz w:val="22"/>
          <w:szCs w:val="22"/>
        </w:rPr>
        <w:t>3</w:t>
      </w:r>
      <w:r w:rsidR="00B12600">
        <w:rPr>
          <w:rFonts w:ascii="Arial" w:hAnsi="Arial" w:cs="Arial"/>
          <w:sz w:val="22"/>
          <w:szCs w:val="22"/>
        </w:rPr>
        <w:t>1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26-35 yaş grubu</w:t>
      </w:r>
      <w:r w:rsidR="001755FE" w:rsidRPr="00A73562">
        <w:rPr>
          <w:rFonts w:ascii="Arial" w:hAnsi="Arial" w:cs="Arial"/>
          <w:sz w:val="22"/>
          <w:szCs w:val="22"/>
        </w:rPr>
        <w:t xml:space="preserve"> ve </w:t>
      </w:r>
      <w:r w:rsidR="00B12600">
        <w:rPr>
          <w:rFonts w:ascii="Arial" w:hAnsi="Arial" w:cs="Arial"/>
          <w:sz w:val="22"/>
          <w:szCs w:val="22"/>
        </w:rPr>
        <w:t>20</w:t>
      </w:r>
      <w:r w:rsidR="00593418" w:rsidRPr="00A73562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14:paraId="0171C35C" w14:textId="77777777" w:rsidR="00EA771B" w:rsidRPr="004357F6" w:rsidRDefault="00EA771B" w:rsidP="00EA771B">
      <w:pPr>
        <w:pStyle w:val="BodyText"/>
        <w:rPr>
          <w:rFonts w:ascii="Arial" w:hAnsi="Arial" w:cs="Arial"/>
          <w:sz w:val="20"/>
          <w:highlight w:val="yellow"/>
        </w:rPr>
      </w:pPr>
    </w:p>
    <w:p w14:paraId="04606223" w14:textId="77777777" w:rsidR="00B16366" w:rsidRPr="0065131A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65131A">
        <w:rPr>
          <w:rFonts w:ascii="Arial" w:hAnsi="Arial"/>
          <w:b/>
          <w:color w:val="000000"/>
          <w:szCs w:val="24"/>
        </w:rPr>
        <w:t>II. İnternet Bankacılığı İstatistikleri</w:t>
      </w:r>
    </w:p>
    <w:p w14:paraId="00A197A9" w14:textId="77777777" w:rsidR="00AC4646" w:rsidRPr="004357F6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243DD2F" w14:textId="3DC13552" w:rsidR="000D2E77" w:rsidRPr="0065131A" w:rsidRDefault="006A528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 bankacılığı (bireysel ve kurumsal) toplam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>
        <w:rPr>
          <w:rFonts w:ascii="Arial" w:hAnsi="Arial" w:cs="Arial"/>
          <w:sz w:val="22"/>
          <w:szCs w:val="22"/>
        </w:rPr>
        <w:t xml:space="preserve"> aktif müşteri sayısı </w:t>
      </w:r>
      <w:r w:rsidR="00B50C08">
        <w:rPr>
          <w:rFonts w:ascii="Arial" w:hAnsi="Arial" w:cs="Arial"/>
          <w:sz w:val="22"/>
          <w:szCs w:val="22"/>
        </w:rPr>
        <w:t>7</w:t>
      </w:r>
      <w:r w:rsidR="00C36A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B50C08">
        <w:rPr>
          <w:rFonts w:ascii="Arial" w:hAnsi="Arial" w:cs="Arial"/>
          <w:sz w:val="22"/>
          <w:szCs w:val="22"/>
        </w:rPr>
        <w:t xml:space="preserve">643 </w:t>
      </w:r>
      <w:r>
        <w:rPr>
          <w:rFonts w:ascii="Arial" w:hAnsi="Arial" w:cs="Arial"/>
          <w:sz w:val="22"/>
          <w:szCs w:val="22"/>
        </w:rPr>
        <w:t>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C36A1F">
        <w:rPr>
          <w:rFonts w:ascii="Arial" w:hAnsi="Arial" w:cs="Arial"/>
          <w:sz w:val="22"/>
          <w:szCs w:val="22"/>
        </w:rPr>
        <w:t>9</w:t>
      </w:r>
      <w:r w:rsidR="00B50C08">
        <w:rPr>
          <w:rFonts w:ascii="Arial" w:hAnsi="Arial" w:cs="Arial"/>
          <w:sz w:val="22"/>
          <w:szCs w:val="22"/>
        </w:rPr>
        <w:t>26</w:t>
      </w:r>
      <w:r w:rsidR="00297123">
        <w:rPr>
          <w:rFonts w:ascii="Arial" w:hAnsi="Arial" w:cs="Arial"/>
          <w:sz w:val="22"/>
          <w:szCs w:val="22"/>
        </w:rPr>
        <w:t xml:space="preserve"> </w:t>
      </w:r>
      <w:r w:rsidRPr="00EE593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Pr="00EE5934">
        <w:rPr>
          <w:rFonts w:ascii="Arial" w:hAnsi="Arial" w:cs="Arial"/>
          <w:sz w:val="22"/>
          <w:szCs w:val="22"/>
        </w:rPr>
        <w:t>azalmıştır.</w:t>
      </w:r>
    </w:p>
    <w:p w14:paraId="108923C7" w14:textId="77777777" w:rsidR="00E5771F" w:rsidRPr="0065131A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14:paraId="782E52A5" w14:textId="155A477B" w:rsidR="00F91E95" w:rsidRPr="0065131A" w:rsidRDefault="00227B21" w:rsidP="00ED7732">
      <w:pPr>
        <w:pStyle w:val="Heading9"/>
        <w:rPr>
          <w:rFonts w:ascii="Arial" w:hAnsi="Arial" w:cs="Arial"/>
          <w:szCs w:val="22"/>
        </w:rPr>
      </w:pPr>
      <w:r w:rsidRPr="0065131A">
        <w:rPr>
          <w:rFonts w:ascii="Arial" w:hAnsi="Arial" w:cs="Arial"/>
        </w:rPr>
        <w:t xml:space="preserve">İnternet Bankacılığını Kullanan </w:t>
      </w:r>
      <w:r w:rsidR="00227B9A">
        <w:rPr>
          <w:rFonts w:ascii="Arial" w:hAnsi="Arial" w:cs="Arial"/>
          <w:szCs w:val="22"/>
        </w:rPr>
        <w:t>Tekilleştirilmemiş</w:t>
      </w:r>
      <w:r w:rsidR="00227B9A" w:rsidRPr="0065131A">
        <w:rPr>
          <w:rFonts w:ascii="Arial" w:hAnsi="Arial" w:cs="Arial"/>
        </w:rPr>
        <w:t xml:space="preserve"> </w:t>
      </w:r>
      <w:r w:rsidRPr="0065131A">
        <w:rPr>
          <w:rFonts w:ascii="Arial" w:hAnsi="Arial" w:cs="Arial"/>
        </w:rPr>
        <w:t>Müşteri Sayı</w:t>
      </w:r>
      <w:r w:rsidR="00227B9A">
        <w:rPr>
          <w:rFonts w:ascii="Arial" w:hAnsi="Arial" w:cs="Arial"/>
        </w:rPr>
        <w:t>ları</w:t>
      </w:r>
    </w:p>
    <w:tbl>
      <w:tblPr>
        <w:tblW w:w="82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1348"/>
        <w:gridCol w:w="1393"/>
        <w:gridCol w:w="1296"/>
      </w:tblGrid>
      <w:tr w:rsidR="00B12600" w:rsidRPr="00803AF2" w14:paraId="02EDD479" w14:textId="77777777" w:rsidTr="00406FCF">
        <w:trPr>
          <w:trHeight w:val="538"/>
          <w:jc w:val="center"/>
        </w:trPr>
        <w:tc>
          <w:tcPr>
            <w:tcW w:w="4243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257D7A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D4B7CC6" w14:textId="3C7D4640" w:rsidR="00B12600" w:rsidRPr="00803AF2" w:rsidRDefault="00995EA2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 2024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4100675" w14:textId="79E31AC5" w:rsidR="00406FCF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</w:t>
            </w:r>
          </w:p>
          <w:p w14:paraId="63FE8E65" w14:textId="271A392C" w:rsidR="00B12600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7A9AA0F" w14:textId="06856020" w:rsidR="00B12600" w:rsidRPr="00803AF2" w:rsidRDefault="00995EA2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 2025</w:t>
            </w:r>
          </w:p>
        </w:tc>
      </w:tr>
      <w:tr w:rsidR="004A379F" w:rsidRPr="00803AF2" w14:paraId="0743EE5B" w14:textId="77777777" w:rsidTr="00406FCF">
        <w:trPr>
          <w:trHeight w:val="363"/>
          <w:jc w:val="center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FCE352" w14:textId="77777777" w:rsidR="004A379F" w:rsidRPr="00803AF2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9B7EE" w14:textId="77777777" w:rsidR="004A379F" w:rsidRPr="00803AF2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1E8AC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7E5B3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06FCF" w:rsidRPr="00803AF2" w14:paraId="50E4E2F2" w14:textId="77777777" w:rsidTr="00406FCF">
        <w:trPr>
          <w:trHeight w:val="251"/>
          <w:jc w:val="center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1BC2DE" w14:textId="77777777" w:rsidR="00406FCF" w:rsidRPr="00803AF2" w:rsidRDefault="00406FCF" w:rsidP="00406FC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FA620" w14:textId="1FD20A51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8.426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4ED8C" w14:textId="2678C544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7.019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9D81F" w14:textId="31D0B3C3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6.103</w:t>
            </w:r>
          </w:p>
        </w:tc>
      </w:tr>
      <w:tr w:rsidR="00406FCF" w:rsidRPr="00803AF2" w14:paraId="6103823E" w14:textId="77777777" w:rsidTr="00406FCF">
        <w:trPr>
          <w:trHeight w:val="138"/>
          <w:jc w:val="center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334E7" w14:textId="77777777" w:rsidR="00406FCF" w:rsidRPr="00803AF2" w:rsidRDefault="00406FCF" w:rsidP="00406FC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17DB3" w14:textId="7602522D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100.994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01891" w14:textId="6ADE868D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106.485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B32AA" w14:textId="328D003D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107.455</w:t>
            </w:r>
          </w:p>
        </w:tc>
      </w:tr>
      <w:tr w:rsidR="00406FCF" w:rsidRPr="00803AF2" w14:paraId="2CB9FB98" w14:textId="77777777" w:rsidTr="00406FCF">
        <w:trPr>
          <w:trHeight w:val="251"/>
          <w:jc w:val="center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9D96A" w14:textId="77777777" w:rsidR="00406FCF" w:rsidRPr="00803AF2" w:rsidRDefault="00406FCF" w:rsidP="00406FC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69DA2" w14:textId="00870B43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A3FCC" w14:textId="22C64512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E36D2" w14:textId="6315FE3C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297123" w:rsidRPr="00803AF2" w14:paraId="5D526750" w14:textId="77777777" w:rsidTr="00406FCF">
        <w:trPr>
          <w:trHeight w:val="251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2E812D66" w14:textId="77777777" w:rsidR="00297123" w:rsidRPr="00803AF2" w:rsidRDefault="00297123" w:rsidP="00297123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7674A" w14:textId="77777777" w:rsidR="00297123" w:rsidRPr="00803AF2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2556E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424BE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</w:tr>
      <w:tr w:rsidR="00406FCF" w:rsidRPr="00803AF2" w14:paraId="7FCB0D0A" w14:textId="77777777" w:rsidTr="00406FCF">
        <w:trPr>
          <w:trHeight w:val="169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3D523D2E" w14:textId="77777777" w:rsidR="00406FCF" w:rsidRPr="00803AF2" w:rsidRDefault="00406FCF" w:rsidP="00406FC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1F4BD" w14:textId="1F42D670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1.534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6C722" w14:textId="64107EC3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24057" w14:textId="7B4D57C3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1.540</w:t>
            </w:r>
          </w:p>
        </w:tc>
      </w:tr>
      <w:tr w:rsidR="00406FCF" w:rsidRPr="00803AF2" w14:paraId="57CBA8B8" w14:textId="77777777" w:rsidTr="00406FCF">
        <w:trPr>
          <w:trHeight w:val="251"/>
          <w:jc w:val="center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C024C2" w14:textId="77777777" w:rsidR="00406FCF" w:rsidRPr="00803AF2" w:rsidRDefault="00406FCF" w:rsidP="00406FC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4EDE27" w14:textId="10B85132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6.484</w:t>
            </w:r>
          </w:p>
        </w:tc>
        <w:tc>
          <w:tcPr>
            <w:tcW w:w="13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DAD3012" w14:textId="15EC583E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6.581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19FB54" w14:textId="1269829D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6.721</w:t>
            </w:r>
          </w:p>
        </w:tc>
      </w:tr>
      <w:tr w:rsidR="00406FCF" w:rsidRPr="00803AF2" w14:paraId="7D1E1E55" w14:textId="77777777" w:rsidTr="00406FCF">
        <w:trPr>
          <w:trHeight w:val="251"/>
          <w:jc w:val="center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985B71" w14:textId="77777777" w:rsidR="00406FCF" w:rsidRPr="00803AF2" w:rsidRDefault="00406FCF" w:rsidP="00406FC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AF8C468" w14:textId="3082AE15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3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493B920" w14:textId="2F2FF86D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31D750" w14:textId="487EE4D8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23</w:t>
            </w:r>
          </w:p>
        </w:tc>
      </w:tr>
      <w:tr w:rsidR="00297123" w:rsidRPr="00803AF2" w14:paraId="4651E9F7" w14:textId="77777777" w:rsidTr="00406FCF">
        <w:trPr>
          <w:trHeight w:val="251"/>
          <w:jc w:val="center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004AC5" w14:textId="77777777" w:rsidR="00297123" w:rsidRPr="00803AF2" w:rsidRDefault="00297123" w:rsidP="00297123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34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120BC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1BCD6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6575B" w14:textId="77777777" w:rsidR="00297123" w:rsidRPr="00803AF2" w:rsidRDefault="00297123" w:rsidP="00297123">
            <w:pPr>
              <w:rPr>
                <w:rFonts w:ascii="Arial" w:hAnsi="Arial" w:cs="Arial"/>
                <w:sz w:val="20"/>
              </w:rPr>
            </w:pPr>
          </w:p>
        </w:tc>
      </w:tr>
      <w:tr w:rsidR="00406FCF" w:rsidRPr="00803AF2" w14:paraId="0861A73C" w14:textId="77777777" w:rsidTr="00406FCF">
        <w:trPr>
          <w:trHeight w:val="251"/>
          <w:jc w:val="center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899381" w14:textId="77777777" w:rsidR="00406FCF" w:rsidRPr="00803AF2" w:rsidRDefault="00406FCF" w:rsidP="00406FC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C8F7B" w14:textId="3ABE3934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9.960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956CB" w14:textId="16736380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8.569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3A65A" w14:textId="5EDFA05C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7.643</w:t>
            </w:r>
          </w:p>
        </w:tc>
      </w:tr>
      <w:tr w:rsidR="00406FCF" w:rsidRPr="00803AF2" w14:paraId="21154C79" w14:textId="77777777" w:rsidTr="00406FCF">
        <w:trPr>
          <w:trHeight w:val="251"/>
          <w:jc w:val="center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968CA" w14:textId="77777777" w:rsidR="00406FCF" w:rsidRPr="00803AF2" w:rsidRDefault="00406FCF" w:rsidP="00406FC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5C580" w14:textId="63BB18AF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107.477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6C193" w14:textId="1EDAAF5C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113.065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D0AD4" w14:textId="2172CCD7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114.176</w:t>
            </w:r>
          </w:p>
        </w:tc>
      </w:tr>
      <w:tr w:rsidR="00406FCF" w:rsidRPr="00803AF2" w14:paraId="611E69C5" w14:textId="77777777" w:rsidTr="00406FCF">
        <w:trPr>
          <w:trHeight w:val="99"/>
          <w:jc w:val="center"/>
        </w:trPr>
        <w:tc>
          <w:tcPr>
            <w:tcW w:w="42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60F76" w14:textId="77777777" w:rsidR="00406FCF" w:rsidRPr="00803AF2" w:rsidRDefault="00406FCF" w:rsidP="00406FC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5FC17A8" w14:textId="5E428338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3245031" w14:textId="7702AECC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3251835" w14:textId="2F20D720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</w:tbl>
    <w:p w14:paraId="66CC841B" w14:textId="77777777" w:rsid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4EF4DBF8" w14:textId="48C38088" w:rsidR="00F950A5" w:rsidRDefault="00995EA2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 2025</w:t>
      </w:r>
      <w:r w:rsidR="004A379F" w:rsidRPr="00D74A9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ED6942" w:rsidRPr="00D74A96">
        <w:rPr>
          <w:rFonts w:ascii="Arial" w:hAnsi="Arial" w:cs="Arial"/>
          <w:sz w:val="22"/>
          <w:szCs w:val="22"/>
        </w:rPr>
        <w:t xml:space="preserve">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="00ED6942" w:rsidRPr="00D74A96">
        <w:rPr>
          <w:rFonts w:ascii="Arial" w:hAnsi="Arial" w:cs="Arial"/>
          <w:sz w:val="22"/>
          <w:szCs w:val="22"/>
        </w:rPr>
        <w:t xml:space="preserve">aktif bireysel müşteri </w:t>
      </w:r>
      <w:r w:rsidR="00EC207B" w:rsidRPr="00D74A96">
        <w:rPr>
          <w:rFonts w:ascii="Arial" w:hAnsi="Arial" w:cs="Arial"/>
          <w:sz w:val="22"/>
          <w:szCs w:val="22"/>
        </w:rPr>
        <w:t xml:space="preserve">sayısı </w:t>
      </w:r>
      <w:r w:rsidR="00B50C08">
        <w:rPr>
          <w:rFonts w:ascii="Arial" w:hAnsi="Arial" w:cs="Arial"/>
          <w:sz w:val="22"/>
          <w:szCs w:val="22"/>
        </w:rPr>
        <w:t>6</w:t>
      </w:r>
      <w:r w:rsidR="00ED6942" w:rsidRPr="00D74A96">
        <w:rPr>
          <w:rFonts w:ascii="Arial" w:hAnsi="Arial" w:cs="Arial"/>
          <w:sz w:val="22"/>
          <w:szCs w:val="22"/>
        </w:rPr>
        <w:t xml:space="preserve"> milyon </w:t>
      </w:r>
      <w:r w:rsidR="00B50C08">
        <w:rPr>
          <w:rFonts w:ascii="Arial" w:hAnsi="Arial" w:cs="Arial"/>
          <w:sz w:val="22"/>
          <w:szCs w:val="22"/>
        </w:rPr>
        <w:t>103</w:t>
      </w:r>
      <w:r w:rsidR="00B12600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>bin kişidir. Bu miktar kayıtlı toplam</w:t>
      </w:r>
      <w:r w:rsidR="00F5652B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 xml:space="preserve">bireysel müşteri sayısının yüzde </w:t>
      </w:r>
      <w:r w:rsidR="00B50C08">
        <w:rPr>
          <w:rFonts w:ascii="Arial" w:hAnsi="Arial" w:cs="Arial"/>
          <w:sz w:val="22"/>
          <w:szCs w:val="22"/>
        </w:rPr>
        <w:t>6</w:t>
      </w:r>
      <w:r w:rsidR="00ED6942" w:rsidRPr="00D74A96">
        <w:rPr>
          <w:rFonts w:ascii="Arial" w:hAnsi="Arial" w:cs="Arial"/>
          <w:sz w:val="22"/>
          <w:szCs w:val="22"/>
        </w:rPr>
        <w:t>’</w:t>
      </w:r>
      <w:r w:rsidR="00B12600">
        <w:rPr>
          <w:rFonts w:ascii="Arial" w:hAnsi="Arial" w:cs="Arial"/>
          <w:sz w:val="22"/>
          <w:szCs w:val="22"/>
        </w:rPr>
        <w:t>s</w:t>
      </w:r>
      <w:r w:rsidR="00B50C08">
        <w:rPr>
          <w:rFonts w:ascii="Arial" w:hAnsi="Arial" w:cs="Arial"/>
          <w:sz w:val="22"/>
          <w:szCs w:val="22"/>
        </w:rPr>
        <w:t>ını</w:t>
      </w:r>
      <w:r w:rsidR="00ED6942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22A7A2F8" w14:textId="77777777" w:rsidR="008452D8" w:rsidRP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1423D0D3" w14:textId="4E4A2A3B" w:rsidR="00074293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F217E7">
        <w:rPr>
          <w:rFonts w:ascii="Arial" w:hAnsi="Arial" w:cs="Arial"/>
          <w:color w:val="000000"/>
          <w:sz w:val="22"/>
          <w:szCs w:val="22"/>
        </w:rPr>
        <w:t>İnternet bankacılığı</w:t>
      </w:r>
      <w:r w:rsidR="00F950A5">
        <w:rPr>
          <w:rFonts w:ascii="Arial" w:hAnsi="Arial" w:cs="Arial"/>
          <w:color w:val="000000"/>
          <w:sz w:val="22"/>
          <w:szCs w:val="22"/>
        </w:rPr>
        <w:t>nda</w:t>
      </w:r>
      <w:r w:rsidRPr="00F217E7">
        <w:rPr>
          <w:rFonts w:ascii="Arial" w:hAnsi="Arial" w:cs="Arial"/>
          <w:sz w:val="22"/>
          <w:szCs w:val="22"/>
        </w:rPr>
        <w:t xml:space="preserve"> sistemde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>kurumsal müşteri sayısı</w:t>
      </w:r>
      <w:r w:rsidR="00E5771F" w:rsidRPr="00F217E7">
        <w:rPr>
          <w:rFonts w:ascii="Arial" w:hAnsi="Arial" w:cs="Arial"/>
          <w:sz w:val="22"/>
          <w:szCs w:val="22"/>
        </w:rPr>
        <w:t>,</w:t>
      </w:r>
      <w:r w:rsidRPr="00F217E7">
        <w:rPr>
          <w:rFonts w:ascii="Arial" w:hAnsi="Arial" w:cs="Arial"/>
          <w:sz w:val="22"/>
          <w:szCs w:val="22"/>
        </w:rPr>
        <w:t xml:space="preserve"> </w:t>
      </w:r>
      <w:r w:rsidR="00995EA2">
        <w:rPr>
          <w:rFonts w:ascii="Arial" w:hAnsi="Arial" w:cs="Arial"/>
          <w:sz w:val="22"/>
          <w:szCs w:val="22"/>
        </w:rPr>
        <w:t>Haziran 2025</w:t>
      </w:r>
      <w:r w:rsidR="003E7F86" w:rsidRPr="00F217E7">
        <w:rPr>
          <w:rFonts w:ascii="Arial" w:hAnsi="Arial" w:cs="Arial"/>
          <w:sz w:val="22"/>
          <w:szCs w:val="22"/>
        </w:rPr>
        <w:t xml:space="preserve"> </w:t>
      </w:r>
      <w:r w:rsidR="006073A7" w:rsidRPr="00F217E7">
        <w:rPr>
          <w:rFonts w:ascii="Arial" w:hAnsi="Arial" w:cs="Arial"/>
          <w:sz w:val="22"/>
          <w:szCs w:val="22"/>
        </w:rPr>
        <w:t>itibarıyla</w:t>
      </w:r>
      <w:r w:rsidR="002463B3" w:rsidRPr="00F217E7">
        <w:rPr>
          <w:rFonts w:ascii="Arial" w:hAnsi="Arial" w:cs="Arial"/>
          <w:sz w:val="22"/>
          <w:szCs w:val="22"/>
        </w:rPr>
        <w:t xml:space="preserve"> </w:t>
      </w:r>
      <w:r w:rsidR="0068204B" w:rsidRPr="00F217E7">
        <w:rPr>
          <w:rFonts w:ascii="Arial" w:hAnsi="Arial" w:cs="Arial"/>
          <w:sz w:val="22"/>
          <w:szCs w:val="22"/>
        </w:rPr>
        <w:t>6</w:t>
      </w:r>
      <w:r w:rsidR="002463B3" w:rsidRPr="00F217E7">
        <w:rPr>
          <w:rFonts w:ascii="Arial" w:hAnsi="Arial" w:cs="Arial"/>
          <w:sz w:val="22"/>
          <w:szCs w:val="22"/>
        </w:rPr>
        <w:t xml:space="preserve"> milyon</w:t>
      </w:r>
      <w:r w:rsidR="004A79AB" w:rsidRPr="00F217E7">
        <w:rPr>
          <w:rFonts w:ascii="Arial" w:hAnsi="Arial" w:cs="Arial"/>
          <w:sz w:val="22"/>
          <w:szCs w:val="22"/>
        </w:rPr>
        <w:t xml:space="preserve"> </w:t>
      </w:r>
      <w:r w:rsidR="00B50C08">
        <w:rPr>
          <w:rFonts w:ascii="Arial" w:hAnsi="Arial" w:cs="Arial"/>
          <w:sz w:val="22"/>
          <w:szCs w:val="22"/>
        </w:rPr>
        <w:t>721</w:t>
      </w:r>
      <w:r w:rsidR="008452D8">
        <w:rPr>
          <w:rFonts w:ascii="Arial" w:hAnsi="Arial" w:cs="Arial"/>
          <w:sz w:val="22"/>
          <w:szCs w:val="22"/>
        </w:rPr>
        <w:t xml:space="preserve"> </w:t>
      </w:r>
      <w:r w:rsidR="004A79AB" w:rsidRPr="00F217E7">
        <w:rPr>
          <w:rFonts w:ascii="Arial" w:hAnsi="Arial" w:cs="Arial"/>
          <w:sz w:val="22"/>
          <w:szCs w:val="22"/>
        </w:rPr>
        <w:t>bin</w:t>
      </w:r>
      <w:r w:rsidR="00593165" w:rsidRPr="00F217E7">
        <w:rPr>
          <w:rFonts w:ascii="Arial" w:hAnsi="Arial" w:cs="Arial"/>
          <w:sz w:val="22"/>
          <w:szCs w:val="22"/>
        </w:rPr>
        <w:t xml:space="preserve"> kişi</w:t>
      </w:r>
      <w:r w:rsidR="00F950A5">
        <w:rPr>
          <w:rFonts w:ascii="Arial" w:hAnsi="Arial" w:cs="Arial"/>
          <w:sz w:val="22"/>
          <w:szCs w:val="22"/>
        </w:rPr>
        <w:t>dir</w:t>
      </w:r>
      <w:r w:rsidR="00593165" w:rsidRPr="00F217E7">
        <w:rPr>
          <w:rFonts w:ascii="Arial" w:hAnsi="Arial" w:cs="Arial"/>
          <w:sz w:val="22"/>
          <w:szCs w:val="22"/>
        </w:rPr>
        <w:t>.</w:t>
      </w:r>
      <w:r w:rsidR="00F950A5"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565669" w:rsidRPr="00F217E7">
        <w:rPr>
          <w:rFonts w:ascii="Arial" w:hAnsi="Arial" w:cs="Arial"/>
          <w:sz w:val="22"/>
          <w:szCs w:val="22"/>
        </w:rPr>
        <w:t xml:space="preserve">1 milyon </w:t>
      </w:r>
      <w:r w:rsidR="008B6ECA" w:rsidRPr="00F217E7">
        <w:rPr>
          <w:rFonts w:ascii="Arial" w:hAnsi="Arial" w:cs="Arial"/>
          <w:sz w:val="22"/>
          <w:szCs w:val="22"/>
        </w:rPr>
        <w:t>5</w:t>
      </w:r>
      <w:r w:rsidR="00B50C08">
        <w:rPr>
          <w:rFonts w:ascii="Arial" w:hAnsi="Arial" w:cs="Arial"/>
          <w:sz w:val="22"/>
          <w:szCs w:val="22"/>
        </w:rPr>
        <w:t>4</w:t>
      </w:r>
      <w:r w:rsidR="00B12600">
        <w:rPr>
          <w:rFonts w:ascii="Arial" w:hAnsi="Arial" w:cs="Arial"/>
          <w:sz w:val="22"/>
          <w:szCs w:val="22"/>
        </w:rPr>
        <w:t>0</w:t>
      </w:r>
      <w:r w:rsidR="006A115F" w:rsidRPr="00F217E7">
        <w:rPr>
          <w:rFonts w:ascii="Arial" w:hAnsi="Arial" w:cs="Arial"/>
          <w:sz w:val="22"/>
          <w:szCs w:val="22"/>
        </w:rPr>
        <w:t xml:space="preserve"> </w:t>
      </w:r>
      <w:r w:rsidR="00E4414F" w:rsidRPr="00F217E7">
        <w:rPr>
          <w:rFonts w:ascii="Arial" w:hAnsi="Arial" w:cs="Arial"/>
          <w:sz w:val="22"/>
          <w:szCs w:val="22"/>
        </w:rPr>
        <w:t>bini</w:t>
      </w:r>
      <w:r w:rsidRPr="00F217E7">
        <w:rPr>
          <w:rFonts w:ascii="Arial" w:hAnsi="Arial" w:cs="Arial"/>
          <w:sz w:val="22"/>
          <w:szCs w:val="22"/>
        </w:rPr>
        <w:t xml:space="preserve"> (yüzde </w:t>
      </w:r>
      <w:r w:rsidR="00A9024D" w:rsidRPr="00F217E7">
        <w:rPr>
          <w:rFonts w:ascii="Arial" w:hAnsi="Arial" w:cs="Arial"/>
          <w:sz w:val="22"/>
          <w:szCs w:val="22"/>
        </w:rPr>
        <w:t>2</w:t>
      </w:r>
      <w:r w:rsidR="00B50C08">
        <w:rPr>
          <w:rFonts w:ascii="Arial" w:hAnsi="Arial" w:cs="Arial"/>
          <w:sz w:val="22"/>
          <w:szCs w:val="22"/>
        </w:rPr>
        <w:t>3</w:t>
      </w:r>
      <w:r w:rsidR="00C22B35" w:rsidRPr="00F217E7">
        <w:rPr>
          <w:rFonts w:ascii="Arial" w:hAnsi="Arial" w:cs="Arial"/>
          <w:sz w:val="22"/>
          <w:szCs w:val="22"/>
        </w:rPr>
        <w:t>’</w:t>
      </w:r>
      <w:r w:rsidR="00297123">
        <w:rPr>
          <w:rFonts w:ascii="Arial" w:hAnsi="Arial" w:cs="Arial"/>
          <w:sz w:val="22"/>
          <w:szCs w:val="22"/>
        </w:rPr>
        <w:t>ü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2A20DD">
        <w:rPr>
          <w:rFonts w:ascii="Arial" w:hAnsi="Arial" w:cs="Arial"/>
          <w:sz w:val="22"/>
          <w:szCs w:val="22"/>
        </w:rPr>
        <w:t>aktif kurumsal müşteridir.</w:t>
      </w:r>
      <w:r w:rsidRPr="00F217E7">
        <w:rPr>
          <w:rFonts w:ascii="Arial" w:hAnsi="Arial" w:cs="Arial"/>
          <w:sz w:val="22"/>
          <w:szCs w:val="22"/>
        </w:rPr>
        <w:t xml:space="preserve"> </w:t>
      </w:r>
    </w:p>
    <w:p w14:paraId="2C139C34" w14:textId="78078C95" w:rsidR="00227B9A" w:rsidRDefault="00227B9A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54A91AE7" w14:textId="77777777" w:rsidR="00227B9A" w:rsidRPr="00F217E7" w:rsidRDefault="00227B9A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3D0EE221" w14:textId="77777777" w:rsidR="001F39AE" w:rsidRPr="004357F6" w:rsidRDefault="001F39AE" w:rsidP="00F04D3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1F1575C9" w14:textId="77777777" w:rsidR="00EA4F7F" w:rsidRPr="004357F6" w:rsidRDefault="00EA4F7F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15546E53" w14:textId="77777777" w:rsidR="00EA4F7F" w:rsidRPr="002953BF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>Finansal İşlemler</w:t>
      </w:r>
    </w:p>
    <w:p w14:paraId="63191282" w14:textId="77777777" w:rsidR="00EA4F7F" w:rsidRPr="002953BF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ab/>
      </w:r>
    </w:p>
    <w:p w14:paraId="04733DAD" w14:textId="179A22E0" w:rsidR="00350946" w:rsidRPr="002953BF" w:rsidRDefault="00995EA2" w:rsidP="00D67F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 2025</w:t>
      </w:r>
      <w:r w:rsidR="00453BD1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dönemi </w:t>
      </w:r>
      <w:r w:rsidR="006073A7" w:rsidRPr="002953BF">
        <w:rPr>
          <w:rFonts w:ascii="Arial" w:hAnsi="Arial" w:cs="Arial"/>
          <w:sz w:val="22"/>
          <w:szCs w:val="22"/>
        </w:rPr>
        <w:t>itibarıyla</w:t>
      </w:r>
      <w:r w:rsidR="00EA4F7F" w:rsidRPr="002953BF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="00B50C08">
        <w:rPr>
          <w:rFonts w:ascii="Arial" w:hAnsi="Arial" w:cs="Arial"/>
          <w:sz w:val="22"/>
          <w:szCs w:val="22"/>
        </w:rPr>
        <w:t>92</w:t>
      </w:r>
      <w:r w:rsidR="004A79AB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milyon, tutarı ise </w:t>
      </w:r>
      <w:r w:rsidR="002953BF" w:rsidRPr="002953BF">
        <w:rPr>
          <w:rFonts w:ascii="Arial" w:hAnsi="Arial" w:cs="Arial"/>
          <w:sz w:val="22"/>
          <w:szCs w:val="22"/>
        </w:rPr>
        <w:t>1</w:t>
      </w:r>
      <w:r w:rsidR="00297123">
        <w:rPr>
          <w:rFonts w:ascii="Arial" w:hAnsi="Arial" w:cs="Arial"/>
          <w:sz w:val="22"/>
          <w:szCs w:val="22"/>
        </w:rPr>
        <w:t>5</w:t>
      </w:r>
      <w:r w:rsidR="00B54882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trilyon</w:t>
      </w:r>
      <w:r w:rsidR="004749ED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TL</w:t>
      </w:r>
      <w:r w:rsidR="00074963" w:rsidRPr="002953BF">
        <w:rPr>
          <w:rFonts w:ascii="Arial" w:hAnsi="Arial" w:cs="Arial"/>
          <w:sz w:val="22"/>
          <w:szCs w:val="22"/>
        </w:rPr>
        <w:t>’dir.</w:t>
      </w:r>
      <w:r w:rsidR="00EA4F7F" w:rsidRPr="002953BF">
        <w:rPr>
          <w:rFonts w:ascii="Arial" w:hAnsi="Arial" w:cs="Arial"/>
          <w:sz w:val="22"/>
          <w:szCs w:val="22"/>
        </w:rPr>
        <w:t xml:space="preserve"> </w:t>
      </w:r>
      <w:r w:rsidR="004D7444" w:rsidRPr="002953BF">
        <w:rPr>
          <w:rFonts w:ascii="Arial" w:hAnsi="Arial" w:cs="Arial"/>
          <w:sz w:val="22"/>
          <w:szCs w:val="22"/>
        </w:rPr>
        <w:t>EFT, havale ve döviz transferi işlemlerini kaps</w:t>
      </w:r>
      <w:r w:rsidR="001A2BC1" w:rsidRPr="002953BF">
        <w:rPr>
          <w:rFonts w:ascii="Arial" w:hAnsi="Arial" w:cs="Arial"/>
          <w:sz w:val="22"/>
          <w:szCs w:val="22"/>
        </w:rPr>
        <w:t>ayan para transferleri</w:t>
      </w:r>
      <w:r w:rsidR="004D7444" w:rsidRPr="002953BF">
        <w:rPr>
          <w:rFonts w:ascii="Arial" w:hAnsi="Arial" w:cs="Arial"/>
          <w:sz w:val="22"/>
          <w:szCs w:val="22"/>
        </w:rPr>
        <w:t xml:space="preserve">, </w:t>
      </w:r>
      <w:r w:rsidR="001A2BC1" w:rsidRPr="002953BF">
        <w:rPr>
          <w:rFonts w:ascii="Arial" w:hAnsi="Arial" w:cs="Arial"/>
          <w:sz w:val="22"/>
          <w:szCs w:val="22"/>
        </w:rPr>
        <w:t>finansal işlem hacminin yüzde 7</w:t>
      </w:r>
      <w:r w:rsidR="00B50C08">
        <w:rPr>
          <w:rFonts w:ascii="Arial" w:hAnsi="Arial" w:cs="Arial"/>
          <w:sz w:val="22"/>
          <w:szCs w:val="22"/>
        </w:rPr>
        <w:t>5’ini</w:t>
      </w:r>
      <w:r w:rsidR="001A2BC1" w:rsidRPr="002953BF">
        <w:rPr>
          <w:rFonts w:ascii="Arial" w:hAnsi="Arial" w:cs="Arial"/>
          <w:sz w:val="22"/>
          <w:szCs w:val="22"/>
        </w:rPr>
        <w:t>, yatırım işlemleri ise yüzde 1</w:t>
      </w:r>
      <w:r w:rsidR="00B50C08">
        <w:rPr>
          <w:rFonts w:ascii="Arial" w:hAnsi="Arial" w:cs="Arial"/>
          <w:sz w:val="22"/>
          <w:szCs w:val="22"/>
        </w:rPr>
        <w:t>5</w:t>
      </w:r>
      <w:r w:rsidR="001A2BC1" w:rsidRPr="002953BF">
        <w:rPr>
          <w:rFonts w:ascii="Arial" w:hAnsi="Arial" w:cs="Arial"/>
          <w:sz w:val="22"/>
          <w:szCs w:val="22"/>
        </w:rPr>
        <w:t>’</w:t>
      </w:r>
      <w:r w:rsidR="00C36A1F">
        <w:rPr>
          <w:rFonts w:ascii="Arial" w:hAnsi="Arial" w:cs="Arial"/>
          <w:sz w:val="22"/>
          <w:szCs w:val="22"/>
        </w:rPr>
        <w:t>ini</w:t>
      </w:r>
      <w:r w:rsidR="001A2BC1" w:rsidRPr="002953BF">
        <w:rPr>
          <w:rFonts w:ascii="Arial" w:hAnsi="Arial" w:cs="Arial"/>
          <w:sz w:val="22"/>
          <w:szCs w:val="22"/>
        </w:rPr>
        <w:t xml:space="preserve"> oluşturmuştur.</w:t>
      </w:r>
    </w:p>
    <w:p w14:paraId="5411C07B" w14:textId="77777777" w:rsidR="00743750" w:rsidRPr="004357F6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8121616" w14:textId="77777777" w:rsidR="00743750" w:rsidRPr="008B63DE" w:rsidRDefault="00743750" w:rsidP="00743750">
      <w:pPr>
        <w:pStyle w:val="Heading9"/>
        <w:rPr>
          <w:rFonts w:ascii="Arial" w:hAnsi="Arial" w:cs="Arial"/>
          <w:szCs w:val="22"/>
        </w:rPr>
      </w:pPr>
      <w:r w:rsidRPr="008B63DE">
        <w:rPr>
          <w:rFonts w:ascii="Arial" w:hAnsi="Arial" w:cs="Arial"/>
          <w:szCs w:val="22"/>
        </w:rPr>
        <w:t>İnternet Bankacılığında Finansal İşlemler</w:t>
      </w:r>
    </w:p>
    <w:p w14:paraId="78E616F1" w14:textId="77777777" w:rsidR="00743750" w:rsidRPr="004357F6" w:rsidRDefault="00743750" w:rsidP="0074375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7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3"/>
        <w:gridCol w:w="21"/>
        <w:gridCol w:w="1007"/>
        <w:gridCol w:w="951"/>
        <w:gridCol w:w="1031"/>
        <w:gridCol w:w="1074"/>
        <w:gridCol w:w="937"/>
        <w:gridCol w:w="1226"/>
      </w:tblGrid>
      <w:tr w:rsidR="00743750" w:rsidRPr="00803AF2" w14:paraId="08F00001" w14:textId="77777777" w:rsidTr="00406FCF">
        <w:trPr>
          <w:trHeight w:val="353"/>
          <w:jc w:val="center"/>
        </w:trPr>
        <w:tc>
          <w:tcPr>
            <w:tcW w:w="2503" w:type="dxa"/>
            <w:tcBorders>
              <w:top w:val="nil"/>
              <w:left w:val="nil"/>
              <w:right w:val="nil"/>
            </w:tcBorders>
            <w:vAlign w:val="center"/>
          </w:tcPr>
          <w:p w14:paraId="2E0B0A4C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6CB11" w14:textId="782B8B97" w:rsidR="00743750" w:rsidRPr="00803AF2" w:rsidRDefault="00406FCF" w:rsidP="008B63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Nisan-Haziran </w:t>
            </w:r>
            <w:r w:rsidR="00995EA2">
              <w:rPr>
                <w:rFonts w:ascii="Arial" w:hAnsi="Arial" w:cs="Arial"/>
                <w:b/>
                <w:bCs/>
                <w:sz w:val="20"/>
              </w:rPr>
              <w:t>2024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933A0" w14:textId="59AC0E48" w:rsidR="00743750" w:rsidRPr="00803AF2" w:rsidRDefault="00406FCF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</w:t>
            </w:r>
            <w:r w:rsidR="00453BD1" w:rsidRPr="00803AF2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AF970" w14:textId="278F567E" w:rsidR="00743750" w:rsidRPr="00803AF2" w:rsidRDefault="00995EA2" w:rsidP="00F77F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 2025</w:t>
            </w:r>
          </w:p>
        </w:tc>
      </w:tr>
      <w:tr w:rsidR="00743750" w:rsidRPr="00803AF2" w14:paraId="7437C73D" w14:textId="77777777" w:rsidTr="00406FCF">
        <w:trPr>
          <w:trHeight w:val="254"/>
          <w:jc w:val="center"/>
        </w:trPr>
        <w:tc>
          <w:tcPr>
            <w:tcW w:w="25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3CD052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CF35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9C9A5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40E98AEB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33A4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EA42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4CB8200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6DECB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DCC57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AF50119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406FCF" w:rsidRPr="00803AF2" w14:paraId="00CBF1D4" w14:textId="77777777" w:rsidTr="00406FCF">
        <w:trPr>
          <w:trHeight w:val="241"/>
          <w:jc w:val="center"/>
        </w:trPr>
        <w:tc>
          <w:tcPr>
            <w:tcW w:w="252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E360FB" w14:textId="77777777" w:rsidR="00406FCF" w:rsidRPr="00803AF2" w:rsidRDefault="00406FCF" w:rsidP="00406FCF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C2D5D" w14:textId="5EF60E40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51AC3" w14:textId="7198429C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8.312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5361" w14:textId="330DEA97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6DFA" w14:textId="2CDB4A14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11.353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036F" w14:textId="1C8A5B7C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9DA8" w14:textId="0F99635A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11.641</w:t>
            </w:r>
          </w:p>
        </w:tc>
      </w:tr>
      <w:tr w:rsidR="00406FCF" w:rsidRPr="00803AF2" w14:paraId="183C45E7" w14:textId="77777777" w:rsidTr="00406FCF">
        <w:trPr>
          <w:trHeight w:val="241"/>
          <w:jc w:val="center"/>
        </w:trPr>
        <w:tc>
          <w:tcPr>
            <w:tcW w:w="252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09038B" w14:textId="77777777" w:rsidR="00406FCF" w:rsidRPr="00803AF2" w:rsidRDefault="00406FCF" w:rsidP="00406FCF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9C7D0" w14:textId="319E6743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32D26" w14:textId="193902CA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DDF0" w14:textId="3FC4B1D7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1B31" w14:textId="01EA5ED3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DE3F" w14:textId="36E43122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009C" w14:textId="3786D2E2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779</w:t>
            </w:r>
          </w:p>
        </w:tc>
      </w:tr>
      <w:tr w:rsidR="00406FCF" w:rsidRPr="00803AF2" w14:paraId="6253A0E5" w14:textId="77777777" w:rsidTr="00406FCF">
        <w:trPr>
          <w:trHeight w:val="241"/>
          <w:jc w:val="center"/>
        </w:trPr>
        <w:tc>
          <w:tcPr>
            <w:tcW w:w="252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5271AE" w14:textId="4619E823" w:rsidR="00406FCF" w:rsidRPr="00803AF2" w:rsidRDefault="00406FCF" w:rsidP="00406FCF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  <w:r w:rsidR="0021188B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FF3FC" w14:textId="399D1335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FC0DF" w14:textId="66E4A25B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1.707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F8EF" w14:textId="58B7A02B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8E56F" w14:textId="6AB43B53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8980" w14:textId="15853DAF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5B37D" w14:textId="059F470E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2.341</w:t>
            </w:r>
          </w:p>
        </w:tc>
      </w:tr>
      <w:tr w:rsidR="00406FCF" w:rsidRPr="00803AF2" w14:paraId="4935B024" w14:textId="77777777" w:rsidTr="00406FCF">
        <w:trPr>
          <w:trHeight w:val="241"/>
          <w:jc w:val="center"/>
        </w:trPr>
        <w:tc>
          <w:tcPr>
            <w:tcW w:w="252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04CE7" w14:textId="58C2A620" w:rsidR="00406FCF" w:rsidRPr="00803AF2" w:rsidRDefault="00406FCF" w:rsidP="00406FCF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  <w:r w:rsidR="0021188B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32058" w14:textId="1B6F8A8F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CB56C" w14:textId="60828268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C7D3" w14:textId="4DD7AE3D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D074" w14:textId="64D30FE8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7D413" w14:textId="3D2DBACF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9FE3" w14:textId="0D5469B0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227</w:t>
            </w:r>
          </w:p>
        </w:tc>
      </w:tr>
      <w:tr w:rsidR="00406FCF" w:rsidRPr="00803AF2" w14:paraId="16D9A253" w14:textId="77777777" w:rsidTr="00406FCF">
        <w:trPr>
          <w:trHeight w:val="241"/>
          <w:jc w:val="center"/>
        </w:trPr>
        <w:tc>
          <w:tcPr>
            <w:tcW w:w="252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32567" w14:textId="77777777" w:rsidR="00406FCF" w:rsidRPr="00803AF2" w:rsidRDefault="00406FCF" w:rsidP="00406FCF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EAF78" w14:textId="6775AEF3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E5A45" w14:textId="3F00F37F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F470" w14:textId="28AC17FF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51B0" w14:textId="31A72CB9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C773" w14:textId="3A22139E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39A8" w14:textId="5DFBE285" w:rsidR="00406FCF" w:rsidRPr="00803AF2" w:rsidRDefault="00406FCF" w:rsidP="00406F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484</w:t>
            </w:r>
          </w:p>
        </w:tc>
      </w:tr>
      <w:tr w:rsidR="00406FCF" w:rsidRPr="00803AF2" w14:paraId="6146FA9C" w14:textId="77777777" w:rsidTr="00406FCF">
        <w:trPr>
          <w:trHeight w:val="241"/>
          <w:jc w:val="center"/>
        </w:trPr>
        <w:tc>
          <w:tcPr>
            <w:tcW w:w="25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F7C9" w14:textId="77777777" w:rsidR="00406FCF" w:rsidRPr="00803AF2" w:rsidRDefault="00406FCF" w:rsidP="00406FCF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912A540" w14:textId="33BF9964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B5A49D0" w14:textId="527AA0BD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11.083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CE87ED" w14:textId="4409ADE0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41875B" w14:textId="7F73E2B0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15.187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F29C5B" w14:textId="0D235817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6510EC" w14:textId="655D3044" w:rsidR="00406FCF" w:rsidRPr="00803AF2" w:rsidRDefault="00406FCF" w:rsidP="00406FC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15.473</w:t>
            </w:r>
          </w:p>
        </w:tc>
      </w:tr>
    </w:tbl>
    <w:p w14:paraId="22120665" w14:textId="3200C41C" w:rsidR="000045B2" w:rsidRPr="0021188B" w:rsidRDefault="0021188B" w:rsidP="0021188B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21188B">
        <w:rPr>
          <w:rFonts w:ascii="Arial" w:hAnsi="Arial" w:cs="Arial"/>
          <w:i/>
          <w:sz w:val="16"/>
          <w:szCs w:val="16"/>
        </w:rPr>
        <w:t>*</w:t>
      </w:r>
      <w:r w:rsidRPr="0021188B">
        <w:rPr>
          <w:rFonts w:ascii="Arial" w:hAnsi="Arial" w:cs="Arial"/>
          <w:bCs/>
          <w:i/>
          <w:sz w:val="16"/>
          <w:szCs w:val="16"/>
        </w:rPr>
        <w:t>Nisan-Haziran 2024</w:t>
      </w:r>
      <w:r w:rsidRPr="0021188B">
        <w:rPr>
          <w:rFonts w:ascii="Arial" w:hAnsi="Arial" w:cs="Arial"/>
          <w:bCs/>
          <w:i/>
          <w:sz w:val="16"/>
          <w:szCs w:val="16"/>
        </w:rPr>
        <w:t xml:space="preserve"> ve </w:t>
      </w:r>
      <w:r w:rsidRPr="0021188B">
        <w:rPr>
          <w:rFonts w:ascii="Arial" w:hAnsi="Arial" w:cs="Arial"/>
          <w:bCs/>
          <w:i/>
          <w:sz w:val="16"/>
          <w:szCs w:val="16"/>
        </w:rPr>
        <w:t>Ocak-Mart 2025</w:t>
      </w:r>
      <w:r w:rsidRPr="0021188B">
        <w:rPr>
          <w:rFonts w:ascii="Arial" w:hAnsi="Arial" w:cs="Arial"/>
          <w:bCs/>
          <w:i/>
          <w:sz w:val="16"/>
          <w:szCs w:val="16"/>
        </w:rPr>
        <w:t xml:space="preserve"> dönemi verileri revize edilmiştir.</w:t>
      </w:r>
    </w:p>
    <w:p w14:paraId="4A607AE7" w14:textId="5517E1EC" w:rsidR="007966FC" w:rsidRPr="004357F6" w:rsidRDefault="007966FC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257CAE1" w14:textId="77777777" w:rsidR="000D2FB0" w:rsidRPr="000D1E4F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0D1E4F">
        <w:rPr>
          <w:rFonts w:ascii="Arial" w:hAnsi="Arial" w:cs="Arial"/>
          <w:b/>
          <w:szCs w:val="24"/>
        </w:rPr>
        <w:t>II</w:t>
      </w:r>
      <w:r w:rsidR="00387023" w:rsidRPr="000D1E4F">
        <w:rPr>
          <w:rFonts w:ascii="Arial" w:hAnsi="Arial" w:cs="Arial"/>
          <w:b/>
          <w:szCs w:val="24"/>
        </w:rPr>
        <w:t>I</w:t>
      </w:r>
      <w:r w:rsidRPr="000D1E4F">
        <w:rPr>
          <w:rFonts w:ascii="Arial" w:hAnsi="Arial" w:cs="Arial"/>
          <w:b/>
          <w:szCs w:val="24"/>
        </w:rPr>
        <w:t xml:space="preserve">.   </w:t>
      </w:r>
      <w:r w:rsidR="000D2FB0" w:rsidRPr="000D1E4F">
        <w:rPr>
          <w:rFonts w:ascii="Arial" w:hAnsi="Arial" w:cs="Arial"/>
          <w:b/>
          <w:szCs w:val="24"/>
        </w:rPr>
        <w:t>Mobil Bankacılık İstatistikleri</w:t>
      </w:r>
    </w:p>
    <w:p w14:paraId="2D0F0736" w14:textId="77777777" w:rsidR="000D2FB0" w:rsidRPr="004357F6" w:rsidRDefault="000D2FB0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3BE54F4D" w14:textId="5C27D3BA" w:rsidR="00FB188B" w:rsidRDefault="002E385C" w:rsidP="00144C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 bankacılık (bireysel ve kurumsal) toplam </w:t>
      </w:r>
      <w:r w:rsidR="00EA612A">
        <w:rPr>
          <w:rFonts w:ascii="Arial" w:hAnsi="Arial" w:cs="Arial"/>
          <w:sz w:val="22"/>
          <w:szCs w:val="22"/>
        </w:rPr>
        <w:t>tekilleştirilmemiş</w:t>
      </w:r>
      <w:r w:rsidR="00EA612A" w:rsidRPr="004357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aktif müşteri sayısı 11</w:t>
      </w:r>
      <w:r w:rsidR="00B1260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milyon </w:t>
      </w:r>
      <w:r w:rsidR="004708CD">
        <w:rPr>
          <w:rFonts w:ascii="Arial" w:hAnsi="Arial" w:cs="Arial"/>
          <w:sz w:val="22"/>
          <w:szCs w:val="22"/>
        </w:rPr>
        <w:t>768</w:t>
      </w:r>
      <w:r>
        <w:rPr>
          <w:rFonts w:ascii="Arial" w:hAnsi="Arial" w:cs="Arial"/>
          <w:sz w:val="22"/>
          <w:szCs w:val="22"/>
        </w:rPr>
        <w:t xml:space="preserve">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4708CD">
        <w:rPr>
          <w:rFonts w:ascii="Arial" w:hAnsi="Arial" w:cs="Arial"/>
          <w:sz w:val="22"/>
          <w:szCs w:val="22"/>
        </w:rPr>
        <w:t>706</w:t>
      </w:r>
      <w:r w:rsidRPr="001D1325">
        <w:rPr>
          <w:rFonts w:ascii="Arial" w:hAnsi="Arial" w:cs="Arial"/>
          <w:sz w:val="22"/>
          <w:szCs w:val="22"/>
        </w:rPr>
        <w:t xml:space="preserve"> bin kişi, bir önceki yıla göre </w:t>
      </w:r>
      <w:r w:rsidR="004708CD">
        <w:rPr>
          <w:rFonts w:ascii="Arial" w:hAnsi="Arial" w:cs="Arial"/>
          <w:sz w:val="22"/>
          <w:szCs w:val="22"/>
        </w:rPr>
        <w:t>6</w:t>
      </w:r>
      <w:r w:rsidRPr="001D1325">
        <w:rPr>
          <w:rFonts w:ascii="Arial" w:hAnsi="Arial" w:cs="Arial"/>
          <w:sz w:val="22"/>
          <w:szCs w:val="22"/>
        </w:rPr>
        <w:t xml:space="preserve"> milyon </w:t>
      </w:r>
      <w:r w:rsidR="004708CD">
        <w:rPr>
          <w:rFonts w:ascii="Arial" w:hAnsi="Arial" w:cs="Arial"/>
          <w:sz w:val="22"/>
          <w:szCs w:val="22"/>
        </w:rPr>
        <w:t>735</w:t>
      </w:r>
      <w:r>
        <w:rPr>
          <w:rFonts w:ascii="Arial" w:hAnsi="Arial" w:cs="Arial"/>
          <w:sz w:val="22"/>
          <w:szCs w:val="22"/>
        </w:rPr>
        <w:t xml:space="preserve"> bin kişi ar</w:t>
      </w:r>
      <w:r w:rsidR="00D74F1C">
        <w:rPr>
          <w:rFonts w:ascii="Arial" w:hAnsi="Arial" w:cs="Arial"/>
          <w:sz w:val="22"/>
          <w:szCs w:val="22"/>
        </w:rPr>
        <w:t>mıştır</w:t>
      </w:r>
      <w:r w:rsidRPr="00EE59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FD5657" w14:textId="77777777" w:rsidR="00EA612A" w:rsidRDefault="00EA612A" w:rsidP="00144CF8">
      <w:pPr>
        <w:pStyle w:val="BodyText"/>
        <w:rPr>
          <w:rFonts w:ascii="Arial" w:hAnsi="Arial" w:cs="Arial"/>
          <w:sz w:val="22"/>
          <w:szCs w:val="22"/>
        </w:rPr>
      </w:pPr>
    </w:p>
    <w:p w14:paraId="67201C81" w14:textId="5174E3F9" w:rsidR="002E3B04" w:rsidRPr="001D1325" w:rsidRDefault="00F77DD3" w:rsidP="00CC2DCA">
      <w:pPr>
        <w:pStyle w:val="Heading9"/>
      </w:pPr>
      <w:r w:rsidRPr="001D1325">
        <w:rPr>
          <w:rFonts w:ascii="Arial" w:hAnsi="Arial" w:cs="Arial"/>
        </w:rPr>
        <w:t xml:space="preserve">Mobil Bankacılık Kullanan </w:t>
      </w:r>
      <w:r w:rsidR="00EA612A">
        <w:rPr>
          <w:rFonts w:ascii="Arial" w:hAnsi="Arial" w:cs="Arial"/>
          <w:szCs w:val="22"/>
        </w:rPr>
        <w:t>Tekilleştirilmemiş</w:t>
      </w:r>
      <w:r w:rsidR="00EA612A" w:rsidRPr="001D1325">
        <w:rPr>
          <w:rFonts w:ascii="Arial" w:hAnsi="Arial" w:cs="Arial"/>
        </w:rPr>
        <w:t xml:space="preserve"> </w:t>
      </w:r>
      <w:r w:rsidRPr="001D1325">
        <w:rPr>
          <w:rFonts w:ascii="Arial" w:hAnsi="Arial" w:cs="Arial"/>
        </w:rPr>
        <w:t>Müşteri Sayı</w:t>
      </w:r>
      <w:r w:rsidR="002923AA">
        <w:rPr>
          <w:rFonts w:ascii="Arial" w:hAnsi="Arial" w:cs="Arial"/>
        </w:rPr>
        <w:t>ları</w:t>
      </w:r>
    </w:p>
    <w:tbl>
      <w:tblPr>
        <w:tblW w:w="785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9"/>
        <w:gridCol w:w="1124"/>
        <w:gridCol w:w="1310"/>
        <w:gridCol w:w="1133"/>
      </w:tblGrid>
      <w:tr w:rsidR="00B12600" w:rsidRPr="00803AF2" w14:paraId="368DB088" w14:textId="77777777" w:rsidTr="00B50C08">
        <w:trPr>
          <w:trHeight w:val="561"/>
          <w:jc w:val="center"/>
        </w:trPr>
        <w:tc>
          <w:tcPr>
            <w:tcW w:w="428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F27168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0F575E0" w14:textId="559FB88B" w:rsidR="00B12600" w:rsidRPr="00803AF2" w:rsidRDefault="00995EA2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 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87B7D84" w14:textId="77777777" w:rsidR="00406FCF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Mart </w:t>
            </w:r>
          </w:p>
          <w:p w14:paraId="73B7FD12" w14:textId="14652CFC" w:rsidR="00B12600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4748E8D" w14:textId="5585E46A" w:rsidR="00B12600" w:rsidRPr="00803AF2" w:rsidRDefault="00995EA2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 2025</w:t>
            </w:r>
          </w:p>
        </w:tc>
      </w:tr>
      <w:tr w:rsidR="00174A96" w:rsidRPr="00803AF2" w14:paraId="28C670AD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BA2E3D" w14:textId="77777777" w:rsidR="00174A96" w:rsidRPr="00803AF2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</w:tcPr>
          <w:p w14:paraId="258CDC63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</w:tcPr>
          <w:p w14:paraId="27EF901E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2C7893AF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B50C08" w:rsidRPr="00803AF2" w14:paraId="391F274D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DD56FE" w14:textId="77777777" w:rsidR="00B50C08" w:rsidRPr="00803AF2" w:rsidRDefault="00B50C08" w:rsidP="00B50C08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F2650" w14:textId="21A0A79F" w:rsidR="00B50C08" w:rsidRPr="00B50C08" w:rsidRDefault="00B50C08" w:rsidP="00B50C0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B50C08">
              <w:rPr>
                <w:rFonts w:ascii="Arial" w:hAnsi="Arial" w:cs="Arial"/>
                <w:sz w:val="20"/>
              </w:rPr>
              <w:t>109.060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DB54F" w14:textId="02FAAFFC" w:rsidR="00B50C08" w:rsidRPr="00B50C08" w:rsidRDefault="00B50C08" w:rsidP="00B50C08">
            <w:pPr>
              <w:jc w:val="right"/>
              <w:rPr>
                <w:rFonts w:ascii="Arial" w:hAnsi="Arial" w:cs="Arial"/>
                <w:sz w:val="20"/>
              </w:rPr>
            </w:pPr>
            <w:r w:rsidRPr="00B50C08">
              <w:rPr>
                <w:rFonts w:ascii="Arial" w:hAnsi="Arial" w:cs="Arial"/>
                <w:sz w:val="20"/>
              </w:rPr>
              <w:t>114.774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18744" w14:textId="7677C9D1" w:rsidR="00B50C08" w:rsidRPr="00B50C08" w:rsidRDefault="00B50C08" w:rsidP="00B50C08">
            <w:pPr>
              <w:jc w:val="right"/>
              <w:rPr>
                <w:rFonts w:ascii="Arial" w:hAnsi="Arial" w:cs="Arial"/>
                <w:sz w:val="20"/>
              </w:rPr>
            </w:pPr>
            <w:r w:rsidRPr="00B50C08">
              <w:rPr>
                <w:rFonts w:ascii="Arial" w:hAnsi="Arial" w:cs="Arial"/>
                <w:sz w:val="20"/>
              </w:rPr>
              <w:t>115.453</w:t>
            </w:r>
          </w:p>
        </w:tc>
      </w:tr>
      <w:tr w:rsidR="00B50C08" w:rsidRPr="00803AF2" w14:paraId="65A7D64C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338884" w14:textId="77777777" w:rsidR="00B50C08" w:rsidRPr="00803AF2" w:rsidRDefault="00B50C08" w:rsidP="00B50C08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91E1A" w14:textId="74936F28" w:rsidR="00B50C08" w:rsidRPr="00B50C08" w:rsidRDefault="00B50C08" w:rsidP="00B50C08">
            <w:pPr>
              <w:jc w:val="right"/>
              <w:rPr>
                <w:rFonts w:ascii="Arial" w:hAnsi="Arial" w:cs="Arial"/>
                <w:sz w:val="20"/>
              </w:rPr>
            </w:pPr>
            <w:r w:rsidRPr="00B50C08">
              <w:rPr>
                <w:rFonts w:ascii="Arial" w:hAnsi="Arial" w:cs="Arial"/>
                <w:sz w:val="20"/>
              </w:rPr>
              <w:t>175.802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47F86" w14:textId="704B1B26" w:rsidR="00B50C08" w:rsidRPr="00B50C08" w:rsidRDefault="00B50C08" w:rsidP="00B50C08">
            <w:pPr>
              <w:jc w:val="right"/>
              <w:rPr>
                <w:rFonts w:ascii="Arial" w:hAnsi="Arial" w:cs="Arial"/>
                <w:sz w:val="20"/>
              </w:rPr>
            </w:pPr>
            <w:r w:rsidRPr="00B50C08">
              <w:rPr>
                <w:rFonts w:ascii="Arial" w:hAnsi="Arial" w:cs="Arial"/>
                <w:sz w:val="20"/>
              </w:rPr>
              <w:t>192.975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CF45F" w14:textId="7AEB92E1" w:rsidR="00B50C08" w:rsidRPr="00B50C08" w:rsidRDefault="00B50C08" w:rsidP="00B50C08">
            <w:pPr>
              <w:jc w:val="right"/>
              <w:rPr>
                <w:rFonts w:ascii="Arial" w:hAnsi="Arial" w:cs="Arial"/>
                <w:sz w:val="20"/>
              </w:rPr>
            </w:pPr>
            <w:r w:rsidRPr="00B50C08">
              <w:rPr>
                <w:rFonts w:ascii="Arial" w:hAnsi="Arial" w:cs="Arial"/>
                <w:sz w:val="20"/>
              </w:rPr>
              <w:t>196.606</w:t>
            </w:r>
          </w:p>
        </w:tc>
      </w:tr>
      <w:tr w:rsidR="00B50C08" w:rsidRPr="00803AF2" w14:paraId="759E3061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7D3ED1" w14:textId="77777777" w:rsidR="00B50C08" w:rsidRPr="00803AF2" w:rsidRDefault="00B50C08" w:rsidP="00B50C08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F99F0" w14:textId="46F62228" w:rsidR="00B50C08" w:rsidRPr="00B50C08" w:rsidRDefault="00B50C08" w:rsidP="00B50C0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0C08">
              <w:rPr>
                <w:rFonts w:ascii="Arial" w:hAnsi="Arial" w:cs="Arial"/>
                <w:b/>
                <w:bCs/>
                <w:sz w:val="20"/>
              </w:rPr>
              <w:t>62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17E01" w14:textId="0897E11C" w:rsidR="00B50C08" w:rsidRPr="00B50C08" w:rsidRDefault="00B50C08" w:rsidP="00B50C0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0C08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BC2D5" w14:textId="33F3B156" w:rsidR="00B50C08" w:rsidRPr="00B50C08" w:rsidRDefault="00B50C08" w:rsidP="00B50C0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0C08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</w:tr>
      <w:tr w:rsidR="00F77F57" w:rsidRPr="00803AF2" w14:paraId="5547242C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FC9DB" w14:textId="77777777" w:rsidR="00F77F57" w:rsidRPr="00803AF2" w:rsidRDefault="00F77F57" w:rsidP="00F77F57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FD064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A7381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DFA47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</w:tr>
      <w:tr w:rsidR="000870DC" w:rsidRPr="00803AF2" w14:paraId="69481051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439689" w14:textId="77777777" w:rsidR="000870DC" w:rsidRPr="00803AF2" w:rsidRDefault="000870DC" w:rsidP="000870DC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2C47C" w14:textId="29B7E08F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3.973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8A428" w14:textId="2BA067D2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4.289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E8DF0" w14:textId="109ED757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4.315</w:t>
            </w:r>
          </w:p>
        </w:tc>
      </w:tr>
      <w:tr w:rsidR="000870DC" w:rsidRPr="00803AF2" w14:paraId="15BA55A1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A6F55B" w14:textId="77777777" w:rsidR="000870DC" w:rsidRPr="00803AF2" w:rsidRDefault="000870DC" w:rsidP="000870DC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F562F" w14:textId="026D5256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7.761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A36C5" w14:textId="0AAA0970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8.500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3FA69" w14:textId="72716FC8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8.728</w:t>
            </w:r>
          </w:p>
        </w:tc>
      </w:tr>
      <w:tr w:rsidR="000870DC" w:rsidRPr="00803AF2" w14:paraId="0F5CB6D9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DA73E8" w14:textId="77777777" w:rsidR="000870DC" w:rsidRPr="00803AF2" w:rsidRDefault="000870DC" w:rsidP="000870DC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D4B1F" w14:textId="466EDF27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51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7B4CF" w14:textId="40CB75B3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04D26" w14:textId="3BDAD3D9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49</w:t>
            </w:r>
          </w:p>
        </w:tc>
      </w:tr>
      <w:tr w:rsidR="00F77F57" w:rsidRPr="00803AF2" w14:paraId="67C9D041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56A0A5" w14:textId="77777777" w:rsidR="00F77F57" w:rsidRPr="00803AF2" w:rsidRDefault="00F77F57" w:rsidP="00F77F57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D9CC7" w14:textId="77777777" w:rsidR="00F77F57" w:rsidRPr="00803AF2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45908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86079" w14:textId="77777777" w:rsidR="00F77F57" w:rsidRPr="00803AF2" w:rsidRDefault="00F77F57" w:rsidP="00F77F57">
            <w:pPr>
              <w:rPr>
                <w:rFonts w:ascii="Arial" w:hAnsi="Arial" w:cs="Arial"/>
                <w:sz w:val="20"/>
              </w:rPr>
            </w:pPr>
          </w:p>
        </w:tc>
      </w:tr>
      <w:tr w:rsidR="000870DC" w:rsidRPr="00803AF2" w14:paraId="53CFC103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746B3" w14:textId="77777777" w:rsidR="000870DC" w:rsidRPr="00803AF2" w:rsidRDefault="000870DC" w:rsidP="000870DC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008E1" w14:textId="30742361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113.033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1A75C" w14:textId="69065698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119.063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E4592" w14:textId="10357EEA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119.768</w:t>
            </w:r>
          </w:p>
        </w:tc>
      </w:tr>
      <w:tr w:rsidR="000870DC" w:rsidRPr="00803AF2" w14:paraId="40770ADF" w14:textId="77777777" w:rsidTr="00B50C08">
        <w:trPr>
          <w:trHeight w:val="260"/>
          <w:jc w:val="center"/>
        </w:trPr>
        <w:tc>
          <w:tcPr>
            <w:tcW w:w="42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C7B29" w14:textId="77777777" w:rsidR="000870DC" w:rsidRPr="00803AF2" w:rsidRDefault="000870DC" w:rsidP="000870DC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DC364" w14:textId="4EB9B025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183.563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D9199" w14:textId="65D2568C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201.476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74BE2" w14:textId="62A6E206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205.334</w:t>
            </w:r>
          </w:p>
        </w:tc>
      </w:tr>
      <w:tr w:rsidR="000870DC" w:rsidRPr="00803AF2" w14:paraId="05C47651" w14:textId="77777777" w:rsidTr="00B50C08">
        <w:trPr>
          <w:trHeight w:val="79"/>
          <w:jc w:val="center"/>
        </w:trPr>
        <w:tc>
          <w:tcPr>
            <w:tcW w:w="42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FE1DA" w14:textId="77777777" w:rsidR="000870DC" w:rsidRPr="00803AF2" w:rsidRDefault="000870DC" w:rsidP="000870DC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4C81BBE" w14:textId="441424F8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BDD4706" w14:textId="151B558E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2FAACD0" w14:textId="2CB2258E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</w:tr>
    </w:tbl>
    <w:p w14:paraId="3ECAF9ED" w14:textId="12826833" w:rsidR="00F619D7" w:rsidRDefault="00F619D7" w:rsidP="00F619D7">
      <w:pPr>
        <w:pStyle w:val="BodyText"/>
        <w:rPr>
          <w:rFonts w:ascii="Arial" w:hAnsi="Arial" w:cs="Arial"/>
          <w:sz w:val="22"/>
          <w:szCs w:val="22"/>
        </w:rPr>
      </w:pPr>
    </w:p>
    <w:p w14:paraId="0BE2DC9B" w14:textId="4B123A81" w:rsidR="002E385C" w:rsidRDefault="00995EA2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 2025</w:t>
      </w:r>
      <w:r w:rsidR="002E385C" w:rsidRPr="00D74A96">
        <w:rPr>
          <w:rFonts w:ascii="Arial" w:hAnsi="Arial" w:cs="Arial"/>
          <w:sz w:val="22"/>
          <w:szCs w:val="22"/>
        </w:rPr>
        <w:t xml:space="preserve"> </w:t>
      </w:r>
      <w:r w:rsidR="002E385C">
        <w:rPr>
          <w:rFonts w:ascii="Arial" w:hAnsi="Arial" w:cs="Arial"/>
          <w:sz w:val="22"/>
          <w:szCs w:val="22"/>
        </w:rPr>
        <w:t>itibarıyla</w:t>
      </w:r>
      <w:r w:rsidR="004C0C8A">
        <w:rPr>
          <w:rFonts w:ascii="Arial" w:hAnsi="Arial" w:cs="Arial"/>
          <w:sz w:val="22"/>
          <w:szCs w:val="22"/>
        </w:rPr>
        <w:t xml:space="preserve"> tekilleştirilmemiş</w:t>
      </w:r>
      <w:r w:rsidR="002E385C" w:rsidRPr="00D74A96">
        <w:rPr>
          <w:rFonts w:ascii="Arial" w:hAnsi="Arial" w:cs="Arial"/>
          <w:sz w:val="22"/>
          <w:szCs w:val="22"/>
        </w:rPr>
        <w:t xml:space="preserve"> aktif </w:t>
      </w:r>
      <w:r w:rsidR="000B7210">
        <w:rPr>
          <w:rFonts w:ascii="Arial" w:hAnsi="Arial" w:cs="Arial"/>
          <w:sz w:val="22"/>
          <w:szCs w:val="22"/>
        </w:rPr>
        <w:t>bireysel</w:t>
      </w:r>
      <w:r w:rsidR="002E385C">
        <w:rPr>
          <w:rFonts w:ascii="Arial" w:hAnsi="Arial" w:cs="Arial"/>
          <w:sz w:val="22"/>
          <w:szCs w:val="22"/>
        </w:rPr>
        <w:t xml:space="preserve"> mobil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 </w:t>
      </w:r>
      <w:r w:rsidR="000B7210">
        <w:rPr>
          <w:rFonts w:ascii="Arial" w:hAnsi="Arial" w:cs="Arial"/>
          <w:sz w:val="22"/>
          <w:szCs w:val="22"/>
        </w:rPr>
        <w:t>11</w:t>
      </w:r>
      <w:r w:rsidR="000870DC">
        <w:rPr>
          <w:rFonts w:ascii="Arial" w:hAnsi="Arial" w:cs="Arial"/>
          <w:sz w:val="22"/>
          <w:szCs w:val="22"/>
        </w:rPr>
        <w:t xml:space="preserve">5 </w:t>
      </w:r>
      <w:r w:rsidR="002E385C" w:rsidRPr="00D74A96">
        <w:rPr>
          <w:rFonts w:ascii="Arial" w:hAnsi="Arial" w:cs="Arial"/>
          <w:sz w:val="22"/>
          <w:szCs w:val="22"/>
        </w:rPr>
        <w:t xml:space="preserve">milyon </w:t>
      </w:r>
      <w:r w:rsidR="000870DC">
        <w:rPr>
          <w:rFonts w:ascii="Arial" w:hAnsi="Arial" w:cs="Arial"/>
          <w:sz w:val="22"/>
          <w:szCs w:val="22"/>
        </w:rPr>
        <w:t>453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="002E385C" w:rsidRPr="00D74A96">
        <w:rPr>
          <w:rFonts w:ascii="Arial" w:hAnsi="Arial" w:cs="Arial"/>
          <w:sz w:val="22"/>
          <w:szCs w:val="22"/>
        </w:rPr>
        <w:t xml:space="preserve">bin kişidir. Bu miktar kayıtlı </w:t>
      </w:r>
      <w:r w:rsidR="006A590D">
        <w:rPr>
          <w:rFonts w:ascii="Arial" w:hAnsi="Arial" w:cs="Arial"/>
          <w:sz w:val="22"/>
          <w:szCs w:val="22"/>
        </w:rPr>
        <w:t>bireyse</w:t>
      </w:r>
      <w:r w:rsidR="002E385C">
        <w:rPr>
          <w:rFonts w:ascii="Arial" w:hAnsi="Arial" w:cs="Arial"/>
          <w:sz w:val="22"/>
          <w:szCs w:val="22"/>
        </w:rPr>
        <w:t>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sayısının yüzde </w:t>
      </w:r>
      <w:r w:rsidR="00B12600">
        <w:rPr>
          <w:rFonts w:ascii="Arial" w:hAnsi="Arial" w:cs="Arial"/>
          <w:sz w:val="22"/>
          <w:szCs w:val="22"/>
        </w:rPr>
        <w:t>59</w:t>
      </w:r>
      <w:r w:rsidR="002E385C" w:rsidRPr="00D74A96">
        <w:rPr>
          <w:rFonts w:ascii="Arial" w:hAnsi="Arial" w:cs="Arial"/>
          <w:sz w:val="22"/>
          <w:szCs w:val="22"/>
        </w:rPr>
        <w:t>’</w:t>
      </w:r>
      <w:r w:rsidR="00B12600">
        <w:rPr>
          <w:rFonts w:ascii="Arial" w:hAnsi="Arial" w:cs="Arial"/>
          <w:sz w:val="22"/>
          <w:szCs w:val="22"/>
        </w:rPr>
        <w:t>unu</w:t>
      </w:r>
      <w:r w:rsidR="002E385C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1935E22E" w14:textId="77777777" w:rsidR="002E385C" w:rsidRPr="008452D8" w:rsidRDefault="002E385C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BAB4473" w14:textId="3FC91CDF" w:rsidR="00350946" w:rsidRDefault="002E385C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217E7">
        <w:rPr>
          <w:rFonts w:ascii="Arial" w:hAnsi="Arial" w:cs="Arial"/>
          <w:sz w:val="22"/>
          <w:szCs w:val="22"/>
        </w:rPr>
        <w:t xml:space="preserve">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 xml:space="preserve">kurumsal müşteri sayısı, </w:t>
      </w:r>
      <w:r w:rsidR="00995EA2">
        <w:rPr>
          <w:rFonts w:ascii="Arial" w:hAnsi="Arial" w:cs="Arial"/>
          <w:sz w:val="22"/>
          <w:szCs w:val="22"/>
        </w:rPr>
        <w:t>Haziran 2025</w:t>
      </w:r>
      <w:r w:rsidRPr="00F217E7">
        <w:rPr>
          <w:rFonts w:ascii="Arial" w:hAnsi="Arial" w:cs="Arial"/>
          <w:sz w:val="22"/>
          <w:szCs w:val="22"/>
        </w:rPr>
        <w:t xml:space="preserve"> itibarıyla </w:t>
      </w:r>
      <w:r w:rsidR="00F77F57">
        <w:rPr>
          <w:rFonts w:ascii="Arial" w:hAnsi="Arial" w:cs="Arial"/>
          <w:sz w:val="22"/>
          <w:szCs w:val="22"/>
        </w:rPr>
        <w:t xml:space="preserve">8 </w:t>
      </w:r>
      <w:r w:rsidRPr="00F217E7">
        <w:rPr>
          <w:rFonts w:ascii="Arial" w:hAnsi="Arial" w:cs="Arial"/>
          <w:sz w:val="22"/>
          <w:szCs w:val="22"/>
        </w:rPr>
        <w:t xml:space="preserve">milyon </w:t>
      </w:r>
      <w:r w:rsidR="000870DC">
        <w:rPr>
          <w:rFonts w:ascii="Arial" w:hAnsi="Arial" w:cs="Arial"/>
          <w:sz w:val="22"/>
          <w:szCs w:val="22"/>
        </w:rPr>
        <w:t>728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Pr="00F217E7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>dir</w:t>
      </w:r>
      <w:r w:rsidRPr="00F217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0B7210">
        <w:rPr>
          <w:rFonts w:ascii="Arial" w:hAnsi="Arial" w:cs="Arial"/>
          <w:sz w:val="22"/>
          <w:szCs w:val="22"/>
        </w:rPr>
        <w:t>4</w:t>
      </w:r>
      <w:r w:rsidRPr="00F217E7">
        <w:rPr>
          <w:rFonts w:ascii="Arial" w:hAnsi="Arial" w:cs="Arial"/>
          <w:sz w:val="22"/>
          <w:szCs w:val="22"/>
        </w:rPr>
        <w:t xml:space="preserve"> milyon </w:t>
      </w:r>
      <w:r w:rsidR="000870DC">
        <w:rPr>
          <w:rFonts w:ascii="Arial" w:hAnsi="Arial" w:cs="Arial"/>
          <w:sz w:val="22"/>
          <w:szCs w:val="22"/>
        </w:rPr>
        <w:t>315</w:t>
      </w:r>
      <w:r w:rsidRPr="00F217E7">
        <w:rPr>
          <w:rFonts w:ascii="Arial" w:hAnsi="Arial" w:cs="Arial"/>
          <w:sz w:val="22"/>
          <w:szCs w:val="22"/>
        </w:rPr>
        <w:t xml:space="preserve"> bini (yüzde </w:t>
      </w:r>
      <w:r w:rsidR="000870DC">
        <w:rPr>
          <w:rFonts w:ascii="Arial" w:hAnsi="Arial" w:cs="Arial"/>
          <w:sz w:val="22"/>
          <w:szCs w:val="22"/>
        </w:rPr>
        <w:t>49</w:t>
      </w:r>
      <w:r w:rsidRPr="00F217E7">
        <w:rPr>
          <w:rFonts w:ascii="Arial" w:hAnsi="Arial" w:cs="Arial"/>
          <w:sz w:val="22"/>
          <w:szCs w:val="22"/>
        </w:rPr>
        <w:t>’</w:t>
      </w:r>
      <w:r w:rsidR="000870DC">
        <w:rPr>
          <w:rFonts w:ascii="Arial" w:hAnsi="Arial" w:cs="Arial"/>
          <w:sz w:val="22"/>
          <w:szCs w:val="22"/>
        </w:rPr>
        <w:t>u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8D7F32">
        <w:rPr>
          <w:rFonts w:ascii="Arial" w:hAnsi="Arial" w:cs="Arial"/>
          <w:sz w:val="22"/>
          <w:szCs w:val="22"/>
        </w:rPr>
        <w:t xml:space="preserve">son 3 ayda login olmuş </w:t>
      </w:r>
      <w:r>
        <w:rPr>
          <w:rFonts w:ascii="Arial" w:hAnsi="Arial" w:cs="Arial"/>
          <w:sz w:val="22"/>
          <w:szCs w:val="22"/>
        </w:rPr>
        <w:t>aktif kurumsal</w:t>
      </w:r>
      <w:r w:rsidR="000B7210">
        <w:rPr>
          <w:rFonts w:ascii="Arial" w:hAnsi="Arial" w:cs="Arial"/>
          <w:sz w:val="22"/>
          <w:szCs w:val="22"/>
        </w:rPr>
        <w:t xml:space="preserve"> mobil</w:t>
      </w:r>
      <w:r>
        <w:rPr>
          <w:rFonts w:ascii="Arial" w:hAnsi="Arial" w:cs="Arial"/>
          <w:sz w:val="22"/>
          <w:szCs w:val="22"/>
        </w:rPr>
        <w:t xml:space="preserve"> müşteridir</w:t>
      </w:r>
      <w:r w:rsidR="006A590D">
        <w:rPr>
          <w:rFonts w:ascii="Arial" w:hAnsi="Arial" w:cs="Arial"/>
          <w:sz w:val="22"/>
          <w:szCs w:val="22"/>
        </w:rPr>
        <w:t>.</w:t>
      </w:r>
      <w:r w:rsidR="00350946">
        <w:rPr>
          <w:rFonts w:ascii="Arial" w:hAnsi="Arial" w:cs="Arial"/>
          <w:sz w:val="22"/>
          <w:szCs w:val="22"/>
        </w:rPr>
        <w:t xml:space="preserve"> </w:t>
      </w:r>
    </w:p>
    <w:p w14:paraId="446D9B3C" w14:textId="77777777" w:rsidR="00350946" w:rsidRPr="001D1325" w:rsidRDefault="00350946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0F68884" w14:textId="77777777" w:rsidR="002923AA" w:rsidRDefault="002923A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2C4129C1" w14:textId="77777777" w:rsidR="00364091" w:rsidRDefault="00364091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0FB140A9" w14:textId="0E1160BC" w:rsidR="00090952" w:rsidRDefault="00995EA2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 2025</w:t>
      </w:r>
      <w:r w:rsidR="00906628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dönemi </w:t>
      </w:r>
      <w:r w:rsidR="006073A7" w:rsidRPr="004947E8">
        <w:rPr>
          <w:rFonts w:ascii="Arial" w:hAnsi="Arial" w:cs="Arial"/>
          <w:sz w:val="22"/>
          <w:szCs w:val="22"/>
        </w:rPr>
        <w:t>itibarıyla</w:t>
      </w:r>
      <w:r w:rsidR="003432E1" w:rsidRPr="004947E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4947E8">
        <w:rPr>
          <w:rFonts w:ascii="Arial" w:hAnsi="Arial" w:cs="Arial"/>
          <w:sz w:val="22"/>
          <w:szCs w:val="22"/>
        </w:rPr>
        <w:t>2</w:t>
      </w:r>
      <w:r w:rsidR="00263E87" w:rsidRPr="004947E8">
        <w:rPr>
          <w:rFonts w:ascii="Arial" w:hAnsi="Arial" w:cs="Arial"/>
          <w:sz w:val="22"/>
          <w:szCs w:val="22"/>
        </w:rPr>
        <w:t xml:space="preserve"> </w:t>
      </w:r>
      <w:r w:rsidR="00EB7049" w:rsidRPr="004947E8">
        <w:rPr>
          <w:rFonts w:ascii="Arial" w:hAnsi="Arial" w:cs="Arial"/>
          <w:sz w:val="22"/>
          <w:szCs w:val="22"/>
        </w:rPr>
        <w:t>milyar</w:t>
      </w:r>
      <w:r w:rsidR="00D60EB8" w:rsidRPr="004947E8">
        <w:rPr>
          <w:rFonts w:ascii="Arial" w:hAnsi="Arial" w:cs="Arial"/>
          <w:sz w:val="22"/>
          <w:szCs w:val="22"/>
        </w:rPr>
        <w:t xml:space="preserve"> </w:t>
      </w:r>
      <w:r w:rsidR="000870DC">
        <w:rPr>
          <w:rFonts w:ascii="Arial" w:hAnsi="Arial" w:cs="Arial"/>
          <w:sz w:val="22"/>
          <w:szCs w:val="22"/>
        </w:rPr>
        <w:t>553</w:t>
      </w:r>
      <w:r w:rsidR="00D60EB8" w:rsidRPr="004947E8">
        <w:rPr>
          <w:rFonts w:ascii="Arial" w:hAnsi="Arial" w:cs="Arial"/>
          <w:sz w:val="22"/>
          <w:szCs w:val="22"/>
        </w:rPr>
        <w:t xml:space="preserve"> milyon</w:t>
      </w:r>
      <w:r w:rsidR="00EB7049" w:rsidRPr="004947E8">
        <w:rPr>
          <w:rFonts w:ascii="Arial" w:hAnsi="Arial" w:cs="Arial"/>
          <w:sz w:val="22"/>
          <w:szCs w:val="22"/>
        </w:rPr>
        <w:t>, tutarı</w:t>
      </w:r>
      <w:r w:rsidR="000870DC">
        <w:rPr>
          <w:rFonts w:ascii="Arial" w:hAnsi="Arial" w:cs="Arial"/>
          <w:sz w:val="22"/>
          <w:szCs w:val="22"/>
        </w:rPr>
        <w:t xml:space="preserve"> ise</w:t>
      </w:r>
      <w:r w:rsidR="00D302CA">
        <w:rPr>
          <w:rFonts w:ascii="Arial" w:hAnsi="Arial" w:cs="Arial"/>
          <w:sz w:val="22"/>
          <w:szCs w:val="22"/>
        </w:rPr>
        <w:t xml:space="preserve"> </w:t>
      </w:r>
      <w:r w:rsidR="000870DC">
        <w:rPr>
          <w:rFonts w:ascii="Arial" w:hAnsi="Arial" w:cs="Arial"/>
          <w:sz w:val="22"/>
          <w:szCs w:val="22"/>
        </w:rPr>
        <w:t>42</w:t>
      </w:r>
      <w:r w:rsidR="00F77F57">
        <w:rPr>
          <w:rFonts w:ascii="Arial" w:hAnsi="Arial" w:cs="Arial"/>
          <w:sz w:val="22"/>
          <w:szCs w:val="22"/>
        </w:rPr>
        <w:t xml:space="preserve"> </w:t>
      </w:r>
      <w:r w:rsidR="009A0C30" w:rsidRPr="004947E8">
        <w:rPr>
          <w:rFonts w:ascii="Arial" w:hAnsi="Arial" w:cs="Arial"/>
          <w:sz w:val="22"/>
          <w:szCs w:val="22"/>
        </w:rPr>
        <w:t>trilyon</w:t>
      </w:r>
      <w:r w:rsidR="00B96151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TL olmuştur. </w:t>
      </w:r>
    </w:p>
    <w:p w14:paraId="14539907" w14:textId="77777777" w:rsidR="00227B9A" w:rsidRPr="00227B9A" w:rsidRDefault="00227B9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1E0A5AE1" w14:textId="77777777" w:rsidR="00CA1F8B" w:rsidRPr="004947E8" w:rsidRDefault="00CA1F8B" w:rsidP="00CA1F8B">
      <w:pPr>
        <w:pStyle w:val="Heading9"/>
        <w:rPr>
          <w:rFonts w:ascii="Arial" w:hAnsi="Arial" w:cs="Arial"/>
          <w:szCs w:val="22"/>
        </w:rPr>
      </w:pPr>
      <w:r w:rsidRPr="004947E8">
        <w:rPr>
          <w:rFonts w:ascii="Arial" w:hAnsi="Arial" w:cs="Arial"/>
          <w:szCs w:val="22"/>
        </w:rPr>
        <w:t>Mobil Bankacılık Finansal İşlemler</w:t>
      </w:r>
    </w:p>
    <w:p w14:paraId="0E4D2828" w14:textId="77777777" w:rsidR="00CA1F8B" w:rsidRPr="004357F6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0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1099"/>
        <w:gridCol w:w="1014"/>
        <w:gridCol w:w="1187"/>
        <w:gridCol w:w="997"/>
        <w:gridCol w:w="994"/>
        <w:gridCol w:w="1075"/>
      </w:tblGrid>
      <w:tr w:rsidR="00406FCF" w:rsidRPr="00803AF2" w14:paraId="0BB82AB2" w14:textId="77777777" w:rsidTr="00D302CA">
        <w:trPr>
          <w:trHeight w:val="290"/>
          <w:jc w:val="center"/>
        </w:trPr>
        <w:tc>
          <w:tcPr>
            <w:tcW w:w="2673" w:type="dxa"/>
            <w:tcBorders>
              <w:top w:val="nil"/>
              <w:left w:val="nil"/>
              <w:right w:val="nil"/>
            </w:tcBorders>
            <w:vAlign w:val="center"/>
          </w:tcPr>
          <w:p w14:paraId="410A45C5" w14:textId="77777777" w:rsidR="00406FCF" w:rsidRPr="00803AF2" w:rsidRDefault="00406FCF" w:rsidP="00406F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5C8347" w14:textId="75CF631D" w:rsidR="00406FCF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 2024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251D7A" w14:textId="7B274634" w:rsidR="00406FCF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80292A" w14:textId="6E7B6B1F" w:rsidR="00406FCF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 2025</w:t>
            </w:r>
          </w:p>
        </w:tc>
      </w:tr>
      <w:tr w:rsidR="00CA1F8B" w:rsidRPr="00803AF2" w14:paraId="6F7932FC" w14:textId="77777777" w:rsidTr="00F77F57">
        <w:trPr>
          <w:trHeight w:val="263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4A9AA6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B9DAF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D1213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F2B320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B093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C5DB0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A730E5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90A0D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35948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1E8500B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0870DC" w:rsidRPr="00803AF2" w14:paraId="2F87964E" w14:textId="77777777" w:rsidTr="00F77F57">
        <w:trPr>
          <w:trHeight w:val="250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A5EAD4" w14:textId="77777777" w:rsidR="000870DC" w:rsidRPr="00803AF2" w:rsidRDefault="000870DC" w:rsidP="000870DC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E9577" w14:textId="18D86B78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0870DC">
              <w:rPr>
                <w:rFonts w:ascii="Arial" w:hAnsi="Arial" w:cs="Arial"/>
                <w:sz w:val="20"/>
              </w:rPr>
              <w:t>1.530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8D6E3" w14:textId="21E5D50E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17.378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A871" w14:textId="5DA7239F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1.569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D90F" w14:textId="77216C7B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24.235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DDE67" w14:textId="6707B951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1.613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F9FA" w14:textId="4C382004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27.076</w:t>
            </w:r>
          </w:p>
        </w:tc>
      </w:tr>
      <w:tr w:rsidR="000870DC" w:rsidRPr="00803AF2" w14:paraId="39A575C2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9E07CC" w14:textId="77777777" w:rsidR="000870DC" w:rsidRPr="00803AF2" w:rsidRDefault="000870DC" w:rsidP="000870DC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E18AA" w14:textId="168FCC7B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51FD5" w14:textId="29C912DE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818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DB6A" w14:textId="0218F99D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82B5B" w14:textId="32E336F3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1.227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FE3B" w14:textId="46220F4C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CB71" w14:textId="75A51C99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1.278</w:t>
            </w:r>
          </w:p>
        </w:tc>
      </w:tr>
      <w:tr w:rsidR="000870DC" w:rsidRPr="00803AF2" w14:paraId="2C405FBE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A366CD" w14:textId="77777777" w:rsidR="000870DC" w:rsidRPr="00803AF2" w:rsidRDefault="000870DC" w:rsidP="000870DC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B7959" w14:textId="7300196C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B31FC" w14:textId="4B578FBF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6.674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648A" w14:textId="1E326176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2F3BA" w14:textId="3F44F459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9.216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E822" w14:textId="74D991DD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237B8" w14:textId="619607C2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9.530</w:t>
            </w:r>
          </w:p>
        </w:tc>
      </w:tr>
      <w:tr w:rsidR="000870DC" w:rsidRPr="00803AF2" w14:paraId="40677AEA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5C3F5" w14:textId="1250822A" w:rsidR="000870DC" w:rsidRPr="00803AF2" w:rsidRDefault="000870DC" w:rsidP="000870DC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  <w:r w:rsidR="0021188B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B4FDE" w14:textId="504BEDD3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3C486" w14:textId="03ACDDEB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2.121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3075" w14:textId="7EF72932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C1F0" w14:textId="3D49F6D3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2.915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EC7F7" w14:textId="55660CDD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15EA" w14:textId="24317114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3.276</w:t>
            </w:r>
          </w:p>
        </w:tc>
      </w:tr>
      <w:tr w:rsidR="000870DC" w:rsidRPr="00803AF2" w14:paraId="3096F197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E332BB" w14:textId="77777777" w:rsidR="000870DC" w:rsidRPr="00803AF2" w:rsidRDefault="000870DC" w:rsidP="000870DC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E13F7" w14:textId="7F11A77C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0B104" w14:textId="0ADD741F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908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A877" w14:textId="1862F54E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B80B" w14:textId="1466AD8B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1.265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5D89" w14:textId="57B52BA0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FF497" w14:textId="23972BBF" w:rsidR="000870DC" w:rsidRPr="000870DC" w:rsidRDefault="000870DC" w:rsidP="000870DC">
            <w:pPr>
              <w:jc w:val="right"/>
              <w:rPr>
                <w:rFonts w:ascii="Arial" w:hAnsi="Arial" w:cs="Arial"/>
                <w:sz w:val="20"/>
              </w:rPr>
            </w:pPr>
            <w:r w:rsidRPr="000870DC">
              <w:rPr>
                <w:rFonts w:ascii="Arial" w:hAnsi="Arial" w:cs="Arial"/>
                <w:sz w:val="20"/>
              </w:rPr>
              <w:t>1.239</w:t>
            </w:r>
          </w:p>
        </w:tc>
      </w:tr>
      <w:tr w:rsidR="000870DC" w:rsidRPr="00803AF2" w14:paraId="776A5F13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F0930" w14:textId="77777777" w:rsidR="000870DC" w:rsidRPr="00803AF2" w:rsidRDefault="000870DC" w:rsidP="000870DC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0D05021" w14:textId="4098113F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2.483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29EC5B8" w14:textId="6A588173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27.898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142BD7" w14:textId="056580FC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2.535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E2A4A8" w14:textId="2472878C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38.859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D39ACD" w14:textId="5BC39E46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2.553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E64ED0" w14:textId="45903C87" w:rsidR="000870DC" w:rsidRPr="000870DC" w:rsidRDefault="000870DC" w:rsidP="000870D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70DC">
              <w:rPr>
                <w:rFonts w:ascii="Arial" w:hAnsi="Arial" w:cs="Arial"/>
                <w:b/>
                <w:bCs/>
                <w:sz w:val="20"/>
              </w:rPr>
              <w:t>42.399</w:t>
            </w:r>
          </w:p>
        </w:tc>
      </w:tr>
    </w:tbl>
    <w:p w14:paraId="5E44B8F4" w14:textId="77777777" w:rsidR="0021188B" w:rsidRPr="0021188B" w:rsidRDefault="0021188B" w:rsidP="0021188B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21188B">
        <w:rPr>
          <w:rFonts w:ascii="Arial" w:hAnsi="Arial" w:cs="Arial"/>
          <w:i/>
          <w:sz w:val="16"/>
          <w:szCs w:val="16"/>
        </w:rPr>
        <w:t>*</w:t>
      </w:r>
      <w:r w:rsidRPr="0021188B">
        <w:rPr>
          <w:rFonts w:ascii="Arial" w:hAnsi="Arial" w:cs="Arial"/>
          <w:bCs/>
          <w:i/>
          <w:sz w:val="16"/>
          <w:szCs w:val="16"/>
        </w:rPr>
        <w:t>Nisan-Haziran 2024 ve Ocak-Mart 2025 dönemi verileri revize edilmiştir.</w:t>
      </w:r>
    </w:p>
    <w:p w14:paraId="46CE40C1" w14:textId="77777777"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0FB92FC" w14:textId="4516FA54" w:rsidR="000720E8" w:rsidRDefault="00090952" w:rsidP="00D3173A">
      <w:pPr>
        <w:pStyle w:val="BodyText"/>
      </w:pPr>
      <w:r w:rsidRPr="004947E8">
        <w:rPr>
          <w:rFonts w:ascii="Arial" w:hAnsi="Arial" w:cs="Arial"/>
          <w:sz w:val="22"/>
          <w:szCs w:val="22"/>
        </w:rPr>
        <w:t>EFT, havale ve döviz transferi işlemlerini kapsayan para transferleri, finansal işlem hacminin yüzde 6</w:t>
      </w:r>
      <w:r w:rsidR="000870DC">
        <w:rPr>
          <w:rFonts w:ascii="Arial" w:hAnsi="Arial" w:cs="Arial"/>
          <w:sz w:val="22"/>
          <w:szCs w:val="22"/>
        </w:rPr>
        <w:t>4</w:t>
      </w:r>
      <w:r w:rsidR="00E94F45">
        <w:rPr>
          <w:rFonts w:ascii="Arial" w:hAnsi="Arial" w:cs="Arial"/>
          <w:sz w:val="22"/>
          <w:szCs w:val="22"/>
        </w:rPr>
        <w:t>’</w:t>
      </w:r>
      <w:r w:rsidR="000870DC">
        <w:rPr>
          <w:rFonts w:ascii="Arial" w:hAnsi="Arial" w:cs="Arial"/>
          <w:sz w:val="22"/>
          <w:szCs w:val="22"/>
        </w:rPr>
        <w:t>ünü</w:t>
      </w:r>
      <w:r w:rsidRPr="004947E8">
        <w:rPr>
          <w:rFonts w:ascii="Arial" w:hAnsi="Arial" w:cs="Arial"/>
          <w:sz w:val="22"/>
          <w:szCs w:val="22"/>
        </w:rPr>
        <w:t>, yatırım işlemleri ise yüzde 2</w:t>
      </w:r>
      <w:r w:rsidR="000870DC">
        <w:rPr>
          <w:rFonts w:ascii="Arial" w:hAnsi="Arial" w:cs="Arial"/>
          <w:sz w:val="22"/>
          <w:szCs w:val="22"/>
        </w:rPr>
        <w:t>2’sini</w:t>
      </w:r>
      <w:r w:rsidRPr="004947E8">
        <w:rPr>
          <w:rFonts w:ascii="Arial" w:hAnsi="Arial" w:cs="Arial"/>
          <w:sz w:val="22"/>
          <w:szCs w:val="22"/>
        </w:rPr>
        <w:t xml:space="preserve"> oluşturmuştur.</w:t>
      </w:r>
    </w:p>
    <w:p w14:paraId="1D8E3FF6" w14:textId="77777777" w:rsidR="000720E8" w:rsidRPr="00D6736C" w:rsidRDefault="000720E8" w:rsidP="00D3173A">
      <w:pPr>
        <w:pStyle w:val="BodyText"/>
      </w:pPr>
    </w:p>
    <w:p w14:paraId="66ED1E80" w14:textId="110CC61D"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B46D6D" w:rsidSect="009C4B7C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8ABB" w14:textId="77777777" w:rsidR="003B15E8" w:rsidRDefault="003B15E8">
      <w:r>
        <w:separator/>
      </w:r>
    </w:p>
  </w:endnote>
  <w:endnote w:type="continuationSeparator" w:id="0">
    <w:p w14:paraId="4C4E8DDF" w14:textId="77777777" w:rsidR="003B15E8" w:rsidRDefault="003B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3BC9" w14:textId="77777777" w:rsidR="00227B9A" w:rsidRDefault="00227B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A721F" w14:textId="77777777" w:rsidR="00227B9A" w:rsidRDefault="00227B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2FB5" w14:textId="238493D8" w:rsidR="00227B9A" w:rsidRPr="004A3CA1" w:rsidRDefault="00227B9A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ve Mobil Bankacılık İstatistikleri / </w:t>
    </w:r>
    <w:r w:rsidR="00995EA2">
      <w:rPr>
        <w:rFonts w:ascii="Arial" w:hAnsi="Arial" w:cs="Arial"/>
        <w:sz w:val="18"/>
        <w:szCs w:val="18"/>
      </w:rPr>
      <w:t>Haziran 2025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21188B">
      <w:rPr>
        <w:rFonts w:ascii="Arial" w:hAnsi="Arial" w:cs="Arial"/>
        <w:noProof/>
        <w:sz w:val="18"/>
        <w:szCs w:val="18"/>
      </w:rPr>
      <w:t>ii</w:t>
    </w:r>
    <w:r w:rsidRPr="00EC613F">
      <w:rPr>
        <w:rFonts w:ascii="Arial" w:hAnsi="Arial" w:cs="Arial"/>
        <w:sz w:val="18"/>
        <w:szCs w:val="18"/>
      </w:rPr>
      <w:fldChar w:fldCharType="end"/>
    </w:r>
  </w:p>
  <w:p w14:paraId="4E32EE8C" w14:textId="77777777" w:rsidR="00227B9A" w:rsidRDefault="00227B9A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CA11" w14:textId="77777777" w:rsidR="00227B9A" w:rsidRPr="00325942" w:rsidRDefault="00227B9A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14:paraId="15C19943" w14:textId="77777777" w:rsidR="00227B9A" w:rsidRDefault="00227B9A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/Eylül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14:paraId="3F2163D3" w14:textId="77777777" w:rsidR="00227B9A" w:rsidRPr="00371F55" w:rsidRDefault="00227B9A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7413E" w14:textId="77777777" w:rsidR="003B15E8" w:rsidRDefault="003B15E8">
      <w:r>
        <w:separator/>
      </w:r>
    </w:p>
  </w:footnote>
  <w:footnote w:type="continuationSeparator" w:id="0">
    <w:p w14:paraId="25C33149" w14:textId="77777777" w:rsidR="003B15E8" w:rsidRDefault="003B15E8">
      <w:r>
        <w:continuationSeparator/>
      </w:r>
    </w:p>
  </w:footnote>
  <w:footnote w:id="1">
    <w:p w14:paraId="40A0CD18" w14:textId="77777777" w:rsidR="00227B9A" w:rsidRPr="00227B9A" w:rsidRDefault="00227B9A" w:rsidP="00F06EBF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Mevduat bankaları ile kalkınma ve yatırım bankalarını kapsamaktadır. Katılım bankaları dahil değildir. Bankaların verisi toplulaştırılırken bankalar arasında müşteri sayıları tekilleştirilmemiştir.</w:t>
      </w:r>
    </w:p>
  </w:footnote>
  <w:footnote w:id="2">
    <w:p w14:paraId="73E8F5F8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Aktif Müşteri Sayısı=Son üç ay içinde en az bir kez işlem yapmış (login olması yeterli)  toplam müşteri sayısı</w:t>
      </w:r>
    </w:p>
    <w:p w14:paraId="4B312CA5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  <w:highlight w:val="yellow"/>
        </w:rPr>
      </w:pPr>
      <w:r w:rsidRPr="00227B9A">
        <w:rPr>
          <w:rFonts w:ascii="Arial" w:hAnsi="Arial" w:cs="Arial"/>
          <w:sz w:val="18"/>
          <w:szCs w:val="18"/>
        </w:rPr>
        <w:t xml:space="preserve">  Dijital Bankacılık Müşteri Sayısı = Sadece internet bankacılığı kullanan müşteri sayısı + Sadece mobil bankacılık kullanan müşteri sayısı + Hem internet hem mobil bankacılık kullanan müşteri sayısı </w:t>
      </w:r>
    </w:p>
    <w:p w14:paraId="388A9207" w14:textId="77777777" w:rsidR="00227B9A" w:rsidRPr="00F06EBF" w:rsidRDefault="00227B9A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3D2FE" w14:textId="77777777" w:rsidR="00227B9A" w:rsidRDefault="00227B9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753FB7" wp14:editId="4E19FB17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55C27041" wp14:editId="1F5951B8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844"/>
    <w:rsid w:val="00001BF4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516"/>
    <w:rsid w:val="00043CFD"/>
    <w:rsid w:val="00044557"/>
    <w:rsid w:val="00045AD7"/>
    <w:rsid w:val="00045C37"/>
    <w:rsid w:val="00046C3E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6565"/>
    <w:rsid w:val="00067583"/>
    <w:rsid w:val="00067CD4"/>
    <w:rsid w:val="00070107"/>
    <w:rsid w:val="00071173"/>
    <w:rsid w:val="000720E8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870DC"/>
    <w:rsid w:val="0009049A"/>
    <w:rsid w:val="00090952"/>
    <w:rsid w:val="00092BC2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5806"/>
    <w:rsid w:val="000B7210"/>
    <w:rsid w:val="000B7E10"/>
    <w:rsid w:val="000C1048"/>
    <w:rsid w:val="000C1782"/>
    <w:rsid w:val="000C2123"/>
    <w:rsid w:val="000C3A2B"/>
    <w:rsid w:val="000C3A41"/>
    <w:rsid w:val="000C4966"/>
    <w:rsid w:val="000C50E1"/>
    <w:rsid w:val="000C7067"/>
    <w:rsid w:val="000C7A01"/>
    <w:rsid w:val="000D0205"/>
    <w:rsid w:val="000D1E4F"/>
    <w:rsid w:val="000D1F70"/>
    <w:rsid w:val="000D2E0D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1ABD"/>
    <w:rsid w:val="001021D5"/>
    <w:rsid w:val="0010403F"/>
    <w:rsid w:val="001063C6"/>
    <w:rsid w:val="0011067A"/>
    <w:rsid w:val="00111577"/>
    <w:rsid w:val="0011338E"/>
    <w:rsid w:val="001140C6"/>
    <w:rsid w:val="00115A6F"/>
    <w:rsid w:val="00120D0D"/>
    <w:rsid w:val="001238EC"/>
    <w:rsid w:val="001260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5C53"/>
    <w:rsid w:val="001B73CB"/>
    <w:rsid w:val="001C056A"/>
    <w:rsid w:val="001C07A0"/>
    <w:rsid w:val="001C267E"/>
    <w:rsid w:val="001C5356"/>
    <w:rsid w:val="001C5531"/>
    <w:rsid w:val="001C7DC4"/>
    <w:rsid w:val="001D1325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5E81"/>
    <w:rsid w:val="002063DF"/>
    <w:rsid w:val="00210177"/>
    <w:rsid w:val="002104F4"/>
    <w:rsid w:val="002110C8"/>
    <w:rsid w:val="0021188B"/>
    <w:rsid w:val="00211E25"/>
    <w:rsid w:val="002136C9"/>
    <w:rsid w:val="002141F7"/>
    <w:rsid w:val="00214D37"/>
    <w:rsid w:val="0021519A"/>
    <w:rsid w:val="002159C9"/>
    <w:rsid w:val="00215E15"/>
    <w:rsid w:val="00216E22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27B9A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67A8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5606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8792D"/>
    <w:rsid w:val="002923AA"/>
    <w:rsid w:val="002951D5"/>
    <w:rsid w:val="002953BF"/>
    <w:rsid w:val="00297123"/>
    <w:rsid w:val="002A0A76"/>
    <w:rsid w:val="002A117F"/>
    <w:rsid w:val="002A1679"/>
    <w:rsid w:val="002A1998"/>
    <w:rsid w:val="002A20DD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1CB8"/>
    <w:rsid w:val="002B2DCF"/>
    <w:rsid w:val="002B571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5BB"/>
    <w:rsid w:val="002D484F"/>
    <w:rsid w:val="002D4DDC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85C"/>
    <w:rsid w:val="002E3B04"/>
    <w:rsid w:val="002E3C52"/>
    <w:rsid w:val="002E725F"/>
    <w:rsid w:val="002E73FB"/>
    <w:rsid w:val="002F064B"/>
    <w:rsid w:val="002F2B50"/>
    <w:rsid w:val="002F3261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2E7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946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091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6DBA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15E8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2DB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58F"/>
    <w:rsid w:val="00404FBF"/>
    <w:rsid w:val="004051A2"/>
    <w:rsid w:val="0040540C"/>
    <w:rsid w:val="00405C9E"/>
    <w:rsid w:val="00406FCF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1365"/>
    <w:rsid w:val="00432510"/>
    <w:rsid w:val="004327DA"/>
    <w:rsid w:val="004352CA"/>
    <w:rsid w:val="004357F6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3BD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AB4"/>
    <w:rsid w:val="00464F25"/>
    <w:rsid w:val="00465175"/>
    <w:rsid w:val="004660D7"/>
    <w:rsid w:val="0046665E"/>
    <w:rsid w:val="004708CD"/>
    <w:rsid w:val="00470F07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243"/>
    <w:rsid w:val="00486C3A"/>
    <w:rsid w:val="0049205C"/>
    <w:rsid w:val="00493725"/>
    <w:rsid w:val="004937DB"/>
    <w:rsid w:val="004939A2"/>
    <w:rsid w:val="00494789"/>
    <w:rsid w:val="004947E8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79F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0C8A"/>
    <w:rsid w:val="004C1742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0749"/>
    <w:rsid w:val="0051281B"/>
    <w:rsid w:val="005132AE"/>
    <w:rsid w:val="005149C7"/>
    <w:rsid w:val="00516874"/>
    <w:rsid w:val="00516C10"/>
    <w:rsid w:val="0051735C"/>
    <w:rsid w:val="005210A5"/>
    <w:rsid w:val="0052132C"/>
    <w:rsid w:val="005223B8"/>
    <w:rsid w:val="005234BF"/>
    <w:rsid w:val="005240DD"/>
    <w:rsid w:val="00525A7E"/>
    <w:rsid w:val="00526DCA"/>
    <w:rsid w:val="00527632"/>
    <w:rsid w:val="00527AF3"/>
    <w:rsid w:val="00531039"/>
    <w:rsid w:val="00531162"/>
    <w:rsid w:val="0053180A"/>
    <w:rsid w:val="00531E49"/>
    <w:rsid w:val="005321C6"/>
    <w:rsid w:val="005321E7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257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0F0A"/>
    <w:rsid w:val="005915D6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66C6"/>
    <w:rsid w:val="005E7FF2"/>
    <w:rsid w:val="005F16C6"/>
    <w:rsid w:val="005F3853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4485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0DE4"/>
    <w:rsid w:val="00643502"/>
    <w:rsid w:val="00643948"/>
    <w:rsid w:val="0064648A"/>
    <w:rsid w:val="006466D8"/>
    <w:rsid w:val="0064789F"/>
    <w:rsid w:val="00650285"/>
    <w:rsid w:val="00650709"/>
    <w:rsid w:val="00650EC2"/>
    <w:rsid w:val="0065131A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28F"/>
    <w:rsid w:val="006A5465"/>
    <w:rsid w:val="006A590D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6C4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25E4"/>
    <w:rsid w:val="006F3269"/>
    <w:rsid w:val="006F37A9"/>
    <w:rsid w:val="006F4596"/>
    <w:rsid w:val="007015E9"/>
    <w:rsid w:val="00703D29"/>
    <w:rsid w:val="00703E5A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0375"/>
    <w:rsid w:val="00731477"/>
    <w:rsid w:val="007317AD"/>
    <w:rsid w:val="00731D73"/>
    <w:rsid w:val="00731EAC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1237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6BEF"/>
    <w:rsid w:val="007B7C24"/>
    <w:rsid w:val="007C146E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176"/>
    <w:rsid w:val="00803460"/>
    <w:rsid w:val="00803AF2"/>
    <w:rsid w:val="00804C3E"/>
    <w:rsid w:val="008069B2"/>
    <w:rsid w:val="00806C71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26B9"/>
    <w:rsid w:val="0083335C"/>
    <w:rsid w:val="00833D9B"/>
    <w:rsid w:val="008357EC"/>
    <w:rsid w:val="008362BF"/>
    <w:rsid w:val="0083641C"/>
    <w:rsid w:val="008377C6"/>
    <w:rsid w:val="008427AE"/>
    <w:rsid w:val="0084285B"/>
    <w:rsid w:val="008452D8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2AB2"/>
    <w:rsid w:val="008951EE"/>
    <w:rsid w:val="008953D2"/>
    <w:rsid w:val="00896393"/>
    <w:rsid w:val="0089675B"/>
    <w:rsid w:val="008969DA"/>
    <w:rsid w:val="008A2E80"/>
    <w:rsid w:val="008A30A1"/>
    <w:rsid w:val="008A3B91"/>
    <w:rsid w:val="008A42C7"/>
    <w:rsid w:val="008A4E51"/>
    <w:rsid w:val="008A707D"/>
    <w:rsid w:val="008B00A3"/>
    <w:rsid w:val="008B0171"/>
    <w:rsid w:val="008B0202"/>
    <w:rsid w:val="008B1B2E"/>
    <w:rsid w:val="008B2F2A"/>
    <w:rsid w:val="008B3601"/>
    <w:rsid w:val="008B4754"/>
    <w:rsid w:val="008B4FA3"/>
    <w:rsid w:val="008B63DE"/>
    <w:rsid w:val="008B67EC"/>
    <w:rsid w:val="008B6E32"/>
    <w:rsid w:val="008B6ECA"/>
    <w:rsid w:val="008B7729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D730E"/>
    <w:rsid w:val="008D7F32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38D"/>
    <w:rsid w:val="008F4588"/>
    <w:rsid w:val="008F4CA4"/>
    <w:rsid w:val="008F6225"/>
    <w:rsid w:val="008F6374"/>
    <w:rsid w:val="009006EA"/>
    <w:rsid w:val="00901789"/>
    <w:rsid w:val="00905F44"/>
    <w:rsid w:val="00906338"/>
    <w:rsid w:val="00906628"/>
    <w:rsid w:val="009074D0"/>
    <w:rsid w:val="00910371"/>
    <w:rsid w:val="00910517"/>
    <w:rsid w:val="0091095B"/>
    <w:rsid w:val="00911352"/>
    <w:rsid w:val="0091333A"/>
    <w:rsid w:val="0091427C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277B2"/>
    <w:rsid w:val="0093039A"/>
    <w:rsid w:val="0093090F"/>
    <w:rsid w:val="00930C53"/>
    <w:rsid w:val="009327EB"/>
    <w:rsid w:val="00932C46"/>
    <w:rsid w:val="0093314D"/>
    <w:rsid w:val="00934591"/>
    <w:rsid w:val="0093649B"/>
    <w:rsid w:val="009365BC"/>
    <w:rsid w:val="00937638"/>
    <w:rsid w:val="00940846"/>
    <w:rsid w:val="0094273D"/>
    <w:rsid w:val="0094288B"/>
    <w:rsid w:val="00942FD2"/>
    <w:rsid w:val="00943915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5EA2"/>
    <w:rsid w:val="009967A6"/>
    <w:rsid w:val="00996840"/>
    <w:rsid w:val="009A0B4C"/>
    <w:rsid w:val="009A0C30"/>
    <w:rsid w:val="009A38EB"/>
    <w:rsid w:val="009A6289"/>
    <w:rsid w:val="009A6496"/>
    <w:rsid w:val="009B2168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2DD5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3C46"/>
    <w:rsid w:val="00A24190"/>
    <w:rsid w:val="00A26AE3"/>
    <w:rsid w:val="00A27689"/>
    <w:rsid w:val="00A27AD2"/>
    <w:rsid w:val="00A30BA9"/>
    <w:rsid w:val="00A340C1"/>
    <w:rsid w:val="00A34B9B"/>
    <w:rsid w:val="00A36D6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00F6"/>
    <w:rsid w:val="00A718D1"/>
    <w:rsid w:val="00A727B8"/>
    <w:rsid w:val="00A73562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58E7"/>
    <w:rsid w:val="00A9798E"/>
    <w:rsid w:val="00A97A2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476E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46F0"/>
    <w:rsid w:val="00AD57CB"/>
    <w:rsid w:val="00AD7412"/>
    <w:rsid w:val="00AD7456"/>
    <w:rsid w:val="00AE0A74"/>
    <w:rsid w:val="00AE1576"/>
    <w:rsid w:val="00AE2F54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600"/>
    <w:rsid w:val="00B1270B"/>
    <w:rsid w:val="00B12DF7"/>
    <w:rsid w:val="00B13BDF"/>
    <w:rsid w:val="00B13C21"/>
    <w:rsid w:val="00B15F06"/>
    <w:rsid w:val="00B160A1"/>
    <w:rsid w:val="00B16366"/>
    <w:rsid w:val="00B2259B"/>
    <w:rsid w:val="00B22B3D"/>
    <w:rsid w:val="00B25087"/>
    <w:rsid w:val="00B25CF9"/>
    <w:rsid w:val="00B27062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4FD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45B07"/>
    <w:rsid w:val="00B46D6D"/>
    <w:rsid w:val="00B508B1"/>
    <w:rsid w:val="00B50C08"/>
    <w:rsid w:val="00B5111B"/>
    <w:rsid w:val="00B51FF3"/>
    <w:rsid w:val="00B528D9"/>
    <w:rsid w:val="00B53B4F"/>
    <w:rsid w:val="00B53F3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09FF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CE2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606"/>
    <w:rsid w:val="00BC2CC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2B7C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6A1F"/>
    <w:rsid w:val="00C372E1"/>
    <w:rsid w:val="00C404D6"/>
    <w:rsid w:val="00C40EE6"/>
    <w:rsid w:val="00C41DA6"/>
    <w:rsid w:val="00C441DC"/>
    <w:rsid w:val="00C44F1F"/>
    <w:rsid w:val="00C4560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4BD2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8EC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71D5"/>
    <w:rsid w:val="00CC03CB"/>
    <w:rsid w:val="00CC0D82"/>
    <w:rsid w:val="00CC0DDA"/>
    <w:rsid w:val="00CC1A05"/>
    <w:rsid w:val="00CC2C46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1B38"/>
    <w:rsid w:val="00D03AE9"/>
    <w:rsid w:val="00D043A4"/>
    <w:rsid w:val="00D04705"/>
    <w:rsid w:val="00D04D23"/>
    <w:rsid w:val="00D056ED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02CA"/>
    <w:rsid w:val="00D3173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75E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6C"/>
    <w:rsid w:val="00D67391"/>
    <w:rsid w:val="00D67F71"/>
    <w:rsid w:val="00D72319"/>
    <w:rsid w:val="00D7240B"/>
    <w:rsid w:val="00D73587"/>
    <w:rsid w:val="00D73B03"/>
    <w:rsid w:val="00D74A96"/>
    <w:rsid w:val="00D74F1C"/>
    <w:rsid w:val="00D75253"/>
    <w:rsid w:val="00D75F0E"/>
    <w:rsid w:val="00D75FB8"/>
    <w:rsid w:val="00D76500"/>
    <w:rsid w:val="00D81430"/>
    <w:rsid w:val="00D81C22"/>
    <w:rsid w:val="00D825AC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28E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3490"/>
    <w:rsid w:val="00E64106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4F45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12A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B7BBB"/>
    <w:rsid w:val="00EC0D5C"/>
    <w:rsid w:val="00EC1115"/>
    <w:rsid w:val="00EC12EA"/>
    <w:rsid w:val="00EC207B"/>
    <w:rsid w:val="00EC368A"/>
    <w:rsid w:val="00EC5451"/>
    <w:rsid w:val="00EC613F"/>
    <w:rsid w:val="00EC71CE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934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0E8"/>
    <w:rsid w:val="00F07949"/>
    <w:rsid w:val="00F07F1F"/>
    <w:rsid w:val="00F10E64"/>
    <w:rsid w:val="00F10EB6"/>
    <w:rsid w:val="00F11EAC"/>
    <w:rsid w:val="00F12172"/>
    <w:rsid w:val="00F123FA"/>
    <w:rsid w:val="00F134BF"/>
    <w:rsid w:val="00F13FA1"/>
    <w:rsid w:val="00F14712"/>
    <w:rsid w:val="00F15CF2"/>
    <w:rsid w:val="00F20986"/>
    <w:rsid w:val="00F2130A"/>
    <w:rsid w:val="00F21457"/>
    <w:rsid w:val="00F217E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3CA5"/>
    <w:rsid w:val="00F547BD"/>
    <w:rsid w:val="00F55E9C"/>
    <w:rsid w:val="00F5652B"/>
    <w:rsid w:val="00F565BE"/>
    <w:rsid w:val="00F565C7"/>
    <w:rsid w:val="00F57939"/>
    <w:rsid w:val="00F602A2"/>
    <w:rsid w:val="00F602B7"/>
    <w:rsid w:val="00F60736"/>
    <w:rsid w:val="00F619D7"/>
    <w:rsid w:val="00F61B07"/>
    <w:rsid w:val="00F62C50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77F57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0A5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B722C"/>
    <w:rsid w:val="00FB7356"/>
    <w:rsid w:val="00FC07B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34D4A9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  <w:style w:type="paragraph" w:styleId="Revision">
    <w:name w:val="Revision"/>
    <w:hidden/>
    <w:uiPriority w:val="99"/>
    <w:semiHidden/>
    <w:rsid w:val="00D317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06-25\1&#304;nternet%20Bankac&#305;l&#305;&#287;&#305;%20Raporu-Haziran%202025(toplula&#351;t&#305;r&#305;lm&#305;&#351;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6-25\1&#304;nternet%20Bankac&#305;l&#305;&#287;&#305;%20Raporu-Haziran%202025(toplula&#351;t&#305;r&#305;lm&#305;&#351;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6-25\1&#304;nternet%20Bankac&#305;l&#305;&#287;&#305;%20Raporu-Haziran%202025(toplula&#351;t&#305;r&#305;lm&#305;&#351;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r>
              <a:rPr lang="tr-TR" sz="11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rPr>
              <a:t>Tekilleştirilmemiş Aktif Diijtal Bankacılık Müşteri Sayısı (milyon kişi)</a:t>
            </a:r>
          </a:p>
        </c:rich>
      </c:tx>
      <c:layout>
        <c:manualLayout>
          <c:xMode val="edge"/>
          <c:yMode val="edge"/>
          <c:x val="0.12711894852450611"/>
          <c:y val="2.904032440961851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311430961012871E-2"/>
          <c:y val="0.17607379402484435"/>
          <c:w val="0.90641672351872593"/>
          <c:h val="0.67688817983939009"/>
        </c:manualLayout>
      </c:layout>
      <c:lineChart>
        <c:grouping val="stacked"/>
        <c:varyColors val="0"/>
        <c:ser>
          <c:idx val="0"/>
          <c:order val="0"/>
          <c:tx>
            <c:strRef>
              <c:f>data!$E$91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>
              <a:solidFill>
                <a:srgbClr val="1F497D">
                  <a:lumMod val="50000"/>
                </a:srgbClr>
              </a:solidFill>
            </a:ln>
          </c:spPr>
          <c:marker>
            <c:spPr>
              <a:solidFill>
                <a:srgbClr val="1F497D">
                  <a:lumMod val="50000"/>
                </a:srgbClr>
              </a:solidFill>
              <a:ln>
                <a:solidFill>
                  <a:srgbClr val="1F497D">
                    <a:lumMod val="50000"/>
                  </a:srgbClr>
                </a:solidFill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data!$A$92:$A$96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Haziran 2025</c:v>
                </c:pt>
              </c:strCache>
            </c:strRef>
          </c:cat>
          <c:val>
            <c:numRef>
              <c:f>data!$E$92:$E$96</c:f>
              <c:numCache>
                <c:formatCode>#,##0</c:formatCode>
                <c:ptCount val="5"/>
                <c:pt idx="0">
                  <c:v>77.931625999999994</c:v>
                </c:pt>
                <c:pt idx="1">
                  <c:v>94.390203</c:v>
                </c:pt>
                <c:pt idx="2">
                  <c:v>110.587728</c:v>
                </c:pt>
                <c:pt idx="3">
                  <c:v>119.15988299999999</c:v>
                </c:pt>
                <c:pt idx="4">
                  <c:v>120.99863000000001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C79-4AF5-B077-0A0AFCB570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4277944"/>
        <c:axId val="1"/>
      </c:lineChart>
      <c:catAx>
        <c:axId val="634277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30"/>
          <c:min val="50"/>
        </c:scaling>
        <c:delete val="1"/>
        <c:axPos val="l"/>
        <c:numFmt formatCode="#,##0" sourceLinked="1"/>
        <c:majorTickMark val="out"/>
        <c:minorTickMark val="none"/>
        <c:tickLblPos val="nextTo"/>
        <c:crossAx val="634277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data!$B$72</c:f>
              <c:strCache>
                <c:ptCount val="1"/>
                <c:pt idx="0">
                  <c:v>Haziran 2025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B6-4BDE-81D7-5AB7F2FC6C74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B6-4BDE-81D7-5AB7F2FC6C74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BB6-4BDE-81D7-5AB7F2FC6C74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BB6-4BDE-81D7-5AB7F2FC6C7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/>
                </a:pPr>
                <a:endParaRPr lang="tr-T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data!$A$73:$A$74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data!$B$73:$B$74</c:f>
              <c:numCache>
                <c:formatCode>#,##0</c:formatCode>
                <c:ptCount val="2"/>
                <c:pt idx="0">
                  <c:v>41340.5718261</c:v>
                </c:pt>
                <c:pt idx="1">
                  <c:v>74841.025173899994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B6-4BDE-81D7-5AB7F2FC6C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3147916843614635"/>
          <c:y val="0.84842558092510501"/>
          <c:w val="0.44841443612985232"/>
          <c:h val="8.9887887025673241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/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data!$B$77</c:f>
              <c:strCache>
                <c:ptCount val="1"/>
                <c:pt idx="0">
                  <c:v>Haziran 2025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data!$A$78:$A$83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data!$B$78:$B$83</c:f>
              <c:numCache>
                <c:formatCode>#,##0</c:formatCode>
                <c:ptCount val="6"/>
                <c:pt idx="0">
                  <c:v>738.62603720000004</c:v>
                </c:pt>
                <c:pt idx="1">
                  <c:v>20331.042896800001</c:v>
                </c:pt>
                <c:pt idx="2">
                  <c:v>30634.517269600001</c:v>
                </c:pt>
                <c:pt idx="3">
                  <c:v>47236.644054799996</c:v>
                </c:pt>
                <c:pt idx="4">
                  <c:v>11217.096485200002</c:v>
                </c:pt>
                <c:pt idx="5">
                  <c:v>6023.6702564000007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09-49C9-8134-81F78581E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4278928"/>
        <c:axId val="1"/>
      </c:barChart>
      <c:catAx>
        <c:axId val="63427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title>
          <c:tx>
            <c:rich>
              <a:bodyPr rot="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r>
                  <a:rPr lang="tr-TR" sz="900">
                    <a:latin typeface="Arial" panose="020B0604020202020204" pitchFamily="34" charset="0"/>
                    <a:cs typeface="Arial" panose="020B0604020202020204" pitchFamily="34" charset="0"/>
                  </a:rPr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750610992903E-2"/>
              <c:y val="2.4178812754788628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634278928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97E5-1044-45FA-9E4C-559EF2F2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950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Küçük</cp:lastModifiedBy>
  <cp:revision>18</cp:revision>
  <cp:lastPrinted>2025-08-11T06:32:00Z</cp:lastPrinted>
  <dcterms:created xsi:type="dcterms:W3CDTF">2025-05-15T08:50:00Z</dcterms:created>
  <dcterms:modified xsi:type="dcterms:W3CDTF">2025-08-11T08:41:00Z</dcterms:modified>
</cp:coreProperties>
</file>