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A62D" w14:textId="77777777" w:rsidR="00F950A5" w:rsidRDefault="00F950A5" w:rsidP="00C0073E">
      <w:pPr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4C7721FD" w:rsidR="006A5465" w:rsidRPr="00D84197" w:rsidRDefault="001211B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 2025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1C5F948E" w:rsidR="001B580B" w:rsidRPr="007826D1" w:rsidRDefault="001B580B" w:rsidP="00CB12B8">
      <w:pPr>
        <w:pStyle w:val="BodyText"/>
        <w:rPr>
          <w:rFonts w:ascii="Arial" w:hAnsi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 xml:space="preserve">net bankacılığı hizmeti veren </w:t>
      </w:r>
      <w:r w:rsidR="00F12172">
        <w:rPr>
          <w:rFonts w:ascii="Arial" w:hAnsi="Arial" w:cs="Arial"/>
          <w:sz w:val="22"/>
          <w:szCs w:val="22"/>
        </w:rPr>
        <w:t>3</w:t>
      </w:r>
      <w:r w:rsidR="007826D1">
        <w:rPr>
          <w:rFonts w:ascii="Arial" w:hAnsi="Arial" w:cs="Arial"/>
          <w:sz w:val="22"/>
          <w:szCs w:val="22"/>
        </w:rPr>
        <w:t>3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7826D1">
        <w:rPr>
          <w:rFonts w:ascii="Arial" w:hAnsi="Arial"/>
          <w:sz w:val="22"/>
          <w:szCs w:val="22"/>
        </w:rPr>
        <w:t>8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4CDE6A19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826D1">
        <w:rPr>
          <w:rFonts w:ascii="Arial" w:hAnsi="Arial" w:cs="Arial"/>
          <w:b/>
          <w:color w:val="000000"/>
          <w:sz w:val="22"/>
          <w:szCs w:val="22"/>
        </w:rPr>
        <w:t xml:space="preserve"> yaklaşık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>1</w:t>
      </w:r>
      <w:r w:rsidR="00F12172">
        <w:rPr>
          <w:rFonts w:ascii="Arial" w:hAnsi="Arial" w:cs="Arial"/>
          <w:b/>
          <w:color w:val="000000"/>
          <w:sz w:val="22"/>
          <w:szCs w:val="22"/>
        </w:rPr>
        <w:t>2</w:t>
      </w:r>
      <w:r w:rsidR="007826D1">
        <w:rPr>
          <w:rFonts w:ascii="Arial" w:hAnsi="Arial" w:cs="Arial"/>
          <w:b/>
          <w:color w:val="000000"/>
          <w:sz w:val="22"/>
          <w:szCs w:val="22"/>
        </w:rPr>
        <w:t>8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1B7B268F" w:rsidR="00471B63" w:rsidRDefault="001211BC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F12172">
        <w:rPr>
          <w:rFonts w:ascii="Arial" w:hAnsi="Arial" w:cs="Arial"/>
          <w:sz w:val="22"/>
          <w:szCs w:val="22"/>
        </w:rPr>
        <w:t>12</w:t>
      </w:r>
      <w:r w:rsidR="007826D1">
        <w:rPr>
          <w:rFonts w:ascii="Arial" w:hAnsi="Arial" w:cs="Arial"/>
          <w:sz w:val="22"/>
          <w:szCs w:val="22"/>
        </w:rPr>
        <w:t>7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7826D1">
        <w:rPr>
          <w:rFonts w:ascii="Arial" w:hAnsi="Arial" w:cs="Arial"/>
          <w:sz w:val="22"/>
          <w:szCs w:val="22"/>
        </w:rPr>
        <w:t>677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7826D1">
        <w:rPr>
          <w:rFonts w:ascii="Arial" w:hAnsi="Arial" w:cs="Arial"/>
          <w:sz w:val="22"/>
          <w:szCs w:val="22"/>
        </w:rPr>
        <w:t>79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F12172">
        <w:rPr>
          <w:rFonts w:ascii="Arial" w:hAnsi="Arial" w:cs="Arial"/>
          <w:sz w:val="22"/>
          <w:szCs w:val="22"/>
        </w:rPr>
        <w:t>1</w:t>
      </w:r>
      <w:r w:rsidR="007826D1">
        <w:rPr>
          <w:rFonts w:ascii="Arial" w:hAnsi="Arial" w:cs="Arial"/>
          <w:sz w:val="22"/>
          <w:szCs w:val="22"/>
        </w:rPr>
        <w:t>9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7826D1">
        <w:rPr>
          <w:rFonts w:ascii="Arial" w:hAnsi="Arial" w:cs="Arial"/>
          <w:sz w:val="22"/>
          <w:szCs w:val="22"/>
        </w:rPr>
        <w:t>780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B50C08">
        <w:rPr>
          <w:rFonts w:ascii="Arial" w:hAnsi="Arial" w:cs="Arial"/>
          <w:sz w:val="22"/>
          <w:szCs w:val="22"/>
        </w:rPr>
        <w:t>6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7826D1">
        <w:rPr>
          <w:rFonts w:ascii="Arial" w:hAnsi="Arial" w:cs="Arial"/>
          <w:sz w:val="22"/>
          <w:szCs w:val="22"/>
        </w:rPr>
        <w:t>818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4B3331B2" w:rsidR="009277B2" w:rsidRPr="00730375" w:rsidRDefault="007826D1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6064A97" wp14:editId="5A088040">
            <wp:extent cx="5803900" cy="2038350"/>
            <wp:effectExtent l="0" t="0" r="6350" b="0"/>
            <wp:docPr id="209092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D443645-6E69-40DC-6557-2549ACA0F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182199" w14:textId="77777777" w:rsidR="000C7A01" w:rsidRDefault="000C7A01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1B87D216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262F31">
        <w:rPr>
          <w:rFonts w:ascii="Arial" w:hAnsi="Arial" w:cs="Arial"/>
          <w:sz w:val="22"/>
          <w:szCs w:val="22"/>
        </w:rPr>
        <w:t>8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7826D1">
        <w:rPr>
          <w:rFonts w:ascii="Arial" w:hAnsi="Arial" w:cs="Arial"/>
          <w:sz w:val="22"/>
          <w:szCs w:val="22"/>
        </w:rPr>
        <w:t>554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374"/>
        <w:gridCol w:w="1418"/>
        <w:gridCol w:w="1374"/>
      </w:tblGrid>
      <w:tr w:rsidR="00C4560F" w:rsidRPr="00470F07" w14:paraId="5598AAC7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</w:tcPr>
          <w:p w14:paraId="736EBE7A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8E50FE" w14:textId="32609059" w:rsidR="00C4560F" w:rsidRPr="00470F07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61816" w14:textId="3B576590" w:rsidR="00C4560F" w:rsidRPr="00470F07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 2025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96C88E" w14:textId="24142456" w:rsidR="00C4560F" w:rsidRPr="00470F07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</w:tr>
      <w:tr w:rsidR="007826D1" w:rsidRPr="00470F07" w14:paraId="396F962E" w14:textId="77777777" w:rsidTr="001E6F27">
        <w:trPr>
          <w:trHeight w:val="133"/>
        </w:trPr>
        <w:tc>
          <w:tcPr>
            <w:tcW w:w="4809" w:type="dxa"/>
            <w:tcBorders>
              <w:top w:val="single" w:sz="4" w:space="0" w:color="auto"/>
              <w:left w:val="nil"/>
              <w:right w:val="nil"/>
            </w:tcBorders>
          </w:tcPr>
          <w:p w14:paraId="5CDC812A" w14:textId="156ABFAF" w:rsidR="007826D1" w:rsidRPr="00470F07" w:rsidRDefault="007826D1" w:rsidP="007826D1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  <w:r w:rsidR="00FF1D06">
              <w:rPr>
                <w:rFonts w:ascii="Arial" w:hAnsi="Arial" w:cs="Arial"/>
                <w:b/>
                <w:bCs/>
                <w:sz w:val="20"/>
                <w:lang w:eastAsia="tr-TR"/>
              </w:rPr>
              <w:t>*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53FF2E" w14:textId="1CFA2974" w:rsidR="007826D1" w:rsidRDefault="007826D1" w:rsidP="007826D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119.123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B712FCC" w14:textId="73EDB06C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126.062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4385C5" w14:textId="171921DA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127.677</w:t>
            </w:r>
          </w:p>
        </w:tc>
      </w:tr>
      <w:tr w:rsidR="007826D1" w:rsidRPr="00470F07" w14:paraId="5B6B5309" w14:textId="77777777" w:rsidTr="001E6F27">
        <w:trPr>
          <w:trHeight w:val="133"/>
        </w:trPr>
        <w:tc>
          <w:tcPr>
            <w:tcW w:w="4809" w:type="dxa"/>
            <w:tcBorders>
              <w:left w:val="nil"/>
              <w:right w:val="nil"/>
            </w:tcBorders>
          </w:tcPr>
          <w:p w14:paraId="08E144B9" w14:textId="2AA71412" w:rsidR="007826D1" w:rsidRPr="00470F07" w:rsidRDefault="007826D1" w:rsidP="007826D1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  <w:r w:rsidR="00FF1D06">
              <w:rPr>
                <w:rFonts w:ascii="Arial" w:hAnsi="Arial" w:cs="Arial"/>
                <w:sz w:val="20"/>
                <w:lang w:eastAsia="tr-TR"/>
              </w:rPr>
              <w:t>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1F2F" w14:textId="08C42F19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2DD4" w14:textId="29C97BE0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2377" w14:textId="2F004DC1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4.948</w:t>
            </w:r>
          </w:p>
        </w:tc>
      </w:tr>
      <w:tr w:rsidR="007826D1" w:rsidRPr="00470F07" w14:paraId="7B8A092C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F5D730F" w14:textId="77777777" w:rsidR="007826D1" w:rsidRPr="00470F07" w:rsidRDefault="007826D1" w:rsidP="007826D1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3EAC6" w14:textId="3D80E188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B673" w14:textId="33D97ED4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121.126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E31D1" w14:textId="60F1F623" w:rsidR="007826D1" w:rsidRDefault="007826D1" w:rsidP="007826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122.729</w:t>
            </w:r>
          </w:p>
        </w:tc>
      </w:tr>
    </w:tbl>
    <w:p w14:paraId="798ECC8D" w14:textId="3255820B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</w:t>
      </w:r>
      <w:r w:rsidR="00FF1D06" w:rsidRPr="0021188B">
        <w:rPr>
          <w:rFonts w:ascii="Arial" w:hAnsi="Arial" w:cs="Arial"/>
          <w:i/>
          <w:sz w:val="16"/>
          <w:szCs w:val="16"/>
        </w:rPr>
        <w:t>*</w:t>
      </w:r>
      <w:r w:rsidR="00FF1D06">
        <w:rPr>
          <w:rFonts w:ascii="Arial" w:hAnsi="Arial" w:cs="Arial"/>
          <w:i/>
          <w:sz w:val="16"/>
          <w:szCs w:val="16"/>
        </w:rPr>
        <w:t xml:space="preserve">Aralık 2024 ve </w:t>
      </w:r>
      <w:r w:rsidR="00FF1D06">
        <w:rPr>
          <w:rFonts w:ascii="Arial" w:hAnsi="Arial" w:cs="Arial"/>
          <w:bCs/>
          <w:i/>
          <w:sz w:val="16"/>
          <w:szCs w:val="16"/>
        </w:rPr>
        <w:t>Eylül 2025</w:t>
      </w:r>
      <w:r w:rsidR="00FF1D06"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  <w:r w:rsidRPr="00470F07">
        <w:rPr>
          <w:rFonts w:ascii="Arial" w:hAnsi="Arial" w:cs="Arial"/>
          <w:sz w:val="20"/>
          <w:lang w:eastAsia="tr-TR"/>
        </w:rPr>
        <w:t xml:space="preserve">        </w:t>
      </w:r>
    </w:p>
    <w:p w14:paraId="3F7A21E6" w14:textId="77777777" w:rsidR="00FF1D06" w:rsidRPr="00FF1D06" w:rsidRDefault="00FF1D06" w:rsidP="004C0B4B">
      <w:pPr>
        <w:pStyle w:val="BodyText"/>
        <w:rPr>
          <w:rFonts w:ascii="Arial" w:hAnsi="Arial" w:cs="Arial"/>
          <w:sz w:val="16"/>
          <w:szCs w:val="16"/>
        </w:rPr>
      </w:pPr>
    </w:p>
    <w:p w14:paraId="160FB3C8" w14:textId="132CF9DC" w:rsidR="006A590D" w:rsidRDefault="001211BC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</w:t>
      </w:r>
      <w:r w:rsidR="007826D1">
        <w:rPr>
          <w:rFonts w:ascii="Arial" w:hAnsi="Arial" w:cs="Arial"/>
          <w:sz w:val="22"/>
          <w:szCs w:val="22"/>
        </w:rPr>
        <w:t>2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</w:t>
      </w:r>
      <w:r w:rsidR="007826D1">
        <w:rPr>
          <w:rFonts w:ascii="Arial" w:hAnsi="Arial" w:cs="Arial"/>
          <w:sz w:val="22"/>
          <w:szCs w:val="22"/>
        </w:rPr>
        <w:t>729</w:t>
      </w:r>
      <w:r w:rsidR="00B27062">
        <w:rPr>
          <w:rFonts w:ascii="Arial" w:hAnsi="Arial" w:cs="Arial"/>
          <w:sz w:val="22"/>
          <w:szCs w:val="22"/>
        </w:rPr>
        <w:t xml:space="preserve">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7826D1">
        <w:rPr>
          <w:rFonts w:ascii="Arial" w:hAnsi="Arial" w:cs="Arial"/>
          <w:sz w:val="22"/>
          <w:szCs w:val="22"/>
        </w:rPr>
        <w:t>948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</w:p>
    <w:p w14:paraId="7370CA5B" w14:textId="0382C350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 xml:space="preserve">yaklaşık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7826D1">
        <w:rPr>
          <w:rFonts w:ascii="Arial" w:hAnsi="Arial" w:cs="Arial"/>
          <w:sz w:val="22"/>
          <w:szCs w:val="22"/>
        </w:rPr>
        <w:t>9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9B2168">
        <w:rPr>
          <w:rFonts w:ascii="Arial" w:hAnsi="Arial" w:cs="Arial"/>
          <w:sz w:val="22"/>
          <w:szCs w:val="22"/>
        </w:rPr>
        <w:t>4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4</w:t>
      </w:r>
      <w:r w:rsidR="007826D1">
        <w:rPr>
          <w:rFonts w:ascii="Arial" w:hAnsi="Arial" w:cs="Arial"/>
          <w:sz w:val="22"/>
          <w:szCs w:val="22"/>
        </w:rPr>
        <w:t>4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9B2168">
        <w:rPr>
          <w:rFonts w:ascii="Arial" w:hAnsi="Arial" w:cs="Arial"/>
          <w:sz w:val="22"/>
          <w:szCs w:val="22"/>
        </w:rPr>
        <w:t>6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03499ED3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t xml:space="preserve"> </w:t>
      </w:r>
      <w:r w:rsidR="007826D1">
        <w:rPr>
          <w:noProof/>
        </w:rPr>
        <w:drawing>
          <wp:inline distT="0" distB="0" distL="0" distR="0" wp14:anchorId="6CE04E5D" wp14:editId="1E9C6EA2">
            <wp:extent cx="2038555" cy="1660832"/>
            <wp:effectExtent l="0" t="0" r="0" b="0"/>
            <wp:docPr id="6458747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79C2D3F-CD3A-2B07-7F8B-4D6F0A2FBB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826D1">
        <w:rPr>
          <w:noProof/>
        </w:rPr>
        <w:drawing>
          <wp:inline distT="0" distB="0" distL="0" distR="0" wp14:anchorId="3A5EB43C" wp14:editId="724CEC5A">
            <wp:extent cx="3538330" cy="1979295"/>
            <wp:effectExtent l="0" t="0" r="5080" b="1905"/>
            <wp:docPr id="6158081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5A7C353-1AB7-1F9B-FBF3-A6295449C1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2C154C6A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7826D1">
        <w:rPr>
          <w:rFonts w:ascii="Arial" w:hAnsi="Arial" w:cs="Arial"/>
          <w:sz w:val="22"/>
          <w:szCs w:val="22"/>
        </w:rPr>
        <w:t xml:space="preserve"> yaklaşık</w:t>
      </w:r>
      <w:r w:rsidR="00AC08E0">
        <w:rPr>
          <w:rFonts w:ascii="Arial" w:hAnsi="Arial" w:cs="Arial"/>
          <w:sz w:val="22"/>
          <w:szCs w:val="22"/>
        </w:rPr>
        <w:t xml:space="preserve"> </w:t>
      </w:r>
      <w:r w:rsidR="007826D1">
        <w:rPr>
          <w:rFonts w:ascii="Arial" w:hAnsi="Arial" w:cs="Arial"/>
          <w:sz w:val="22"/>
          <w:szCs w:val="22"/>
        </w:rPr>
        <w:t>50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36-55 yaş grubu almaktadır. Bunu,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A73562" w:rsidRPr="00A73562">
        <w:rPr>
          <w:rFonts w:ascii="Arial" w:hAnsi="Arial" w:cs="Arial"/>
          <w:sz w:val="22"/>
          <w:szCs w:val="22"/>
        </w:rPr>
        <w:t>3</w:t>
      </w:r>
      <w:r w:rsidR="00AC08E0">
        <w:rPr>
          <w:rFonts w:ascii="Arial" w:hAnsi="Arial" w:cs="Arial"/>
          <w:sz w:val="22"/>
          <w:szCs w:val="22"/>
        </w:rPr>
        <w:t>2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B12600">
        <w:rPr>
          <w:rFonts w:ascii="Arial" w:hAnsi="Arial" w:cs="Arial"/>
          <w:sz w:val="22"/>
          <w:szCs w:val="22"/>
        </w:rPr>
        <w:t>2</w:t>
      </w:r>
      <w:r w:rsidR="00AC08E0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166B5B11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</w:t>
      </w:r>
      <w:r w:rsidR="00B50C08">
        <w:rPr>
          <w:rFonts w:ascii="Arial" w:hAnsi="Arial" w:cs="Arial"/>
          <w:sz w:val="22"/>
          <w:szCs w:val="22"/>
        </w:rPr>
        <w:t>7</w:t>
      </w:r>
      <w:r w:rsidR="00C3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AC08E0">
        <w:rPr>
          <w:rFonts w:ascii="Arial" w:hAnsi="Arial" w:cs="Arial"/>
          <w:sz w:val="22"/>
          <w:szCs w:val="22"/>
        </w:rPr>
        <w:t>8</w:t>
      </w:r>
      <w:r w:rsidR="0072417A">
        <w:rPr>
          <w:rFonts w:ascii="Arial" w:hAnsi="Arial" w:cs="Arial"/>
          <w:sz w:val="22"/>
          <w:szCs w:val="22"/>
        </w:rPr>
        <w:t>97</w:t>
      </w:r>
      <w:r w:rsidR="00B50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 kişidir. B</w:t>
      </w:r>
      <w:r w:rsidRPr="00EE5934">
        <w:rPr>
          <w:rFonts w:ascii="Arial" w:hAnsi="Arial" w:cs="Arial"/>
          <w:sz w:val="22"/>
          <w:szCs w:val="22"/>
        </w:rPr>
        <w:t xml:space="preserve">ir önceki </w:t>
      </w:r>
      <w:r w:rsidR="00F10C27">
        <w:rPr>
          <w:rFonts w:ascii="Arial" w:hAnsi="Arial" w:cs="Arial"/>
          <w:sz w:val="22"/>
          <w:szCs w:val="22"/>
        </w:rPr>
        <w:t xml:space="preserve">yılın aynı </w:t>
      </w:r>
      <w:r w:rsidRPr="00EE5934">
        <w:rPr>
          <w:rFonts w:ascii="Arial" w:hAnsi="Arial" w:cs="Arial"/>
          <w:sz w:val="22"/>
          <w:szCs w:val="22"/>
        </w:rPr>
        <w:t>döne</w:t>
      </w:r>
      <w:r w:rsidR="00F10C27">
        <w:rPr>
          <w:rFonts w:ascii="Arial" w:hAnsi="Arial" w:cs="Arial"/>
          <w:sz w:val="22"/>
          <w:szCs w:val="22"/>
        </w:rPr>
        <w:t>mine</w:t>
      </w:r>
      <w:r w:rsidRPr="00EE5934">
        <w:rPr>
          <w:rFonts w:ascii="Arial" w:hAnsi="Arial" w:cs="Arial"/>
          <w:sz w:val="22"/>
          <w:szCs w:val="22"/>
        </w:rPr>
        <w:t xml:space="preserve"> göre </w:t>
      </w:r>
      <w:r w:rsidR="0072417A">
        <w:rPr>
          <w:rFonts w:ascii="Arial" w:hAnsi="Arial" w:cs="Arial"/>
          <w:sz w:val="22"/>
          <w:szCs w:val="22"/>
        </w:rPr>
        <w:t>1 milyon 582</w:t>
      </w:r>
      <w:r w:rsidR="00297123"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72417A">
        <w:rPr>
          <w:rFonts w:ascii="Arial" w:hAnsi="Arial" w:cs="Arial"/>
          <w:sz w:val="22"/>
          <w:szCs w:val="22"/>
        </w:rPr>
        <w:t>azal</w:t>
      </w:r>
      <w:r w:rsidRPr="00EE5934">
        <w:rPr>
          <w:rFonts w:ascii="Arial" w:hAnsi="Arial" w:cs="Arial"/>
          <w:sz w:val="22"/>
          <w:szCs w:val="22"/>
        </w:rPr>
        <w:t>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75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1027"/>
        <w:gridCol w:w="1173"/>
        <w:gridCol w:w="1091"/>
      </w:tblGrid>
      <w:tr w:rsidR="00B12600" w:rsidRPr="00803AF2" w14:paraId="02EDD479" w14:textId="77777777" w:rsidTr="001E6F27">
        <w:trPr>
          <w:trHeight w:val="513"/>
          <w:jc w:val="center"/>
        </w:trPr>
        <w:tc>
          <w:tcPr>
            <w:tcW w:w="4254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4257D7A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4B7CC6" w14:textId="1F28660A" w:rsidR="00B12600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100675" w14:textId="4B94B7FF" w:rsidR="00406FCF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</w:p>
          <w:p w14:paraId="63FE8E65" w14:textId="271A392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9AA0F" w14:textId="7D541474" w:rsidR="00B12600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</w:tr>
      <w:tr w:rsidR="004A379F" w:rsidRPr="00803AF2" w14:paraId="0743EE5B" w14:textId="77777777" w:rsidTr="001E6F27">
        <w:trPr>
          <w:trHeight w:val="345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78FCE352" w14:textId="77777777" w:rsidR="004A379F" w:rsidRPr="00803AF2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9B7EE" w14:textId="77777777" w:rsidR="004A379F" w:rsidRPr="00803AF2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1E8AC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E5B3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417A" w:rsidRPr="00803AF2" w14:paraId="50E4E2F2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541BC2DE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FA620" w14:textId="56C4AED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7.962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ED8C" w14:textId="4DD1507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D81F" w14:textId="2AD1C84E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6.408</w:t>
            </w:r>
          </w:p>
        </w:tc>
      </w:tr>
      <w:tr w:rsidR="0072417A" w:rsidRPr="00803AF2" w14:paraId="6103823E" w14:textId="77777777" w:rsidTr="001E6F27">
        <w:trPr>
          <w:trHeight w:val="129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77E334E7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17DB3" w14:textId="4C8D5467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103.587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1891" w14:textId="449E751D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108.550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32AA" w14:textId="27A223C1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108.582</w:t>
            </w:r>
          </w:p>
        </w:tc>
      </w:tr>
      <w:tr w:rsidR="0072417A" w:rsidRPr="00803AF2" w14:paraId="2CB9FB98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5349D96A" w14:textId="77777777" w:rsidR="0072417A" w:rsidRPr="00803AF2" w:rsidRDefault="0072417A" w:rsidP="0072417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9DA2" w14:textId="174861C9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3FCC" w14:textId="6F8F9BAA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36D2" w14:textId="6B88CE34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72417A" w:rsidRPr="00803AF2" w14:paraId="5D526750" w14:textId="77777777" w:rsidTr="001E6F27">
        <w:trPr>
          <w:trHeight w:val="237"/>
          <w:jc w:val="center"/>
        </w:trPr>
        <w:tc>
          <w:tcPr>
            <w:tcW w:w="4254" w:type="dxa"/>
            <w:vAlign w:val="center"/>
          </w:tcPr>
          <w:p w14:paraId="2E812D66" w14:textId="57147C98" w:rsidR="0072417A" w:rsidRPr="00803AF2" w:rsidRDefault="0072417A" w:rsidP="0072417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  <w:r w:rsidR="00FF1D0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674A" w14:textId="77777777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556E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24BE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</w:p>
        </w:tc>
      </w:tr>
      <w:tr w:rsidR="0072417A" w:rsidRPr="00803AF2" w14:paraId="7FCB0D0A" w14:textId="77777777" w:rsidTr="001E6F27">
        <w:trPr>
          <w:trHeight w:val="158"/>
          <w:jc w:val="center"/>
        </w:trPr>
        <w:tc>
          <w:tcPr>
            <w:tcW w:w="4254" w:type="dxa"/>
            <w:vAlign w:val="center"/>
          </w:tcPr>
          <w:p w14:paraId="3D523D2E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1F4BD" w14:textId="27DE2BDD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1.517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6C722" w14:textId="34C0C3F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24057" w14:textId="7125FCF9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1.489</w:t>
            </w:r>
          </w:p>
        </w:tc>
      </w:tr>
      <w:tr w:rsidR="0072417A" w:rsidRPr="00803AF2" w14:paraId="57CBA8B8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2BC024C2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bottom"/>
          </w:tcPr>
          <w:p w14:paraId="054EDE27" w14:textId="5990D82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5.578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vAlign w:val="bottom"/>
          </w:tcPr>
          <w:p w14:paraId="3DAD3012" w14:textId="790C11D7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5.905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bottom"/>
          </w:tcPr>
          <w:p w14:paraId="3819FB54" w14:textId="508F1408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5.907</w:t>
            </w:r>
          </w:p>
        </w:tc>
      </w:tr>
      <w:tr w:rsidR="0072417A" w:rsidRPr="00803AF2" w14:paraId="7D1E1E55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17985B71" w14:textId="77777777" w:rsidR="0072417A" w:rsidRPr="00803AF2" w:rsidRDefault="0072417A" w:rsidP="0072417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bottom"/>
          </w:tcPr>
          <w:p w14:paraId="4AF8C468" w14:textId="554B885B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vAlign w:val="bottom"/>
          </w:tcPr>
          <w:p w14:paraId="4493B920" w14:textId="18A0DE10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bottom"/>
          </w:tcPr>
          <w:p w14:paraId="7231D750" w14:textId="6A10E4F5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72417A" w:rsidRPr="00803AF2" w14:paraId="4651E9F7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1B004AC5" w14:textId="47FCBF31" w:rsidR="0072417A" w:rsidRPr="00803AF2" w:rsidRDefault="0072417A" w:rsidP="0072417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  <w:r w:rsidR="00FF1D0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vAlign w:val="bottom"/>
          </w:tcPr>
          <w:p w14:paraId="754120BC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  <w:vAlign w:val="bottom"/>
          </w:tcPr>
          <w:p w14:paraId="5E91BCD6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vAlign w:val="bottom"/>
          </w:tcPr>
          <w:p w14:paraId="1806575B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</w:p>
        </w:tc>
      </w:tr>
      <w:tr w:rsidR="0072417A" w:rsidRPr="00803AF2" w14:paraId="0861A73C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4F899381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8F7B" w14:textId="3616A242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9.479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956CB" w14:textId="5CF608F1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7.762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3A65A" w14:textId="5CFC6A7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7.897</w:t>
            </w:r>
          </w:p>
        </w:tc>
      </w:tr>
      <w:tr w:rsidR="0072417A" w:rsidRPr="00803AF2" w14:paraId="21154C79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255968CA" w14:textId="77777777" w:rsidR="0072417A" w:rsidRPr="00803AF2" w:rsidRDefault="0072417A" w:rsidP="0072417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5C580" w14:textId="6FBE14FA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109.165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C193" w14:textId="72E716C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114.455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D0AD4" w14:textId="0B4D1197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114.489</w:t>
            </w:r>
          </w:p>
        </w:tc>
      </w:tr>
      <w:tr w:rsidR="0072417A" w:rsidRPr="00803AF2" w14:paraId="611E69C5" w14:textId="77777777" w:rsidTr="001E6F27">
        <w:trPr>
          <w:trHeight w:val="357"/>
          <w:jc w:val="center"/>
        </w:trPr>
        <w:tc>
          <w:tcPr>
            <w:tcW w:w="42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60F76" w14:textId="77777777" w:rsidR="0072417A" w:rsidRPr="00803AF2" w:rsidRDefault="0072417A" w:rsidP="0072417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C17A8" w14:textId="2734A58C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245031" w14:textId="3AA63181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251835" w14:textId="0AD19481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</w:tbl>
    <w:p w14:paraId="1AD125F7" w14:textId="77777777" w:rsidR="00FF1D06" w:rsidRPr="00470F07" w:rsidRDefault="00FF1D06" w:rsidP="00FF1D06">
      <w:pPr>
        <w:rPr>
          <w:rFonts w:ascii="Arial" w:hAnsi="Arial" w:cs="Arial"/>
          <w:sz w:val="20"/>
          <w:lang w:eastAsia="tr-TR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Aralık 2024 ve </w:t>
      </w:r>
      <w:r>
        <w:rPr>
          <w:rFonts w:ascii="Arial" w:hAnsi="Arial" w:cs="Arial"/>
          <w:bCs/>
          <w:i/>
          <w:sz w:val="16"/>
          <w:szCs w:val="16"/>
        </w:rPr>
        <w:t>Eylül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  <w:r w:rsidRPr="00470F07">
        <w:rPr>
          <w:rFonts w:ascii="Arial" w:hAnsi="Arial" w:cs="Arial"/>
          <w:sz w:val="20"/>
          <w:lang w:eastAsia="tr-TR"/>
        </w:rPr>
        <w:t xml:space="preserve">        </w:t>
      </w:r>
    </w:p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6A381A9A" w:rsidR="00F950A5" w:rsidRDefault="001211BC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72417A">
        <w:rPr>
          <w:rFonts w:ascii="Arial" w:hAnsi="Arial" w:cs="Arial"/>
          <w:sz w:val="22"/>
          <w:szCs w:val="22"/>
        </w:rPr>
        <w:t>408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>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s</w:t>
      </w:r>
      <w:r w:rsidR="00B50C08">
        <w:rPr>
          <w:rFonts w:ascii="Arial" w:hAnsi="Arial" w:cs="Arial"/>
          <w:sz w:val="22"/>
          <w:szCs w:val="22"/>
        </w:rPr>
        <w:t>ını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14D3B077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1211BC">
        <w:rPr>
          <w:rFonts w:ascii="Arial" w:hAnsi="Arial" w:cs="Arial"/>
          <w:sz w:val="22"/>
          <w:szCs w:val="22"/>
        </w:rPr>
        <w:t>Aralık 2025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72417A">
        <w:rPr>
          <w:rFonts w:ascii="Arial" w:hAnsi="Arial" w:cs="Arial"/>
          <w:sz w:val="22"/>
          <w:szCs w:val="22"/>
        </w:rPr>
        <w:t>5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72417A">
        <w:rPr>
          <w:rFonts w:ascii="Arial" w:hAnsi="Arial" w:cs="Arial"/>
          <w:sz w:val="22"/>
          <w:szCs w:val="22"/>
        </w:rPr>
        <w:t>907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72417A">
        <w:rPr>
          <w:rFonts w:ascii="Arial" w:hAnsi="Arial" w:cs="Arial"/>
          <w:sz w:val="22"/>
          <w:szCs w:val="22"/>
        </w:rPr>
        <w:t>489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72417A">
        <w:rPr>
          <w:rFonts w:ascii="Arial" w:hAnsi="Arial" w:cs="Arial"/>
          <w:sz w:val="22"/>
          <w:szCs w:val="22"/>
        </w:rPr>
        <w:t>5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AC08E0"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7904E931" w14:textId="77777777" w:rsidR="0072417A" w:rsidRPr="004357F6" w:rsidRDefault="0072417A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lastRenderedPageBreak/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0FB39F5F" w:rsidR="00350946" w:rsidRPr="002953BF" w:rsidRDefault="001211BC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 2025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B50C08">
        <w:rPr>
          <w:rFonts w:ascii="Arial" w:hAnsi="Arial" w:cs="Arial"/>
          <w:sz w:val="22"/>
          <w:szCs w:val="22"/>
        </w:rPr>
        <w:t>9</w:t>
      </w:r>
      <w:r w:rsidR="00262F31">
        <w:rPr>
          <w:rFonts w:ascii="Arial" w:hAnsi="Arial" w:cs="Arial"/>
          <w:sz w:val="22"/>
          <w:szCs w:val="22"/>
        </w:rPr>
        <w:t>5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72417A">
        <w:rPr>
          <w:rFonts w:ascii="Arial" w:hAnsi="Arial" w:cs="Arial"/>
          <w:sz w:val="22"/>
          <w:szCs w:val="22"/>
        </w:rPr>
        <w:t>yaklaşık 20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262F31">
        <w:rPr>
          <w:rFonts w:ascii="Arial" w:hAnsi="Arial" w:cs="Arial"/>
          <w:sz w:val="22"/>
          <w:szCs w:val="22"/>
        </w:rPr>
        <w:t>3</w:t>
      </w:r>
      <w:r w:rsidR="00B50C08">
        <w:rPr>
          <w:rFonts w:ascii="Arial" w:hAnsi="Arial" w:cs="Arial"/>
          <w:sz w:val="22"/>
          <w:szCs w:val="22"/>
        </w:rPr>
        <w:t>’</w:t>
      </w:r>
      <w:r w:rsidR="00262F31">
        <w:rPr>
          <w:rFonts w:ascii="Arial" w:hAnsi="Arial" w:cs="Arial"/>
          <w:sz w:val="22"/>
          <w:szCs w:val="22"/>
        </w:rPr>
        <w:t>ünü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262F31">
        <w:rPr>
          <w:rFonts w:ascii="Arial" w:hAnsi="Arial" w:cs="Arial"/>
          <w:sz w:val="22"/>
          <w:szCs w:val="22"/>
        </w:rPr>
        <w:t>9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262F31">
        <w:rPr>
          <w:rFonts w:ascii="Arial" w:hAnsi="Arial" w:cs="Arial"/>
          <w:sz w:val="22"/>
          <w:szCs w:val="22"/>
        </w:rPr>
        <w:t>unu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7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21"/>
        <w:gridCol w:w="951"/>
        <w:gridCol w:w="1031"/>
        <w:gridCol w:w="1074"/>
        <w:gridCol w:w="937"/>
        <w:gridCol w:w="1226"/>
      </w:tblGrid>
      <w:tr w:rsidR="00743750" w:rsidRPr="00803AF2" w14:paraId="08F00001" w14:textId="77777777" w:rsidTr="001E6F27">
        <w:trPr>
          <w:trHeight w:val="353"/>
          <w:jc w:val="center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0B06963A" w:rsidR="00743750" w:rsidRPr="00803AF2" w:rsidRDefault="00251F88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</w:t>
            </w:r>
            <w:r w:rsidR="00DE14B3">
              <w:rPr>
                <w:rFonts w:ascii="Arial" w:hAnsi="Arial" w:cs="Arial"/>
                <w:b/>
                <w:bCs/>
                <w:sz w:val="20"/>
              </w:rPr>
              <w:t>-</w:t>
            </w:r>
            <w:r w:rsidR="001211BC"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933A0" w14:textId="1687A63D" w:rsidR="00743750" w:rsidRPr="00803AF2" w:rsidRDefault="001211BC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</w:rPr>
              <w:t>Eylül 2025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AF970" w14:textId="732B5131" w:rsidR="00743750" w:rsidRPr="00803AF2" w:rsidRDefault="001211BC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2025</w:t>
            </w:r>
          </w:p>
        </w:tc>
      </w:tr>
      <w:tr w:rsidR="00743750" w:rsidRPr="00803AF2" w14:paraId="7437C73D" w14:textId="77777777" w:rsidTr="001E6F27">
        <w:trPr>
          <w:trHeight w:val="254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3A4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EA42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6DECB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DCC57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72417A" w:rsidRPr="00803AF2" w14:paraId="00CBF1D4" w14:textId="77777777" w:rsidTr="001E6F27">
        <w:trPr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E360FB" w14:textId="09D3D7C9" w:rsidR="0072417A" w:rsidRPr="00803AF2" w:rsidRDefault="0072417A" w:rsidP="0072417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2D5D" w14:textId="6B63CAC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1AC3" w14:textId="01768D09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11.117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5361" w14:textId="63BB07C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B6DFA" w14:textId="41F3D39F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13.230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7036F" w14:textId="22B839F9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B9DA8" w14:textId="34791B25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14.464</w:t>
            </w:r>
          </w:p>
        </w:tc>
      </w:tr>
      <w:tr w:rsidR="0072417A" w:rsidRPr="00803AF2" w14:paraId="183C45E7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09038B" w14:textId="48741C91" w:rsidR="0072417A" w:rsidRPr="00803AF2" w:rsidRDefault="0072417A" w:rsidP="0072417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C7D0" w14:textId="6A0EFF41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D26" w14:textId="664D5FBB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7DDF0" w14:textId="6266B965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1B31" w14:textId="3DC48B0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DE3F" w14:textId="22FE844F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8009C" w14:textId="789D49A8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896</w:t>
            </w:r>
          </w:p>
        </w:tc>
      </w:tr>
      <w:tr w:rsidR="0072417A" w:rsidRPr="00803AF2" w14:paraId="6253A0E5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B5271AE" w14:textId="1F0A0014" w:rsidR="0072417A" w:rsidRPr="00803AF2" w:rsidRDefault="0072417A" w:rsidP="0072417A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F3FC" w14:textId="6CD75007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FC0DF" w14:textId="1B4175BA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6F8EF" w14:textId="0515EE82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E56F" w14:textId="7C444E73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8980" w14:textId="21D6CB23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B37D" w14:textId="3A535990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3.737</w:t>
            </w:r>
          </w:p>
        </w:tc>
      </w:tr>
      <w:tr w:rsidR="0072417A" w:rsidRPr="00803AF2" w14:paraId="4935B024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D504CE7" w14:textId="72C1461E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32058" w14:textId="4A90890F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B56C" w14:textId="2732144E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8C7D3" w14:textId="3DDAFC35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6D074" w14:textId="48B92585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D413" w14:textId="38E75EDE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F9FE3" w14:textId="71CE0A51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249</w:t>
            </w:r>
          </w:p>
        </w:tc>
      </w:tr>
      <w:tr w:rsidR="0072417A" w:rsidRPr="00803AF2" w14:paraId="16D9A253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B32567" w14:textId="77777777" w:rsidR="0072417A" w:rsidRPr="00803AF2" w:rsidRDefault="0072417A" w:rsidP="0072417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EAF78" w14:textId="1C0B09F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5A45" w14:textId="3D35FF18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F470" w14:textId="0B57472A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351B0" w14:textId="12B502F9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1C773" w14:textId="39550C46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D39A8" w14:textId="2901C80E" w:rsidR="0072417A" w:rsidRPr="00803AF2" w:rsidRDefault="0072417A" w:rsidP="0072417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546</w:t>
            </w:r>
          </w:p>
        </w:tc>
      </w:tr>
      <w:tr w:rsidR="0072417A" w:rsidRPr="00803AF2" w14:paraId="6146FA9C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34F7C9" w14:textId="3B484E54" w:rsidR="0072417A" w:rsidRPr="00803AF2" w:rsidRDefault="0072417A" w:rsidP="0072417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  <w:r w:rsidR="00FF1D0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12A540" w14:textId="5DE6BDD4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5A49D0" w14:textId="2FE97579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14.832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CE87ED" w14:textId="5367EF43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41875B" w14:textId="64804C65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18.256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F29C5B" w14:textId="7212597D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6510EC" w14:textId="2AF811E9" w:rsidR="0072417A" w:rsidRPr="00803AF2" w:rsidRDefault="0072417A" w:rsidP="0072417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19.892</w:t>
            </w:r>
          </w:p>
        </w:tc>
      </w:tr>
    </w:tbl>
    <w:p w14:paraId="22120665" w14:textId="63B9B6A4" w:rsidR="000045B2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="0072417A">
        <w:rPr>
          <w:rFonts w:ascii="Arial" w:hAnsi="Arial" w:cs="Arial"/>
          <w:i/>
          <w:sz w:val="16"/>
          <w:szCs w:val="16"/>
        </w:rPr>
        <w:t xml:space="preserve">Ekim-Aralık 2024 ve </w:t>
      </w:r>
      <w:r w:rsidR="001211BC">
        <w:rPr>
          <w:rFonts w:ascii="Arial" w:hAnsi="Arial" w:cs="Arial"/>
          <w:bCs/>
          <w:i/>
          <w:sz w:val="16"/>
          <w:szCs w:val="16"/>
        </w:rPr>
        <w:t>Temmuz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 w:rsidR="001211BC">
        <w:rPr>
          <w:rFonts w:ascii="Arial" w:hAnsi="Arial" w:cs="Arial"/>
          <w:bCs/>
          <w:i/>
          <w:sz w:val="16"/>
          <w:szCs w:val="16"/>
        </w:rPr>
        <w:t>Eylül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09AA3412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</w:t>
      </w:r>
      <w:r w:rsidR="00262F31">
        <w:rPr>
          <w:rFonts w:ascii="Arial" w:hAnsi="Arial" w:cs="Arial"/>
          <w:sz w:val="22"/>
          <w:szCs w:val="22"/>
        </w:rPr>
        <w:t>2</w:t>
      </w:r>
      <w:r w:rsidR="00867D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milyon </w:t>
      </w:r>
      <w:r w:rsidR="00867D09">
        <w:rPr>
          <w:rFonts w:ascii="Arial" w:hAnsi="Arial" w:cs="Arial"/>
          <w:sz w:val="22"/>
          <w:szCs w:val="22"/>
        </w:rPr>
        <w:t>598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867D09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 xml:space="preserve"> milyon </w:t>
      </w:r>
      <w:r w:rsidR="00867D09">
        <w:rPr>
          <w:rFonts w:ascii="Arial" w:hAnsi="Arial" w:cs="Arial"/>
          <w:sz w:val="22"/>
          <w:szCs w:val="22"/>
        </w:rPr>
        <w:t>675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867D09">
        <w:rPr>
          <w:rFonts w:ascii="Arial" w:hAnsi="Arial" w:cs="Arial"/>
          <w:sz w:val="22"/>
          <w:szCs w:val="22"/>
        </w:rPr>
        <w:t>8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867D09">
        <w:rPr>
          <w:rFonts w:ascii="Arial" w:hAnsi="Arial" w:cs="Arial"/>
          <w:sz w:val="22"/>
          <w:szCs w:val="22"/>
        </w:rPr>
        <w:t>843</w:t>
      </w:r>
      <w:r>
        <w:rPr>
          <w:rFonts w:ascii="Arial" w:hAnsi="Arial" w:cs="Arial"/>
          <w:sz w:val="22"/>
          <w:szCs w:val="22"/>
        </w:rPr>
        <w:t xml:space="preserve"> bin kişi ar</w:t>
      </w:r>
      <w:r w:rsidR="00D56DC9">
        <w:rPr>
          <w:rFonts w:ascii="Arial" w:hAnsi="Arial" w:cs="Arial"/>
          <w:sz w:val="22"/>
          <w:szCs w:val="22"/>
        </w:rPr>
        <w:t>t</w:t>
      </w:r>
      <w:r w:rsidR="00D74F1C">
        <w:rPr>
          <w:rFonts w:ascii="Arial" w:hAnsi="Arial" w:cs="Arial"/>
          <w:sz w:val="22"/>
          <w:szCs w:val="22"/>
        </w:rPr>
        <w:t>mıştır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77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1"/>
        <w:gridCol w:w="1101"/>
        <w:gridCol w:w="1283"/>
        <w:gridCol w:w="1109"/>
      </w:tblGrid>
      <w:tr w:rsidR="00B12600" w:rsidRPr="00803AF2" w14:paraId="368DB088" w14:textId="77777777" w:rsidTr="001E6F27">
        <w:trPr>
          <w:trHeight w:val="581"/>
          <w:jc w:val="center"/>
        </w:trPr>
        <w:tc>
          <w:tcPr>
            <w:tcW w:w="4211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5F27168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575E0" w14:textId="35803F32" w:rsidR="00B12600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7B7D84" w14:textId="3EC203C8" w:rsidR="00406FCF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3B7FD12" w14:textId="14652CF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748E8D" w14:textId="3D43806C" w:rsidR="00B12600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</w:tr>
      <w:tr w:rsidR="00174A96" w:rsidRPr="00803AF2" w14:paraId="28C670AD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74BA2E3D" w14:textId="77777777" w:rsidR="00174A96" w:rsidRPr="00803AF2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258CDC63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27EF901E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2C7893AF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B63AA" w:rsidRPr="00803AF2" w14:paraId="391F274D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5FDD56FE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F2650" w14:textId="2201FEA2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B63AA">
              <w:rPr>
                <w:rFonts w:ascii="Arial" w:hAnsi="Arial" w:cs="Arial"/>
                <w:sz w:val="20"/>
              </w:rPr>
              <w:t>113.514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B54F" w14:textId="2602026D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120.443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18744" w14:textId="18919874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122.103</w:t>
            </w:r>
          </w:p>
        </w:tc>
      </w:tr>
      <w:tr w:rsidR="00CB63AA" w:rsidRPr="00803AF2" w14:paraId="65A7D64C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7B338884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91E1A" w14:textId="1ABB8374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187.613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7F86" w14:textId="18AA9DD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204.936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F45F" w14:textId="260AD88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208.884</w:t>
            </w:r>
          </w:p>
        </w:tc>
      </w:tr>
      <w:tr w:rsidR="00CB63AA" w:rsidRPr="00803AF2" w14:paraId="759E306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337D3ED1" w14:textId="77777777" w:rsidR="00CB63AA" w:rsidRPr="00803AF2" w:rsidRDefault="00CB63AA" w:rsidP="00CB63A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99F0" w14:textId="4F80DC22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17E01" w14:textId="4E5FC0FD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BC2D5" w14:textId="7F3AF143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</w:tr>
      <w:tr w:rsidR="00CB63AA" w:rsidRPr="00803AF2" w14:paraId="5547242C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5E3FC9DB" w14:textId="77777777" w:rsidR="00CB63AA" w:rsidRPr="00803AF2" w:rsidRDefault="00CB63AA" w:rsidP="00CB63A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064" w14:textId="77777777" w:rsidR="00CB63AA" w:rsidRPr="00CB63AA" w:rsidRDefault="00CB63AA" w:rsidP="00CB6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7381" w14:textId="77777777" w:rsidR="00CB63AA" w:rsidRPr="00CB63AA" w:rsidRDefault="00CB63AA" w:rsidP="00CB6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FA47" w14:textId="77777777" w:rsidR="00CB63AA" w:rsidRPr="00CB63AA" w:rsidRDefault="00CB63AA" w:rsidP="00CB63AA">
            <w:pPr>
              <w:rPr>
                <w:rFonts w:ascii="Arial" w:hAnsi="Arial" w:cs="Arial"/>
                <w:sz w:val="20"/>
              </w:rPr>
            </w:pPr>
          </w:p>
        </w:tc>
      </w:tr>
      <w:tr w:rsidR="00CB63AA" w:rsidRPr="00803AF2" w14:paraId="6948105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25439689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C47C" w14:textId="1835E9F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4.241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A428" w14:textId="087297B5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4.480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8DF0" w14:textId="47023737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4.495</w:t>
            </w:r>
          </w:p>
        </w:tc>
      </w:tr>
      <w:tr w:rsidR="00CB63AA" w:rsidRPr="00803AF2" w14:paraId="15BA55A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0CA6F55B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562F" w14:textId="0218D720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8.211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36C5" w14:textId="6EB286EB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9.093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3FA69" w14:textId="538B59ED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9.163</w:t>
            </w:r>
          </w:p>
        </w:tc>
      </w:tr>
      <w:tr w:rsidR="00CB63AA" w:rsidRPr="00803AF2" w14:paraId="0F5CB6D9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38DA73E8" w14:textId="77777777" w:rsidR="00CB63AA" w:rsidRPr="00803AF2" w:rsidRDefault="00CB63AA" w:rsidP="00CB63A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4B1F" w14:textId="0B43C0A1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B4CF" w14:textId="0AED66E2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04D26" w14:textId="557DB700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</w:tr>
      <w:tr w:rsidR="00CB63AA" w:rsidRPr="00803AF2" w14:paraId="67C9D04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1456A0A5" w14:textId="77777777" w:rsidR="00CB63AA" w:rsidRPr="00803AF2" w:rsidRDefault="00CB63AA" w:rsidP="00CB63A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9CC7" w14:textId="77777777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5908" w14:textId="77777777" w:rsidR="00CB63AA" w:rsidRPr="00CB63AA" w:rsidRDefault="00CB63AA" w:rsidP="00CB6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6079" w14:textId="77777777" w:rsidR="00CB63AA" w:rsidRPr="00CB63AA" w:rsidRDefault="00CB63AA" w:rsidP="00CB63AA">
            <w:pPr>
              <w:rPr>
                <w:rFonts w:ascii="Arial" w:hAnsi="Arial" w:cs="Arial"/>
                <w:sz w:val="20"/>
              </w:rPr>
            </w:pPr>
          </w:p>
        </w:tc>
      </w:tr>
      <w:tr w:rsidR="00CB63AA" w:rsidRPr="00803AF2" w14:paraId="53CFC103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444746B3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08E1" w14:textId="50422940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117.755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1A75C" w14:textId="3B84D2E6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124.923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4592" w14:textId="764F89C5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126.598</w:t>
            </w:r>
          </w:p>
        </w:tc>
      </w:tr>
      <w:tr w:rsidR="00CB63AA" w:rsidRPr="00803AF2" w14:paraId="40770ADF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642C7B29" w14:textId="77777777" w:rsidR="00CB63AA" w:rsidRPr="00803AF2" w:rsidRDefault="00CB63AA" w:rsidP="00CB63AA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C364" w14:textId="1C57004D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195.824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D9199" w14:textId="071E1865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214.028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4BE2" w14:textId="49FF93CE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218.047</w:t>
            </w:r>
          </w:p>
        </w:tc>
      </w:tr>
      <w:tr w:rsidR="00CB63AA" w:rsidRPr="00803AF2" w14:paraId="05C47651" w14:textId="77777777" w:rsidTr="001E6F27">
        <w:trPr>
          <w:trHeight w:val="78"/>
          <w:jc w:val="center"/>
        </w:trPr>
        <w:tc>
          <w:tcPr>
            <w:tcW w:w="4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E1DA" w14:textId="77777777" w:rsidR="00CB63AA" w:rsidRPr="00803AF2" w:rsidRDefault="00CB63AA" w:rsidP="00CB63AA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81BBE" w14:textId="6D9860DF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DD4706" w14:textId="073272F1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FAACD0" w14:textId="2F025CCB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0525977C" w:rsidR="002E385C" w:rsidRDefault="001211B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</w:t>
      </w:r>
      <w:r w:rsidR="00CB63AA">
        <w:rPr>
          <w:rFonts w:ascii="Arial" w:hAnsi="Arial" w:cs="Arial"/>
          <w:sz w:val="22"/>
          <w:szCs w:val="22"/>
        </w:rPr>
        <w:t>2</w:t>
      </w:r>
      <w:r w:rsidR="000870DC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milyon </w:t>
      </w:r>
      <w:r w:rsidR="00CB63AA">
        <w:rPr>
          <w:rFonts w:ascii="Arial" w:hAnsi="Arial" w:cs="Arial"/>
          <w:sz w:val="22"/>
          <w:szCs w:val="22"/>
        </w:rPr>
        <w:t>103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B12600">
        <w:rPr>
          <w:rFonts w:ascii="Arial" w:hAnsi="Arial" w:cs="Arial"/>
          <w:sz w:val="22"/>
          <w:szCs w:val="22"/>
        </w:rPr>
        <w:t>5</w:t>
      </w:r>
      <w:r w:rsidR="00CB63AA">
        <w:rPr>
          <w:rFonts w:ascii="Arial" w:hAnsi="Arial" w:cs="Arial"/>
          <w:sz w:val="22"/>
          <w:szCs w:val="22"/>
        </w:rPr>
        <w:t>8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CB63AA">
        <w:rPr>
          <w:rFonts w:ascii="Arial" w:hAnsi="Arial" w:cs="Arial"/>
          <w:sz w:val="22"/>
          <w:szCs w:val="22"/>
        </w:rPr>
        <w:t>ini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0C59CC79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1211BC">
        <w:rPr>
          <w:rFonts w:ascii="Arial" w:hAnsi="Arial" w:cs="Arial"/>
          <w:sz w:val="22"/>
          <w:szCs w:val="22"/>
        </w:rPr>
        <w:t>Aralık 2025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AC08E0">
        <w:rPr>
          <w:rFonts w:ascii="Arial" w:hAnsi="Arial" w:cs="Arial"/>
          <w:sz w:val="22"/>
          <w:szCs w:val="22"/>
        </w:rPr>
        <w:t>9</w:t>
      </w:r>
      <w:r w:rsidR="00F77F57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CB63AA">
        <w:rPr>
          <w:rFonts w:ascii="Arial" w:hAnsi="Arial" w:cs="Arial"/>
          <w:sz w:val="22"/>
          <w:szCs w:val="22"/>
        </w:rPr>
        <w:t>163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AC08E0">
        <w:rPr>
          <w:rFonts w:ascii="Arial" w:hAnsi="Arial" w:cs="Arial"/>
          <w:sz w:val="22"/>
          <w:szCs w:val="22"/>
        </w:rPr>
        <w:t>4</w:t>
      </w:r>
      <w:r w:rsidR="00CB63AA">
        <w:rPr>
          <w:rFonts w:ascii="Arial" w:hAnsi="Arial" w:cs="Arial"/>
          <w:sz w:val="22"/>
          <w:szCs w:val="22"/>
        </w:rPr>
        <w:t>95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0870DC">
        <w:rPr>
          <w:rFonts w:ascii="Arial" w:hAnsi="Arial" w:cs="Arial"/>
          <w:sz w:val="22"/>
          <w:szCs w:val="22"/>
        </w:rPr>
        <w:t>49</w:t>
      </w:r>
      <w:r w:rsidRPr="00F217E7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u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8D7F32">
        <w:rPr>
          <w:rFonts w:ascii="Arial" w:hAnsi="Arial" w:cs="Arial"/>
          <w:sz w:val="22"/>
          <w:szCs w:val="22"/>
        </w:rPr>
        <w:t xml:space="preserve">son 3 ayda login olmuş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2C4129C1" w14:textId="77777777" w:rsidR="00364091" w:rsidRDefault="00364091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1546FA8A" w:rsidR="00090952" w:rsidRDefault="001211BC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Ekim-Aralık 2025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CB63AA">
        <w:rPr>
          <w:rFonts w:ascii="Arial" w:hAnsi="Arial" w:cs="Arial"/>
          <w:sz w:val="22"/>
          <w:szCs w:val="22"/>
        </w:rPr>
        <w:t>756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0870DC">
        <w:rPr>
          <w:rFonts w:ascii="Arial" w:hAnsi="Arial" w:cs="Arial"/>
          <w:sz w:val="22"/>
          <w:szCs w:val="22"/>
        </w:rPr>
        <w:t xml:space="preserve"> ise</w:t>
      </w:r>
      <w:r w:rsidR="00D302CA">
        <w:rPr>
          <w:rFonts w:ascii="Arial" w:hAnsi="Arial" w:cs="Arial"/>
          <w:sz w:val="22"/>
          <w:szCs w:val="22"/>
        </w:rPr>
        <w:t xml:space="preserve"> </w:t>
      </w:r>
      <w:r w:rsidR="00AC08E0">
        <w:rPr>
          <w:rFonts w:ascii="Arial" w:hAnsi="Arial" w:cs="Arial"/>
          <w:sz w:val="22"/>
          <w:szCs w:val="22"/>
        </w:rPr>
        <w:t>5</w:t>
      </w:r>
      <w:r w:rsidR="00CB63AA">
        <w:rPr>
          <w:rFonts w:ascii="Arial" w:hAnsi="Arial" w:cs="Arial"/>
          <w:sz w:val="22"/>
          <w:szCs w:val="22"/>
        </w:rPr>
        <w:t>3</w:t>
      </w:r>
      <w:r w:rsidR="00AC08E0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406FCF" w:rsidRPr="00803AF2" w14:paraId="0BB82AB2" w14:textId="77777777" w:rsidTr="00D302CA">
        <w:trPr>
          <w:trHeight w:val="29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406FCF" w:rsidRPr="00803AF2" w:rsidRDefault="00406FCF" w:rsidP="00406F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5C8347" w14:textId="198C7654" w:rsidR="00406FCF" w:rsidRPr="00803AF2" w:rsidRDefault="00251F88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</w:t>
            </w:r>
            <w:r w:rsidR="00DE14B3">
              <w:rPr>
                <w:rFonts w:ascii="Arial" w:hAnsi="Arial" w:cs="Arial"/>
                <w:b/>
                <w:bCs/>
                <w:sz w:val="20"/>
              </w:rPr>
              <w:t>-</w:t>
            </w:r>
            <w:r w:rsidR="001211BC"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51D7A" w14:textId="5635CB8B" w:rsidR="00406FCF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</w:rPr>
              <w:t>Eylül 2025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80292A" w14:textId="3895C7DE" w:rsidR="00406FCF" w:rsidRPr="00803AF2" w:rsidRDefault="001211BC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2025</w:t>
            </w:r>
          </w:p>
        </w:tc>
      </w:tr>
      <w:tr w:rsidR="00CA1F8B" w:rsidRPr="00803AF2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093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C5DB0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90A0D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35948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CB63AA" w:rsidRPr="00803AF2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A5EAD4" w14:textId="77777777" w:rsidR="00CB63AA" w:rsidRPr="00803AF2" w:rsidRDefault="00CB63AA" w:rsidP="00CB63A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E9577" w14:textId="3D4FB3A6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B63AA">
              <w:rPr>
                <w:rFonts w:ascii="Arial" w:hAnsi="Arial" w:cs="Arial"/>
                <w:sz w:val="20"/>
              </w:rPr>
              <w:t>1.614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D6E3" w14:textId="16999716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24.032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8A871" w14:textId="1C25BBE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1.687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D90F" w14:textId="01E0653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31.543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DE67" w14:textId="136FE16A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1.759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9F9FA" w14:textId="6CB8C9F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34.495</w:t>
            </w:r>
          </w:p>
        </w:tc>
      </w:tr>
      <w:tr w:rsidR="00CB63AA" w:rsidRPr="00803AF2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7F9E07CC" w14:textId="77777777" w:rsidR="00CB63AA" w:rsidRPr="00803AF2" w:rsidRDefault="00CB63AA" w:rsidP="00CB63AA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18AA" w14:textId="11BCB9D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1FD5" w14:textId="7761FAD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1.095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DB6A" w14:textId="4EF25E3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82B5B" w14:textId="0851AE94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1.428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FE3B" w14:textId="493E7409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CB71" w14:textId="34254298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1.526</w:t>
            </w:r>
          </w:p>
        </w:tc>
      </w:tr>
      <w:tr w:rsidR="00CB63AA" w:rsidRPr="00803AF2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1BA366CD" w14:textId="0DAC5A17" w:rsidR="00CB63AA" w:rsidRPr="00803AF2" w:rsidRDefault="00CB63AA" w:rsidP="00CB6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B7959" w14:textId="727C9922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31FC" w14:textId="2921E5EB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8.189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648A" w14:textId="49ED0CBB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2F3BA" w14:textId="0A1DD7DB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11.909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CE822" w14:textId="2069D4D4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237B8" w14:textId="5841F67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11.930</w:t>
            </w:r>
          </w:p>
        </w:tc>
      </w:tr>
      <w:tr w:rsidR="00CB63AA" w:rsidRPr="00803AF2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3CA5C3F5" w14:textId="154B87FB" w:rsidR="00CB63AA" w:rsidRPr="00803AF2" w:rsidRDefault="00CB63AA" w:rsidP="00CB63A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4FDE" w14:textId="74396A56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C486" w14:textId="02E176F2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2.691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3075" w14:textId="002F2077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AC1F0" w14:textId="4D93B37A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3.741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EC7F7" w14:textId="17F9BFA2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A15EA" w14:textId="2F41BD3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3.842</w:t>
            </w:r>
          </w:p>
        </w:tc>
      </w:tr>
      <w:tr w:rsidR="00CB63AA" w:rsidRPr="00803AF2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5CE332BB" w14:textId="77777777" w:rsidR="00CB63AA" w:rsidRPr="00803AF2" w:rsidRDefault="00CB63AA" w:rsidP="00CB63AA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13F7" w14:textId="21479FC1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0B104" w14:textId="4DAE1C29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1.282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3A877" w14:textId="2E0F4C63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2B80B" w14:textId="354DDDCF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1.434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B5D89" w14:textId="33337E09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FF497" w14:textId="4159DA36" w:rsidR="00CB63AA" w:rsidRPr="00CB63AA" w:rsidRDefault="00CB63AA" w:rsidP="00CB63AA">
            <w:pPr>
              <w:jc w:val="right"/>
              <w:rPr>
                <w:rFonts w:ascii="Arial" w:hAnsi="Arial" w:cs="Arial"/>
                <w:sz w:val="20"/>
              </w:rPr>
            </w:pPr>
            <w:r w:rsidRPr="00CB63AA">
              <w:rPr>
                <w:rFonts w:ascii="Arial" w:hAnsi="Arial" w:cs="Arial"/>
                <w:sz w:val="20"/>
              </w:rPr>
              <w:t>1.594</w:t>
            </w:r>
          </w:p>
        </w:tc>
      </w:tr>
      <w:tr w:rsidR="00CB63AA" w:rsidRPr="00803AF2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BF0930" w14:textId="5FF1B75E" w:rsidR="00CB63AA" w:rsidRPr="00803AF2" w:rsidRDefault="00CB63AA" w:rsidP="00CB63A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  <w:r w:rsidR="00FF1D0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05021" w14:textId="574924D5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2.571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9EC5B8" w14:textId="0569B612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37.288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142BD7" w14:textId="4BC5FA8B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2.686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E2A4A8" w14:textId="22CE84B2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50.054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D39ACD" w14:textId="18C3B48C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2.756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E64ED0" w14:textId="2EBF0A0A" w:rsidR="00CB63AA" w:rsidRPr="00CB63AA" w:rsidRDefault="00CB63AA" w:rsidP="00CB63A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63AA">
              <w:rPr>
                <w:rFonts w:ascii="Arial" w:hAnsi="Arial" w:cs="Arial"/>
                <w:b/>
                <w:bCs/>
                <w:sz w:val="20"/>
              </w:rPr>
              <w:t>53.388</w:t>
            </w:r>
          </w:p>
        </w:tc>
      </w:tr>
    </w:tbl>
    <w:p w14:paraId="3C8BAA1F" w14:textId="77777777" w:rsidR="00CB63AA" w:rsidRPr="0021188B" w:rsidRDefault="00CB63AA" w:rsidP="00CB63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Ekim-Aralık 2024 ve </w:t>
      </w:r>
      <w:r>
        <w:rPr>
          <w:rFonts w:ascii="Arial" w:hAnsi="Arial" w:cs="Arial"/>
          <w:bCs/>
          <w:i/>
          <w:sz w:val="16"/>
          <w:szCs w:val="16"/>
        </w:rPr>
        <w:t>Temmuz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>
        <w:rPr>
          <w:rFonts w:ascii="Arial" w:hAnsi="Arial" w:cs="Arial"/>
          <w:bCs/>
          <w:i/>
          <w:sz w:val="16"/>
          <w:szCs w:val="16"/>
        </w:rPr>
        <w:t>Eylül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</w:p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0FB92FC" w14:textId="746BFBB8" w:rsidR="000720E8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CB63AA">
        <w:rPr>
          <w:rFonts w:ascii="Arial" w:hAnsi="Arial" w:cs="Arial"/>
          <w:sz w:val="22"/>
          <w:szCs w:val="22"/>
        </w:rPr>
        <w:t>5</w:t>
      </w:r>
      <w:r w:rsidR="00E94F45">
        <w:rPr>
          <w:rFonts w:ascii="Arial" w:hAnsi="Arial" w:cs="Arial"/>
          <w:sz w:val="22"/>
          <w:szCs w:val="22"/>
        </w:rPr>
        <w:t>’</w:t>
      </w:r>
      <w:r w:rsidR="00CB63AA">
        <w:rPr>
          <w:rFonts w:ascii="Arial" w:hAnsi="Arial" w:cs="Arial"/>
          <w:sz w:val="22"/>
          <w:szCs w:val="22"/>
        </w:rPr>
        <w:t>ini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CB63AA">
        <w:rPr>
          <w:rFonts w:ascii="Arial" w:hAnsi="Arial" w:cs="Arial"/>
          <w:sz w:val="22"/>
          <w:szCs w:val="22"/>
        </w:rPr>
        <w:t>2</w:t>
      </w:r>
      <w:r w:rsidR="000870DC">
        <w:rPr>
          <w:rFonts w:ascii="Arial" w:hAnsi="Arial" w:cs="Arial"/>
          <w:sz w:val="22"/>
          <w:szCs w:val="22"/>
        </w:rPr>
        <w:t>’</w:t>
      </w:r>
      <w:r w:rsidR="00CB63AA">
        <w:rPr>
          <w:rFonts w:ascii="Arial" w:hAnsi="Arial" w:cs="Arial"/>
          <w:sz w:val="22"/>
          <w:szCs w:val="22"/>
        </w:rPr>
        <w:t>sini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</w:p>
    <w:p w14:paraId="1D8E3FF6" w14:textId="77777777" w:rsidR="000720E8" w:rsidRPr="00D6736C" w:rsidRDefault="000720E8" w:rsidP="00D3173A">
      <w:pPr>
        <w:pStyle w:val="BodyText"/>
      </w:pPr>
    </w:p>
    <w:p w14:paraId="66ED1E80" w14:textId="110CC61D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F649" w14:textId="77777777" w:rsidR="00CD4F5C" w:rsidRDefault="00CD4F5C">
      <w:r>
        <w:separator/>
      </w:r>
    </w:p>
  </w:endnote>
  <w:endnote w:type="continuationSeparator" w:id="0">
    <w:p w14:paraId="07FADF9F" w14:textId="77777777" w:rsidR="00CD4F5C" w:rsidRDefault="00CD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2FB5" w14:textId="29D54FB6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ve Mobil Bankacılık İstatistikleri / </w:t>
    </w:r>
    <w:r w:rsidR="001211BC">
      <w:rPr>
        <w:rFonts w:ascii="Arial" w:hAnsi="Arial" w:cs="Arial"/>
        <w:sz w:val="18"/>
        <w:szCs w:val="18"/>
      </w:rPr>
      <w:t>Aralık 2025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21188B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A6DF" w14:textId="77777777" w:rsidR="00CD4F5C" w:rsidRDefault="00CD4F5C">
      <w:r>
        <w:separator/>
      </w:r>
    </w:p>
  </w:footnote>
  <w:footnote w:type="continuationSeparator" w:id="0">
    <w:p w14:paraId="5C9EA910" w14:textId="77777777" w:rsidR="00CD4F5C" w:rsidRDefault="00CD4F5C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65509625">
    <w:abstractNumId w:val="12"/>
  </w:num>
  <w:num w:numId="2" w16cid:durableId="1945769534">
    <w:abstractNumId w:val="15"/>
  </w:num>
  <w:num w:numId="3" w16cid:durableId="972558644">
    <w:abstractNumId w:val="21"/>
  </w:num>
  <w:num w:numId="4" w16cid:durableId="1104030750">
    <w:abstractNumId w:val="7"/>
  </w:num>
  <w:num w:numId="5" w16cid:durableId="1964536906">
    <w:abstractNumId w:val="14"/>
  </w:num>
  <w:num w:numId="6" w16cid:durableId="1652714413">
    <w:abstractNumId w:val="13"/>
  </w:num>
  <w:num w:numId="7" w16cid:durableId="335157706">
    <w:abstractNumId w:val="2"/>
  </w:num>
  <w:num w:numId="8" w16cid:durableId="1330524960">
    <w:abstractNumId w:val="1"/>
  </w:num>
  <w:num w:numId="9" w16cid:durableId="154416024">
    <w:abstractNumId w:val="19"/>
  </w:num>
  <w:num w:numId="10" w16cid:durableId="456870721">
    <w:abstractNumId w:val="8"/>
  </w:num>
  <w:num w:numId="11" w16cid:durableId="413862390">
    <w:abstractNumId w:val="17"/>
  </w:num>
  <w:num w:numId="12" w16cid:durableId="644626742">
    <w:abstractNumId w:val="11"/>
  </w:num>
  <w:num w:numId="13" w16cid:durableId="700515042">
    <w:abstractNumId w:val="4"/>
  </w:num>
  <w:num w:numId="14" w16cid:durableId="1552227486">
    <w:abstractNumId w:val="0"/>
  </w:num>
  <w:num w:numId="15" w16cid:durableId="362483078">
    <w:abstractNumId w:val="6"/>
  </w:num>
  <w:num w:numId="16" w16cid:durableId="1772553595">
    <w:abstractNumId w:val="23"/>
  </w:num>
  <w:num w:numId="17" w16cid:durableId="1831945212">
    <w:abstractNumId w:val="20"/>
  </w:num>
  <w:num w:numId="18" w16cid:durableId="1531406852">
    <w:abstractNumId w:val="5"/>
  </w:num>
  <w:num w:numId="19" w16cid:durableId="1974943510">
    <w:abstractNumId w:val="18"/>
  </w:num>
  <w:num w:numId="20" w16cid:durableId="1316032310">
    <w:abstractNumId w:val="10"/>
  </w:num>
  <w:num w:numId="21" w16cid:durableId="586429864">
    <w:abstractNumId w:val="3"/>
  </w:num>
  <w:num w:numId="22" w16cid:durableId="1484540329">
    <w:abstractNumId w:val="9"/>
  </w:num>
  <w:num w:numId="23" w16cid:durableId="1729764557">
    <w:abstractNumId w:val="16"/>
  </w:num>
  <w:num w:numId="24" w16cid:durableId="1130712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844"/>
    <w:rsid w:val="00001BF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0E8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870DC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1CC1"/>
    <w:rsid w:val="000C2123"/>
    <w:rsid w:val="000C3A2B"/>
    <w:rsid w:val="000C3A41"/>
    <w:rsid w:val="000C4966"/>
    <w:rsid w:val="000C50E1"/>
    <w:rsid w:val="000C7067"/>
    <w:rsid w:val="000C7A01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11BC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31E5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460"/>
    <w:rsid w:val="001E59EA"/>
    <w:rsid w:val="001E5C16"/>
    <w:rsid w:val="001E6844"/>
    <w:rsid w:val="001E6F27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88B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1F88"/>
    <w:rsid w:val="00252E9D"/>
    <w:rsid w:val="002539FC"/>
    <w:rsid w:val="00253FCD"/>
    <w:rsid w:val="00256436"/>
    <w:rsid w:val="0025651C"/>
    <w:rsid w:val="0026186D"/>
    <w:rsid w:val="00262F31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8792D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091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15E8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5BEC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2EAF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6FCF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8CD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1FE2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1DFD"/>
    <w:rsid w:val="005223B8"/>
    <w:rsid w:val="005234BF"/>
    <w:rsid w:val="005240DD"/>
    <w:rsid w:val="00525A7E"/>
    <w:rsid w:val="00526DCA"/>
    <w:rsid w:val="00527632"/>
    <w:rsid w:val="00527AF3"/>
    <w:rsid w:val="00531039"/>
    <w:rsid w:val="00531162"/>
    <w:rsid w:val="0053180A"/>
    <w:rsid w:val="00531E49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4CB2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17A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1237"/>
    <w:rsid w:val="007623E6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26D1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146E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3AF2"/>
    <w:rsid w:val="00804C3E"/>
    <w:rsid w:val="008069B2"/>
    <w:rsid w:val="00806C71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26B9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67D09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969DA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D7F32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5EA2"/>
    <w:rsid w:val="009967A6"/>
    <w:rsid w:val="00996840"/>
    <w:rsid w:val="009A0B4C"/>
    <w:rsid w:val="009A0C30"/>
    <w:rsid w:val="009A38EB"/>
    <w:rsid w:val="009A6289"/>
    <w:rsid w:val="009A6496"/>
    <w:rsid w:val="009B2168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43EB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B721E"/>
    <w:rsid w:val="00AC08E0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0A74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600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4FD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0C08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6C5C"/>
    <w:rsid w:val="00B67B31"/>
    <w:rsid w:val="00B67FED"/>
    <w:rsid w:val="00B700D7"/>
    <w:rsid w:val="00B70475"/>
    <w:rsid w:val="00B709FF"/>
    <w:rsid w:val="00B716E8"/>
    <w:rsid w:val="00B7272D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CE2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073E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6A1F"/>
    <w:rsid w:val="00C372E1"/>
    <w:rsid w:val="00C404D6"/>
    <w:rsid w:val="00C40EE6"/>
    <w:rsid w:val="00C41DA6"/>
    <w:rsid w:val="00C441DC"/>
    <w:rsid w:val="00C44F1F"/>
    <w:rsid w:val="00C4560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63AA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4F5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02C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C9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4F1C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9715C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28E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4B3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4106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C27"/>
    <w:rsid w:val="00F10E64"/>
    <w:rsid w:val="00F10EB6"/>
    <w:rsid w:val="00F11EAC"/>
    <w:rsid w:val="00F12172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3CA5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D06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12-25\1&#304;nternet%20Bankac&#305;l&#305;&#287;&#305;%20Raporu-Aral&#305;k%202025(toplula&#351;t&#305;r&#305;lm&#305;&#351;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12-25\1&#304;nternet%20Bankac&#305;l&#305;&#287;&#305;%20Raporu-Aral&#305;k%202025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12-25\1&#304;nternet%20Bankac&#305;l&#305;&#287;&#305;%20Raporu-Aral&#305;k%202025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rPr>
              <a:t>Tekilleştirilmemiş Aktif Diijtal Bankacılık Müşteri Sayısı (milyon kişi)</a:t>
            </a:r>
          </a:p>
        </c:rich>
      </c:tx>
      <c:layout>
        <c:manualLayout>
          <c:xMode val="edge"/>
          <c:yMode val="edge"/>
          <c:x val="0.12711884392154807"/>
          <c:y val="2.904030141393616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311408445726132E-2"/>
          <c:y val="0.24420670694072977"/>
          <c:w val="0.90641672351872593"/>
          <c:h val="0.61417229319019206"/>
        </c:manualLayout>
      </c:layout>
      <c:lineChart>
        <c:grouping val="stacked"/>
        <c:varyColors val="0"/>
        <c:ser>
          <c:idx val="0"/>
          <c:order val="0"/>
          <c:tx>
            <c:strRef>
              <c:f>data!$E$89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1F497D">
                  <a:lumMod val="50000"/>
                </a:srgbClr>
              </a:solidFill>
            </a:ln>
          </c:spPr>
          <c:marker>
            <c:spPr>
              <a:solidFill>
                <a:srgbClr val="1F497D">
                  <a:lumMod val="50000"/>
                </a:srgbClr>
              </a:solidFill>
              <a:ln>
                <a:solidFill>
                  <a:srgbClr val="1F497D">
                    <a:lumMod val="50000"/>
                  </a:srgbClr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data!$A$90:$A$94</c:f>
              <c:strCache>
                <c:ptCount val="5"/>
                <c:pt idx="0">
                  <c:v>Aralık 2021</c:v>
                </c:pt>
                <c:pt idx="1">
                  <c:v>Aralık 2022</c:v>
                </c:pt>
                <c:pt idx="2">
                  <c:v>Aralık 2023</c:v>
                </c:pt>
                <c:pt idx="3">
                  <c:v>Aralık 2024</c:v>
                </c:pt>
                <c:pt idx="4">
                  <c:v>Aralık 2025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0">
                  <c:v>77.931625999999994</c:v>
                </c:pt>
                <c:pt idx="1">
                  <c:v>94.390203</c:v>
                </c:pt>
                <c:pt idx="2">
                  <c:v>110.587728</c:v>
                </c:pt>
                <c:pt idx="3">
                  <c:v>119.12286400000001</c:v>
                </c:pt>
                <c:pt idx="4">
                  <c:v>127.676653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DA-4E3D-814A-E2814290A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77040"/>
        <c:axId val="1"/>
      </c:lineChart>
      <c:catAx>
        <c:axId val="71837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out"/>
        <c:minorTickMark val="none"/>
        <c:tickLblPos val="nextTo"/>
        <c:crossAx val="718377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data!$B$70</c:f>
              <c:strCache>
                <c:ptCount val="1"/>
                <c:pt idx="0">
                  <c:v>Aralık 2025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8E-46D5-A703-12DB2F8B2952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8E-46D5-A703-12DB2F8B2952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8E-46D5-A703-12DB2F8B2952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8E-46D5-A703-12DB2F8B295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data!$A$71:$A$72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data!$B$71:$B$72</c:f>
              <c:numCache>
                <c:formatCode>#,##0</c:formatCode>
                <c:ptCount val="2"/>
                <c:pt idx="0">
                  <c:v>44113.796594499996</c:v>
                </c:pt>
                <c:pt idx="1">
                  <c:v>78615.1324055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8E-46D5-A703-12DB2F8B2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147930452355425"/>
          <c:y val="0.84842519685039364"/>
          <c:w val="0.4484142299114019"/>
          <c:h val="8.988829884636517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data!$B$75</c:f>
              <c:strCache>
                <c:ptCount val="1"/>
                <c:pt idx="0">
                  <c:v>Aralık 2025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data!$A$76:$A$81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data!$B$76:$B$81</c:f>
              <c:numCache>
                <c:formatCode>#,##0</c:formatCode>
                <c:ptCount val="6"/>
                <c:pt idx="0">
                  <c:v>855.59605799999997</c:v>
                </c:pt>
                <c:pt idx="1">
                  <c:v>21153.920235500002</c:v>
                </c:pt>
                <c:pt idx="2">
                  <c:v>32307.8327431</c:v>
                </c:pt>
                <c:pt idx="3">
                  <c:v>49929.944845700003</c:v>
                </c:pt>
                <c:pt idx="4">
                  <c:v>11905.2997127</c:v>
                </c:pt>
                <c:pt idx="5">
                  <c:v>6576.3354049999998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C-46A7-ACB3-8D75F414A7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75600"/>
        <c:axId val="1"/>
      </c:barChart>
      <c:catAx>
        <c:axId val="71837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tr-TR" sz="900">
                    <a:latin typeface="Arial" panose="020B0604020202020204" pitchFamily="34" charset="0"/>
                    <a:cs typeface="Arial" panose="020B0604020202020204" pitchFamily="34" charset="0"/>
                  </a:rPr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3231180293E-2"/>
              <c:y val="2.4178977627796524E-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718375600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97E5-1044-45FA-9E4C-559EF2F2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1003</Words>
  <Characters>5861</Characters>
  <Application>Microsoft Office Word</Application>
  <DocSecurity>0</DocSecurity>
  <Lines>366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Coşkun</cp:lastModifiedBy>
  <cp:revision>51</cp:revision>
  <cp:lastPrinted>2025-08-11T06:32:00Z</cp:lastPrinted>
  <dcterms:created xsi:type="dcterms:W3CDTF">2025-05-15T08:50:00Z</dcterms:created>
  <dcterms:modified xsi:type="dcterms:W3CDTF">2026-02-16T11:46:00Z</dcterms:modified>
</cp:coreProperties>
</file>