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2C1F8" w14:textId="77777777" w:rsidR="00746FEE" w:rsidRPr="00A65CC5" w:rsidRDefault="0059608B" w:rsidP="001E76AD">
      <w:pPr>
        <w:pStyle w:val="Title"/>
        <w:ind w:right="-599"/>
        <w:outlineLvl w:val="0"/>
        <w:rPr>
          <w:rFonts w:ascii="Arial" w:hAnsi="Arial" w:cs="Arial"/>
          <w:color w:val="000000" w:themeColor="text1"/>
          <w:szCs w:val="24"/>
        </w:rPr>
      </w:pPr>
      <w:r w:rsidRPr="00A65CC5">
        <w:rPr>
          <w:rFonts w:ascii="Arial" w:hAnsi="Arial" w:cs="Arial"/>
          <w:color w:val="000000" w:themeColor="text1"/>
          <w:szCs w:val="24"/>
        </w:rPr>
        <w:t>Seçilmiş Göstergelerin</w:t>
      </w:r>
      <w:r w:rsidR="00430FA6" w:rsidRPr="00A65CC5">
        <w:rPr>
          <w:rFonts w:ascii="Arial" w:hAnsi="Arial" w:cs="Arial"/>
          <w:color w:val="000000" w:themeColor="text1"/>
          <w:szCs w:val="24"/>
        </w:rPr>
        <w:t xml:space="preserve"> </w:t>
      </w:r>
      <w:r w:rsidR="0046774D" w:rsidRPr="00A65CC5">
        <w:rPr>
          <w:rFonts w:ascii="Arial" w:hAnsi="Arial" w:cs="Arial"/>
          <w:color w:val="000000" w:themeColor="text1"/>
          <w:szCs w:val="24"/>
        </w:rPr>
        <w:t>İl</w:t>
      </w:r>
      <w:r w:rsidR="000E71E7" w:rsidRPr="00A65CC5">
        <w:rPr>
          <w:rFonts w:ascii="Arial" w:hAnsi="Arial" w:cs="Arial"/>
          <w:color w:val="000000" w:themeColor="text1"/>
          <w:szCs w:val="24"/>
        </w:rPr>
        <w:t>lere ve Bölgelere Göre</w:t>
      </w:r>
      <w:r w:rsidR="0046774D" w:rsidRPr="00A65CC5">
        <w:rPr>
          <w:rFonts w:ascii="Arial" w:hAnsi="Arial" w:cs="Arial"/>
          <w:color w:val="000000" w:themeColor="text1"/>
          <w:szCs w:val="24"/>
        </w:rPr>
        <w:t xml:space="preserve"> Dağılım</w:t>
      </w:r>
      <w:r w:rsidR="00A97D8B" w:rsidRPr="00A65CC5">
        <w:rPr>
          <w:rFonts w:ascii="Arial" w:hAnsi="Arial" w:cs="Arial"/>
          <w:color w:val="000000" w:themeColor="text1"/>
          <w:szCs w:val="24"/>
        </w:rPr>
        <w:t>ı</w:t>
      </w:r>
      <w:r w:rsidR="00A775D5" w:rsidRPr="00A65CC5">
        <w:rPr>
          <w:rStyle w:val="FootnoteReference"/>
          <w:rFonts w:ascii="Arial" w:hAnsi="Arial" w:cs="Arial"/>
          <w:bCs/>
          <w:color w:val="000000" w:themeColor="text1"/>
          <w:szCs w:val="24"/>
        </w:rPr>
        <w:footnoteReference w:id="1"/>
      </w:r>
      <w:r w:rsidR="00B32BE5" w:rsidRPr="00A65CC5">
        <w:rPr>
          <w:rFonts w:ascii="Arial" w:hAnsi="Arial" w:cs="Arial"/>
          <w:color w:val="000000" w:themeColor="text1"/>
          <w:szCs w:val="24"/>
        </w:rPr>
        <w:t>,</w:t>
      </w:r>
      <w:r w:rsidR="00B32BE5" w:rsidRPr="00A65CC5">
        <w:rPr>
          <w:rStyle w:val="FootnoteReference"/>
          <w:rFonts w:ascii="Arial" w:hAnsi="Arial" w:cs="Arial"/>
          <w:color w:val="000000" w:themeColor="text1"/>
          <w:szCs w:val="24"/>
        </w:rPr>
        <w:footnoteReference w:id="2"/>
      </w:r>
    </w:p>
    <w:p w14:paraId="2BB806C9" w14:textId="77777777" w:rsidR="00926BB9" w:rsidRPr="00A65CC5" w:rsidRDefault="00926BB9" w:rsidP="001E76AD">
      <w:pPr>
        <w:pStyle w:val="Title"/>
        <w:ind w:right="-599"/>
        <w:outlineLvl w:val="0"/>
        <w:rPr>
          <w:rFonts w:ascii="Arial" w:hAnsi="Arial" w:cs="Arial"/>
          <w:color w:val="000000" w:themeColor="text1"/>
          <w:szCs w:val="24"/>
        </w:rPr>
      </w:pPr>
    </w:p>
    <w:p w14:paraId="4DE90FA1" w14:textId="77777777" w:rsidR="0046774D" w:rsidRPr="00A65CC5" w:rsidRDefault="0046774D" w:rsidP="001E76AD">
      <w:pPr>
        <w:ind w:right="-599"/>
        <w:jc w:val="center"/>
        <w:rPr>
          <w:rFonts w:ascii="Arial" w:hAnsi="Arial" w:cs="Arial"/>
          <w:b/>
          <w:color w:val="000000" w:themeColor="text1"/>
          <w:sz w:val="14"/>
          <w:szCs w:val="14"/>
        </w:rPr>
      </w:pPr>
    </w:p>
    <w:p w14:paraId="01097FB0" w14:textId="77777777" w:rsidR="0046774D" w:rsidRPr="00A65CC5" w:rsidRDefault="007D4732" w:rsidP="004D4A56">
      <w:pPr>
        <w:spacing w:before="80" w:after="80"/>
        <w:jc w:val="both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A65CC5">
        <w:rPr>
          <w:rFonts w:ascii="Arial" w:hAnsi="Arial" w:cs="Arial"/>
          <w:b/>
          <w:color w:val="000000" w:themeColor="text1"/>
          <w:sz w:val="22"/>
          <w:szCs w:val="22"/>
        </w:rPr>
        <w:t xml:space="preserve">Banka, </w:t>
      </w:r>
      <w:r w:rsidR="00A64F40" w:rsidRPr="00A65CC5">
        <w:rPr>
          <w:rFonts w:ascii="Arial" w:hAnsi="Arial" w:cs="Arial"/>
          <w:b/>
          <w:color w:val="000000" w:themeColor="text1"/>
          <w:sz w:val="22"/>
          <w:szCs w:val="22"/>
        </w:rPr>
        <w:t>Ş</w:t>
      </w:r>
      <w:r w:rsidR="0046774D" w:rsidRPr="00A65CC5">
        <w:rPr>
          <w:rFonts w:ascii="Arial" w:hAnsi="Arial" w:cs="Arial"/>
          <w:b/>
          <w:color w:val="000000" w:themeColor="text1"/>
          <w:sz w:val="22"/>
          <w:szCs w:val="22"/>
        </w:rPr>
        <w:t>ube</w:t>
      </w:r>
      <w:r w:rsidR="00F06649" w:rsidRPr="00A65CC5">
        <w:rPr>
          <w:rFonts w:ascii="Arial" w:hAnsi="Arial" w:cs="Arial"/>
          <w:b/>
          <w:color w:val="000000" w:themeColor="text1"/>
          <w:sz w:val="22"/>
          <w:szCs w:val="22"/>
        </w:rPr>
        <w:t xml:space="preserve"> ve </w:t>
      </w:r>
      <w:r w:rsidR="00D11839" w:rsidRPr="00A65CC5">
        <w:rPr>
          <w:rFonts w:ascii="Arial" w:hAnsi="Arial" w:cs="Arial"/>
          <w:b/>
          <w:color w:val="000000" w:themeColor="text1"/>
          <w:sz w:val="22"/>
          <w:szCs w:val="22"/>
        </w:rPr>
        <w:t>Çalışan</w:t>
      </w:r>
      <w:r w:rsidR="0046774D" w:rsidRPr="00A65CC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33C3B" w:rsidRPr="00A65CC5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46774D" w:rsidRPr="00A65CC5">
        <w:rPr>
          <w:rFonts w:ascii="Arial" w:hAnsi="Arial" w:cs="Arial"/>
          <w:b/>
          <w:color w:val="000000" w:themeColor="text1"/>
          <w:sz w:val="22"/>
          <w:szCs w:val="22"/>
        </w:rPr>
        <w:t>ayısı</w:t>
      </w:r>
      <w:r w:rsidR="00926BB9" w:rsidRPr="00A65CC5">
        <w:rPr>
          <w:rFonts w:ascii="Arial" w:hAnsi="Arial" w:cs="Arial"/>
          <w:b/>
          <w:color w:val="000000" w:themeColor="text1"/>
          <w:sz w:val="22"/>
          <w:szCs w:val="22"/>
        </w:rPr>
        <w:t>; Coğrafi Dağılım</w:t>
      </w:r>
    </w:p>
    <w:p w14:paraId="64744180" w14:textId="77777777" w:rsidR="00926BB9" w:rsidRPr="00063513" w:rsidRDefault="00926BB9" w:rsidP="004D4A56">
      <w:pPr>
        <w:spacing w:before="80" w:after="8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5B01BF0A" w14:textId="77777777" w:rsidR="007D4732" w:rsidRPr="00063513" w:rsidRDefault="007D4732" w:rsidP="004D4A56">
      <w:pPr>
        <w:spacing w:before="80" w:after="80"/>
        <w:jc w:val="both"/>
        <w:rPr>
          <w:rFonts w:ascii="Arial" w:hAnsi="Arial" w:cs="Arial"/>
          <w:sz w:val="22"/>
          <w:szCs w:val="22"/>
        </w:rPr>
      </w:pPr>
      <w:r w:rsidRPr="00063513">
        <w:rPr>
          <w:rFonts w:ascii="Arial" w:hAnsi="Arial" w:cs="Arial"/>
          <w:sz w:val="22"/>
          <w:szCs w:val="22"/>
        </w:rPr>
        <w:t xml:space="preserve">5 banka Türkiye’nin 81 ilinde de faaliyet göstermektedir. </w:t>
      </w:r>
    </w:p>
    <w:p w14:paraId="6D0ACB61" w14:textId="177EA9A3" w:rsidR="003A66B1" w:rsidRPr="00063513" w:rsidRDefault="00990905" w:rsidP="004D4A56">
      <w:pPr>
        <w:spacing w:before="80" w:after="80"/>
        <w:jc w:val="both"/>
        <w:rPr>
          <w:rFonts w:ascii="Arial" w:hAnsi="Arial" w:cs="Arial"/>
          <w:sz w:val="22"/>
          <w:szCs w:val="22"/>
        </w:rPr>
      </w:pPr>
      <w:r w:rsidRPr="00063513">
        <w:rPr>
          <w:rFonts w:ascii="Arial" w:hAnsi="Arial" w:cs="Arial"/>
          <w:sz w:val="22"/>
          <w:szCs w:val="22"/>
        </w:rPr>
        <w:t xml:space="preserve">İstanbul </w:t>
      </w:r>
      <w:r w:rsidR="00C724E9" w:rsidRPr="00063513">
        <w:rPr>
          <w:rFonts w:ascii="Arial" w:hAnsi="Arial" w:cs="Arial"/>
          <w:sz w:val="22"/>
          <w:szCs w:val="22"/>
        </w:rPr>
        <w:t>2.</w:t>
      </w:r>
      <w:r w:rsidR="00A65CC5" w:rsidRPr="00063513">
        <w:rPr>
          <w:rFonts w:ascii="Arial" w:hAnsi="Arial" w:cs="Arial"/>
          <w:sz w:val="22"/>
          <w:szCs w:val="22"/>
        </w:rPr>
        <w:t>3</w:t>
      </w:r>
      <w:r w:rsidR="00063513" w:rsidRPr="00063513">
        <w:rPr>
          <w:rFonts w:ascii="Arial" w:hAnsi="Arial" w:cs="Arial"/>
          <w:sz w:val="22"/>
          <w:szCs w:val="22"/>
        </w:rPr>
        <w:t>42</w:t>
      </w:r>
      <w:r w:rsidR="003A66B1" w:rsidRPr="00063513">
        <w:rPr>
          <w:rFonts w:ascii="Arial" w:hAnsi="Arial" w:cs="Arial"/>
          <w:sz w:val="22"/>
          <w:szCs w:val="22"/>
        </w:rPr>
        <w:t xml:space="preserve"> şube </w:t>
      </w:r>
      <w:r w:rsidR="00326F80" w:rsidRPr="00063513">
        <w:rPr>
          <w:rFonts w:ascii="Arial" w:hAnsi="Arial" w:cs="Arial"/>
          <w:sz w:val="22"/>
          <w:szCs w:val="22"/>
        </w:rPr>
        <w:t xml:space="preserve">ve yüzde </w:t>
      </w:r>
      <w:r w:rsidR="009C64D6" w:rsidRPr="00063513">
        <w:rPr>
          <w:rFonts w:ascii="Arial" w:hAnsi="Arial" w:cs="Arial"/>
          <w:sz w:val="22"/>
          <w:szCs w:val="22"/>
        </w:rPr>
        <w:t>2</w:t>
      </w:r>
      <w:r w:rsidR="00063513" w:rsidRPr="00063513">
        <w:rPr>
          <w:rFonts w:ascii="Arial" w:hAnsi="Arial" w:cs="Arial"/>
          <w:sz w:val="22"/>
          <w:szCs w:val="22"/>
        </w:rPr>
        <w:t>5,8</w:t>
      </w:r>
      <w:r w:rsidR="00326F80" w:rsidRPr="00063513">
        <w:rPr>
          <w:rFonts w:ascii="Arial" w:hAnsi="Arial" w:cs="Arial"/>
          <w:sz w:val="22"/>
          <w:szCs w:val="22"/>
        </w:rPr>
        <w:t xml:space="preserve"> pay ile</w:t>
      </w:r>
      <w:r w:rsidR="003A66B1" w:rsidRPr="00063513">
        <w:rPr>
          <w:rFonts w:ascii="Arial" w:hAnsi="Arial" w:cs="Arial"/>
          <w:sz w:val="22"/>
          <w:szCs w:val="22"/>
        </w:rPr>
        <w:t xml:space="preserve"> en çok şubeye sahip olan bölgedir.</w:t>
      </w:r>
      <w:r w:rsidR="00112FE4" w:rsidRPr="00063513">
        <w:rPr>
          <w:rFonts w:ascii="Arial" w:hAnsi="Arial" w:cs="Arial"/>
          <w:sz w:val="22"/>
          <w:szCs w:val="22"/>
        </w:rPr>
        <w:t xml:space="preserve"> </w:t>
      </w:r>
      <w:r w:rsidR="009C64D6" w:rsidRPr="00063513">
        <w:rPr>
          <w:rFonts w:ascii="Arial" w:hAnsi="Arial" w:cs="Arial"/>
          <w:sz w:val="22"/>
          <w:szCs w:val="22"/>
        </w:rPr>
        <w:t>İstanbul’u 1.</w:t>
      </w:r>
      <w:r w:rsidR="00A65CC5" w:rsidRPr="00063513">
        <w:rPr>
          <w:rFonts w:ascii="Arial" w:hAnsi="Arial" w:cs="Arial"/>
          <w:sz w:val="22"/>
          <w:szCs w:val="22"/>
        </w:rPr>
        <w:t>3</w:t>
      </w:r>
      <w:r w:rsidR="00063513" w:rsidRPr="00063513">
        <w:rPr>
          <w:rFonts w:ascii="Arial" w:hAnsi="Arial" w:cs="Arial"/>
          <w:sz w:val="22"/>
          <w:szCs w:val="22"/>
        </w:rPr>
        <w:t>61</w:t>
      </w:r>
      <w:r w:rsidR="003A66B1" w:rsidRPr="00063513">
        <w:rPr>
          <w:rFonts w:ascii="Arial" w:hAnsi="Arial" w:cs="Arial"/>
          <w:sz w:val="22"/>
          <w:szCs w:val="22"/>
        </w:rPr>
        <w:t xml:space="preserve"> </w:t>
      </w:r>
      <w:r w:rsidR="000644CC" w:rsidRPr="00063513">
        <w:rPr>
          <w:rFonts w:ascii="Arial" w:hAnsi="Arial" w:cs="Arial"/>
          <w:sz w:val="22"/>
          <w:szCs w:val="22"/>
        </w:rPr>
        <w:t>şube ve yüzde 15 pay ile Ege,</w:t>
      </w:r>
      <w:r w:rsidR="00CC66F8" w:rsidRPr="00063513">
        <w:rPr>
          <w:rFonts w:ascii="Arial" w:hAnsi="Arial" w:cs="Arial"/>
          <w:sz w:val="22"/>
          <w:szCs w:val="22"/>
        </w:rPr>
        <w:t xml:space="preserve"> </w:t>
      </w:r>
      <w:r w:rsidRPr="00063513">
        <w:rPr>
          <w:rFonts w:ascii="Arial" w:hAnsi="Arial" w:cs="Arial"/>
          <w:sz w:val="22"/>
          <w:szCs w:val="22"/>
        </w:rPr>
        <w:t>1.</w:t>
      </w:r>
      <w:r w:rsidR="00A65CC5" w:rsidRPr="00063513">
        <w:rPr>
          <w:rFonts w:ascii="Arial" w:hAnsi="Arial" w:cs="Arial"/>
          <w:sz w:val="22"/>
          <w:szCs w:val="22"/>
        </w:rPr>
        <w:t>0</w:t>
      </w:r>
      <w:r w:rsidR="00063513" w:rsidRPr="00063513">
        <w:rPr>
          <w:rFonts w:ascii="Arial" w:hAnsi="Arial" w:cs="Arial"/>
          <w:sz w:val="22"/>
          <w:szCs w:val="22"/>
        </w:rPr>
        <w:t>77</w:t>
      </w:r>
      <w:r w:rsidR="003A66B1" w:rsidRPr="00063513">
        <w:rPr>
          <w:rFonts w:ascii="Arial" w:hAnsi="Arial" w:cs="Arial"/>
          <w:sz w:val="22"/>
          <w:szCs w:val="22"/>
        </w:rPr>
        <w:t xml:space="preserve"> şube ve yüzde </w:t>
      </w:r>
      <w:r w:rsidR="00063513" w:rsidRPr="00063513">
        <w:rPr>
          <w:rFonts w:ascii="Arial" w:hAnsi="Arial" w:cs="Arial"/>
          <w:sz w:val="22"/>
          <w:szCs w:val="22"/>
        </w:rPr>
        <w:t>11,9</w:t>
      </w:r>
      <w:r w:rsidR="003A66B1" w:rsidRPr="00063513">
        <w:rPr>
          <w:rFonts w:ascii="Arial" w:hAnsi="Arial" w:cs="Arial"/>
          <w:sz w:val="22"/>
          <w:szCs w:val="22"/>
        </w:rPr>
        <w:t xml:space="preserve"> pay ile Batı Anadolu bölgeleri izlemektedir. </w:t>
      </w:r>
    </w:p>
    <w:p w14:paraId="522945E4" w14:textId="4952C9F1" w:rsidR="0046774D" w:rsidRPr="00063513" w:rsidRDefault="0046774D" w:rsidP="004D4A56">
      <w:pPr>
        <w:spacing w:before="80" w:after="80"/>
        <w:jc w:val="both"/>
        <w:rPr>
          <w:rFonts w:ascii="Arial" w:hAnsi="Arial" w:cs="Arial"/>
          <w:sz w:val="22"/>
          <w:szCs w:val="22"/>
        </w:rPr>
      </w:pPr>
      <w:r w:rsidRPr="00063513">
        <w:rPr>
          <w:rFonts w:ascii="Arial" w:hAnsi="Arial" w:cs="Arial"/>
          <w:sz w:val="22"/>
          <w:szCs w:val="22"/>
        </w:rPr>
        <w:t>İs</w:t>
      </w:r>
      <w:r w:rsidR="0067146F" w:rsidRPr="00063513">
        <w:rPr>
          <w:rFonts w:ascii="Arial" w:hAnsi="Arial" w:cs="Arial"/>
          <w:sz w:val="22"/>
          <w:szCs w:val="22"/>
        </w:rPr>
        <w:t xml:space="preserve">tanbul, Ankara ve İzmir’de </w:t>
      </w:r>
      <w:r w:rsidR="00A86373" w:rsidRPr="00063513">
        <w:rPr>
          <w:rFonts w:ascii="Arial" w:hAnsi="Arial" w:cs="Arial"/>
          <w:sz w:val="22"/>
          <w:szCs w:val="22"/>
        </w:rPr>
        <w:t>3.</w:t>
      </w:r>
      <w:r w:rsidR="00063513" w:rsidRPr="00063513">
        <w:rPr>
          <w:rFonts w:ascii="Arial" w:hAnsi="Arial" w:cs="Arial"/>
          <w:sz w:val="22"/>
          <w:szCs w:val="22"/>
        </w:rPr>
        <w:t>824</w:t>
      </w:r>
      <w:r w:rsidR="006D32B4" w:rsidRPr="00063513">
        <w:rPr>
          <w:rFonts w:ascii="Arial" w:hAnsi="Arial" w:cs="Arial"/>
          <w:sz w:val="22"/>
          <w:szCs w:val="22"/>
        </w:rPr>
        <w:t xml:space="preserve"> adet şube, </w:t>
      </w:r>
      <w:r w:rsidR="00BF0298" w:rsidRPr="00063513">
        <w:rPr>
          <w:rFonts w:ascii="Arial" w:hAnsi="Arial" w:cs="Arial"/>
          <w:sz w:val="22"/>
          <w:szCs w:val="22"/>
        </w:rPr>
        <w:t>toplam yurtiçi şubelerin yüzde 4</w:t>
      </w:r>
      <w:r w:rsidR="00B62028" w:rsidRPr="00063513">
        <w:rPr>
          <w:rFonts w:ascii="Arial" w:hAnsi="Arial" w:cs="Arial"/>
          <w:sz w:val="22"/>
          <w:szCs w:val="22"/>
        </w:rPr>
        <w:t>2</w:t>
      </w:r>
      <w:r w:rsidR="00EF2527" w:rsidRPr="00063513">
        <w:rPr>
          <w:rFonts w:ascii="Arial" w:hAnsi="Arial" w:cs="Arial"/>
          <w:sz w:val="22"/>
          <w:szCs w:val="22"/>
        </w:rPr>
        <w:t>’</w:t>
      </w:r>
      <w:r w:rsidR="00B62028" w:rsidRPr="00063513">
        <w:rPr>
          <w:rFonts w:ascii="Arial" w:hAnsi="Arial" w:cs="Arial"/>
          <w:sz w:val="22"/>
          <w:szCs w:val="22"/>
        </w:rPr>
        <w:t>sini</w:t>
      </w:r>
      <w:r w:rsidRPr="00063513">
        <w:rPr>
          <w:rFonts w:ascii="Arial" w:hAnsi="Arial" w:cs="Arial"/>
          <w:sz w:val="22"/>
          <w:szCs w:val="22"/>
        </w:rPr>
        <w:t xml:space="preserve"> oluşturmaktadır.</w:t>
      </w:r>
    </w:p>
    <w:p w14:paraId="146B2D33" w14:textId="133183A9" w:rsidR="00F06649" w:rsidRPr="00063513" w:rsidRDefault="00AB3DA1" w:rsidP="004D4A56">
      <w:pPr>
        <w:spacing w:before="80" w:after="80"/>
        <w:jc w:val="both"/>
        <w:rPr>
          <w:rFonts w:ascii="Arial" w:hAnsi="Arial" w:cs="Arial"/>
          <w:sz w:val="22"/>
          <w:szCs w:val="22"/>
        </w:rPr>
      </w:pPr>
      <w:r w:rsidRPr="00063513">
        <w:rPr>
          <w:rFonts w:ascii="Arial" w:hAnsi="Arial" w:cs="Arial"/>
          <w:sz w:val="22"/>
          <w:szCs w:val="22"/>
        </w:rPr>
        <w:t xml:space="preserve">Türkiye’de </w:t>
      </w:r>
      <w:r w:rsidR="00A86373" w:rsidRPr="00063513">
        <w:rPr>
          <w:rFonts w:ascii="Arial" w:hAnsi="Arial" w:cs="Arial"/>
          <w:sz w:val="22"/>
          <w:szCs w:val="22"/>
        </w:rPr>
        <w:t>202</w:t>
      </w:r>
      <w:r w:rsidR="00063513" w:rsidRPr="00063513">
        <w:rPr>
          <w:rFonts w:ascii="Arial" w:hAnsi="Arial" w:cs="Arial"/>
          <w:sz w:val="22"/>
          <w:szCs w:val="22"/>
        </w:rPr>
        <w:t>5</w:t>
      </w:r>
      <w:r w:rsidR="00F06649" w:rsidRPr="00063513">
        <w:rPr>
          <w:rFonts w:ascii="Arial" w:hAnsi="Arial" w:cs="Arial"/>
          <w:sz w:val="22"/>
          <w:szCs w:val="22"/>
        </w:rPr>
        <w:t xml:space="preserve"> sonunda en fazla ban</w:t>
      </w:r>
      <w:r w:rsidRPr="00063513">
        <w:rPr>
          <w:rFonts w:ascii="Arial" w:hAnsi="Arial" w:cs="Arial"/>
          <w:sz w:val="22"/>
          <w:szCs w:val="22"/>
        </w:rPr>
        <w:t xml:space="preserve">ka personelinin çalıştığı il, </w:t>
      </w:r>
      <w:r w:rsidR="00063513" w:rsidRPr="00063513">
        <w:rPr>
          <w:rFonts w:ascii="Arial" w:hAnsi="Arial" w:cs="Arial"/>
          <w:sz w:val="22"/>
          <w:szCs w:val="22"/>
        </w:rPr>
        <w:t>83.582</w:t>
      </w:r>
      <w:r w:rsidR="00930E3F" w:rsidRPr="00063513">
        <w:rPr>
          <w:rFonts w:ascii="Arial" w:hAnsi="Arial" w:cs="Arial"/>
          <w:sz w:val="22"/>
          <w:szCs w:val="22"/>
        </w:rPr>
        <w:t xml:space="preserve"> </w:t>
      </w:r>
      <w:r w:rsidR="00F06649" w:rsidRPr="00063513">
        <w:rPr>
          <w:rFonts w:ascii="Arial" w:hAnsi="Arial" w:cs="Arial"/>
          <w:sz w:val="22"/>
          <w:szCs w:val="22"/>
        </w:rPr>
        <w:t xml:space="preserve">kişi ile </w:t>
      </w:r>
      <w:r w:rsidR="00F70944" w:rsidRPr="00063513">
        <w:rPr>
          <w:rFonts w:ascii="Arial" w:hAnsi="Arial" w:cs="Arial"/>
          <w:sz w:val="22"/>
          <w:szCs w:val="22"/>
        </w:rPr>
        <w:t xml:space="preserve">genel müdürlüklerin </w:t>
      </w:r>
      <w:r w:rsidR="00083DCD" w:rsidRPr="00063513">
        <w:rPr>
          <w:rFonts w:ascii="Arial" w:hAnsi="Arial" w:cs="Arial"/>
          <w:sz w:val="22"/>
          <w:szCs w:val="22"/>
        </w:rPr>
        <w:t xml:space="preserve">tamamına yakınının </w:t>
      </w:r>
      <w:r w:rsidR="00F70944" w:rsidRPr="00063513">
        <w:rPr>
          <w:rFonts w:ascii="Arial" w:hAnsi="Arial" w:cs="Arial"/>
          <w:sz w:val="22"/>
          <w:szCs w:val="22"/>
        </w:rPr>
        <w:t xml:space="preserve">bulunduğu </w:t>
      </w:r>
      <w:r w:rsidR="00F06649" w:rsidRPr="00063513">
        <w:rPr>
          <w:rFonts w:ascii="Arial" w:hAnsi="Arial" w:cs="Arial"/>
          <w:sz w:val="22"/>
          <w:szCs w:val="22"/>
        </w:rPr>
        <w:t xml:space="preserve">İstanbul olmuştur. </w:t>
      </w:r>
      <w:r w:rsidR="0040697D" w:rsidRPr="00063513">
        <w:rPr>
          <w:rFonts w:ascii="Arial" w:hAnsi="Arial" w:cs="Arial"/>
          <w:sz w:val="22"/>
          <w:szCs w:val="22"/>
        </w:rPr>
        <w:t>Ank</w:t>
      </w:r>
      <w:r w:rsidRPr="00063513">
        <w:rPr>
          <w:rFonts w:ascii="Arial" w:hAnsi="Arial" w:cs="Arial"/>
          <w:sz w:val="22"/>
          <w:szCs w:val="22"/>
        </w:rPr>
        <w:t xml:space="preserve">ara ve İzmir’de sırasıyla </w:t>
      </w:r>
      <w:r w:rsidR="00063513" w:rsidRPr="00063513">
        <w:rPr>
          <w:rFonts w:ascii="Arial" w:hAnsi="Arial" w:cs="Arial"/>
          <w:sz w:val="22"/>
          <w:szCs w:val="22"/>
        </w:rPr>
        <w:t>18.621</w:t>
      </w:r>
      <w:r w:rsidR="00D47917" w:rsidRPr="00063513">
        <w:rPr>
          <w:rFonts w:ascii="Arial" w:hAnsi="Arial" w:cs="Arial"/>
          <w:sz w:val="22"/>
          <w:szCs w:val="22"/>
        </w:rPr>
        <w:t xml:space="preserve"> </w:t>
      </w:r>
      <w:r w:rsidRPr="00063513">
        <w:rPr>
          <w:rFonts w:ascii="Arial" w:hAnsi="Arial" w:cs="Arial"/>
          <w:sz w:val="22"/>
          <w:szCs w:val="22"/>
        </w:rPr>
        <w:t xml:space="preserve">ve </w:t>
      </w:r>
      <w:r w:rsidR="00B56403" w:rsidRPr="00063513">
        <w:rPr>
          <w:rFonts w:ascii="Arial" w:hAnsi="Arial" w:cs="Arial"/>
          <w:sz w:val="22"/>
          <w:szCs w:val="22"/>
        </w:rPr>
        <w:t>9.</w:t>
      </w:r>
      <w:r w:rsidR="00063513" w:rsidRPr="00063513">
        <w:rPr>
          <w:rFonts w:ascii="Arial" w:hAnsi="Arial" w:cs="Arial"/>
          <w:sz w:val="22"/>
          <w:szCs w:val="22"/>
        </w:rPr>
        <w:t>943</w:t>
      </w:r>
      <w:r w:rsidR="00D47917" w:rsidRPr="00063513">
        <w:rPr>
          <w:rFonts w:ascii="Arial" w:hAnsi="Arial" w:cs="Arial"/>
          <w:sz w:val="22"/>
          <w:szCs w:val="22"/>
        </w:rPr>
        <w:t xml:space="preserve"> </w:t>
      </w:r>
      <w:r w:rsidR="0040697D" w:rsidRPr="00063513">
        <w:rPr>
          <w:rFonts w:ascii="Arial" w:hAnsi="Arial" w:cs="Arial"/>
          <w:sz w:val="22"/>
          <w:szCs w:val="22"/>
        </w:rPr>
        <w:t>personel görev yapmaktadır.</w:t>
      </w:r>
      <w:r w:rsidR="001C35EC" w:rsidRPr="00063513">
        <w:rPr>
          <w:rFonts w:ascii="Arial" w:hAnsi="Arial" w:cs="Arial"/>
          <w:sz w:val="22"/>
          <w:szCs w:val="22"/>
        </w:rPr>
        <w:t xml:space="preserve"> </w:t>
      </w:r>
    </w:p>
    <w:p w14:paraId="6EB1AA2F" w14:textId="77777777" w:rsidR="00AF5AC4" w:rsidRPr="000E6F36" w:rsidRDefault="00AF5AC4" w:rsidP="004D4A56">
      <w:pPr>
        <w:spacing w:before="80" w:after="80"/>
        <w:jc w:val="both"/>
        <w:rPr>
          <w:rFonts w:ascii="Arial" w:hAnsi="Arial" w:cs="Arial"/>
          <w:b/>
          <w:bCs/>
          <w:sz w:val="22"/>
          <w:szCs w:val="22"/>
        </w:rPr>
      </w:pPr>
      <w:r w:rsidRPr="00063513">
        <w:rPr>
          <w:rFonts w:ascii="Arial" w:hAnsi="Arial" w:cs="Arial"/>
          <w:b/>
          <w:bCs/>
          <w:sz w:val="22"/>
          <w:szCs w:val="22"/>
        </w:rPr>
        <w:t>K</w:t>
      </w:r>
      <w:r w:rsidR="00D11839" w:rsidRPr="00063513">
        <w:rPr>
          <w:rFonts w:ascii="Arial" w:hAnsi="Arial" w:cs="Arial"/>
          <w:b/>
          <w:bCs/>
          <w:sz w:val="22"/>
          <w:szCs w:val="22"/>
        </w:rPr>
        <w:t>redi ve Mevduat</w:t>
      </w:r>
    </w:p>
    <w:p w14:paraId="30DAB0CE" w14:textId="3B5699DA" w:rsidR="00D11839" w:rsidRPr="000E6F36" w:rsidRDefault="00D11839" w:rsidP="004D4A56">
      <w:pPr>
        <w:spacing w:before="80" w:after="80"/>
        <w:jc w:val="both"/>
        <w:rPr>
          <w:rFonts w:ascii="Arial" w:hAnsi="Arial" w:cs="Arial"/>
          <w:sz w:val="22"/>
          <w:szCs w:val="22"/>
        </w:rPr>
      </w:pPr>
      <w:r w:rsidRPr="000E6F36">
        <w:rPr>
          <w:rFonts w:ascii="Arial" w:hAnsi="Arial" w:cs="Arial"/>
          <w:sz w:val="22"/>
          <w:szCs w:val="22"/>
        </w:rPr>
        <w:t>Türkiye nüfusunun</w:t>
      </w:r>
      <w:r w:rsidRPr="000E6F36">
        <w:rPr>
          <w:rStyle w:val="FootnoteReference"/>
          <w:rFonts w:ascii="Arial" w:hAnsi="Arial" w:cs="Arial"/>
          <w:sz w:val="22"/>
          <w:szCs w:val="22"/>
        </w:rPr>
        <w:footnoteReference w:id="3"/>
      </w:r>
      <w:r w:rsidRPr="000E6F36">
        <w:rPr>
          <w:rFonts w:ascii="Arial" w:hAnsi="Arial" w:cs="Arial"/>
          <w:sz w:val="22"/>
          <w:szCs w:val="22"/>
        </w:rPr>
        <w:t xml:space="preserve"> yüzde 3</w:t>
      </w:r>
      <w:r w:rsidR="00620924" w:rsidRPr="000E6F36">
        <w:rPr>
          <w:rFonts w:ascii="Arial" w:hAnsi="Arial" w:cs="Arial"/>
          <w:sz w:val="22"/>
          <w:szCs w:val="22"/>
        </w:rPr>
        <w:t>0’una</w:t>
      </w:r>
      <w:r w:rsidRPr="000E6F36">
        <w:rPr>
          <w:rFonts w:ascii="Arial" w:hAnsi="Arial" w:cs="Arial"/>
          <w:sz w:val="22"/>
          <w:szCs w:val="22"/>
        </w:rPr>
        <w:t xml:space="preserve"> sahip olan üç büyük ilde, toplam mevduatın yüzde 67’si ve toplam kredilerin yüzde </w:t>
      </w:r>
      <w:r w:rsidR="00252339" w:rsidRPr="000E6F36">
        <w:rPr>
          <w:rFonts w:ascii="Arial" w:hAnsi="Arial" w:cs="Arial"/>
          <w:sz w:val="22"/>
          <w:szCs w:val="22"/>
        </w:rPr>
        <w:t>56’sı</w:t>
      </w:r>
      <w:r w:rsidR="0044405F" w:rsidRPr="000E6F36">
        <w:rPr>
          <w:rFonts w:ascii="Arial" w:hAnsi="Arial" w:cs="Arial"/>
          <w:sz w:val="22"/>
          <w:szCs w:val="22"/>
        </w:rPr>
        <w:t xml:space="preserve"> </w:t>
      </w:r>
      <w:r w:rsidRPr="000E6F36">
        <w:rPr>
          <w:rFonts w:ascii="Arial" w:hAnsi="Arial" w:cs="Arial"/>
          <w:sz w:val="22"/>
          <w:szCs w:val="22"/>
        </w:rPr>
        <w:t>bulunmaktadır.</w:t>
      </w:r>
    </w:p>
    <w:p w14:paraId="50BD9FAF" w14:textId="76DE33D2" w:rsidR="00C16EF7" w:rsidRPr="00CF26B5" w:rsidRDefault="00C16EF7" w:rsidP="004D4A56">
      <w:pPr>
        <w:spacing w:before="80" w:after="80"/>
        <w:jc w:val="both"/>
        <w:rPr>
          <w:rFonts w:ascii="Arial" w:hAnsi="Arial" w:cs="Arial"/>
          <w:sz w:val="22"/>
          <w:szCs w:val="22"/>
        </w:rPr>
      </w:pPr>
      <w:r w:rsidRPr="000E6F36">
        <w:rPr>
          <w:rFonts w:ascii="Arial" w:hAnsi="Arial" w:cs="Arial"/>
          <w:sz w:val="22"/>
          <w:szCs w:val="22"/>
        </w:rPr>
        <w:t>Kişi başına kredi ve mevduatın en yüksek olduğu il İstanbul’dur. Aynı zamanda İstanbul toplam mevduatın yüzde 4</w:t>
      </w:r>
      <w:r w:rsidR="000E6F36" w:rsidRPr="000E6F36">
        <w:rPr>
          <w:rFonts w:ascii="Arial" w:hAnsi="Arial" w:cs="Arial"/>
          <w:sz w:val="22"/>
          <w:szCs w:val="22"/>
        </w:rPr>
        <w:t>7</w:t>
      </w:r>
      <w:r w:rsidR="00402CBA" w:rsidRPr="000E6F36">
        <w:rPr>
          <w:rFonts w:ascii="Arial" w:hAnsi="Arial" w:cs="Arial"/>
          <w:sz w:val="22"/>
          <w:szCs w:val="22"/>
        </w:rPr>
        <w:t>’</w:t>
      </w:r>
      <w:r w:rsidR="000E6F36" w:rsidRPr="000E6F36">
        <w:rPr>
          <w:rFonts w:ascii="Arial" w:hAnsi="Arial" w:cs="Arial"/>
          <w:sz w:val="22"/>
          <w:szCs w:val="22"/>
        </w:rPr>
        <w:t>s</w:t>
      </w:r>
      <w:r w:rsidR="00402CBA" w:rsidRPr="000E6F36">
        <w:rPr>
          <w:rFonts w:ascii="Arial" w:hAnsi="Arial" w:cs="Arial"/>
          <w:sz w:val="22"/>
          <w:szCs w:val="22"/>
        </w:rPr>
        <w:t xml:space="preserve">ini </w:t>
      </w:r>
      <w:r w:rsidRPr="000E6F36">
        <w:rPr>
          <w:rFonts w:ascii="Arial" w:hAnsi="Arial" w:cs="Arial"/>
          <w:sz w:val="22"/>
          <w:szCs w:val="22"/>
        </w:rPr>
        <w:t xml:space="preserve">ve toplam kredilerin </w:t>
      </w:r>
      <w:r w:rsidRPr="00CF26B5">
        <w:rPr>
          <w:rFonts w:ascii="Arial" w:hAnsi="Arial" w:cs="Arial"/>
          <w:sz w:val="22"/>
          <w:szCs w:val="22"/>
        </w:rPr>
        <w:t>yüzde</w:t>
      </w:r>
      <w:r w:rsidR="000E6F36" w:rsidRPr="00CF26B5">
        <w:rPr>
          <w:rFonts w:ascii="Arial" w:hAnsi="Arial" w:cs="Arial"/>
          <w:sz w:val="22"/>
          <w:szCs w:val="22"/>
        </w:rPr>
        <w:t xml:space="preserve"> 38’ini</w:t>
      </w:r>
      <w:r w:rsidRPr="00CF26B5">
        <w:rPr>
          <w:rFonts w:ascii="Arial" w:hAnsi="Arial" w:cs="Arial"/>
          <w:sz w:val="22"/>
          <w:szCs w:val="22"/>
        </w:rPr>
        <w:t xml:space="preserve"> sağlamaktadır. Ankara için bu oranlar yüzde 1</w:t>
      </w:r>
      <w:r w:rsidR="000E6F36" w:rsidRPr="00CF26B5">
        <w:rPr>
          <w:rFonts w:ascii="Arial" w:hAnsi="Arial" w:cs="Arial"/>
          <w:sz w:val="22"/>
          <w:szCs w:val="22"/>
        </w:rPr>
        <w:t>5</w:t>
      </w:r>
      <w:r w:rsidRPr="00CF26B5">
        <w:rPr>
          <w:rFonts w:ascii="Arial" w:hAnsi="Arial" w:cs="Arial"/>
          <w:sz w:val="22"/>
          <w:szCs w:val="22"/>
        </w:rPr>
        <w:t xml:space="preserve"> ve yüzde 1</w:t>
      </w:r>
      <w:r w:rsidR="00402CBA" w:rsidRPr="00CF26B5">
        <w:rPr>
          <w:rFonts w:ascii="Arial" w:hAnsi="Arial" w:cs="Arial"/>
          <w:sz w:val="22"/>
          <w:szCs w:val="22"/>
        </w:rPr>
        <w:t>2</w:t>
      </w:r>
      <w:r w:rsidRPr="00CF26B5">
        <w:rPr>
          <w:rFonts w:ascii="Arial" w:hAnsi="Arial" w:cs="Arial"/>
          <w:sz w:val="22"/>
          <w:szCs w:val="22"/>
        </w:rPr>
        <w:t xml:space="preserve"> olarak gerçekleşmiştir.</w:t>
      </w:r>
    </w:p>
    <w:p w14:paraId="15A3D60B" w14:textId="73AEC2D4" w:rsidR="00863950" w:rsidRPr="00CF26B5" w:rsidRDefault="00E00EAF" w:rsidP="004D4A56">
      <w:pPr>
        <w:spacing w:before="80" w:after="80"/>
        <w:jc w:val="both"/>
        <w:rPr>
          <w:rFonts w:ascii="Arial" w:hAnsi="Arial" w:cs="Arial"/>
          <w:b/>
          <w:sz w:val="22"/>
          <w:szCs w:val="22"/>
        </w:rPr>
      </w:pPr>
      <w:r w:rsidRPr="00CF26B5">
        <w:rPr>
          <w:rFonts w:ascii="Arial" w:hAnsi="Arial" w:cs="Arial"/>
          <w:sz w:val="22"/>
          <w:szCs w:val="22"/>
        </w:rPr>
        <w:t xml:space="preserve">Kişi başına mevduat </w:t>
      </w:r>
      <w:r w:rsidR="00A86373" w:rsidRPr="00CF26B5">
        <w:rPr>
          <w:rFonts w:ascii="Arial" w:hAnsi="Arial" w:cs="Arial"/>
          <w:sz w:val="22"/>
          <w:szCs w:val="22"/>
        </w:rPr>
        <w:t>202</w:t>
      </w:r>
      <w:r w:rsidR="00491BAD" w:rsidRPr="00CF26B5">
        <w:rPr>
          <w:rFonts w:ascii="Arial" w:hAnsi="Arial" w:cs="Arial"/>
          <w:sz w:val="22"/>
          <w:szCs w:val="22"/>
        </w:rPr>
        <w:t>5</w:t>
      </w:r>
      <w:r w:rsidRPr="00CF26B5">
        <w:rPr>
          <w:rFonts w:ascii="Arial" w:hAnsi="Arial" w:cs="Arial"/>
          <w:sz w:val="22"/>
          <w:szCs w:val="22"/>
        </w:rPr>
        <w:t xml:space="preserve"> yılında </w:t>
      </w:r>
      <w:r w:rsidR="008C12FA" w:rsidRPr="00CF26B5">
        <w:rPr>
          <w:rFonts w:ascii="Arial" w:hAnsi="Arial" w:cs="Arial"/>
          <w:sz w:val="22"/>
          <w:szCs w:val="22"/>
        </w:rPr>
        <w:t>202</w:t>
      </w:r>
      <w:r w:rsidR="00491BAD" w:rsidRPr="00CF26B5">
        <w:rPr>
          <w:rFonts w:ascii="Arial" w:hAnsi="Arial" w:cs="Arial"/>
          <w:sz w:val="22"/>
          <w:szCs w:val="22"/>
        </w:rPr>
        <w:t>4</w:t>
      </w:r>
      <w:r w:rsidR="008C12FA" w:rsidRPr="00CF26B5">
        <w:rPr>
          <w:rFonts w:ascii="Arial" w:hAnsi="Arial" w:cs="Arial"/>
          <w:sz w:val="22"/>
          <w:szCs w:val="22"/>
        </w:rPr>
        <w:t xml:space="preserve"> yılındaki</w:t>
      </w:r>
      <w:r w:rsidRPr="00CF26B5">
        <w:rPr>
          <w:rFonts w:ascii="Arial" w:hAnsi="Arial" w:cs="Arial"/>
          <w:sz w:val="22"/>
          <w:szCs w:val="22"/>
        </w:rPr>
        <w:t xml:space="preserve"> </w:t>
      </w:r>
      <w:r w:rsidR="00491BAD" w:rsidRPr="00CF26B5">
        <w:rPr>
          <w:rFonts w:ascii="Arial" w:hAnsi="Arial" w:cs="Arial"/>
          <w:sz w:val="22"/>
          <w:szCs w:val="22"/>
        </w:rPr>
        <w:t>209.770</w:t>
      </w:r>
      <w:r w:rsidRPr="00CF26B5">
        <w:rPr>
          <w:rFonts w:ascii="Arial" w:hAnsi="Arial" w:cs="Arial"/>
          <w:sz w:val="22"/>
          <w:szCs w:val="22"/>
        </w:rPr>
        <w:t xml:space="preserve"> TL’</w:t>
      </w:r>
      <w:r w:rsidR="008C12FA" w:rsidRPr="00CF26B5">
        <w:rPr>
          <w:rFonts w:ascii="Arial" w:hAnsi="Arial" w:cs="Arial"/>
          <w:sz w:val="22"/>
          <w:szCs w:val="22"/>
        </w:rPr>
        <w:t xml:space="preserve">den </w:t>
      </w:r>
      <w:r w:rsidR="00491BAD" w:rsidRPr="00CF26B5">
        <w:rPr>
          <w:rFonts w:ascii="Arial" w:hAnsi="Arial" w:cs="Arial"/>
          <w:sz w:val="22"/>
          <w:szCs w:val="22"/>
        </w:rPr>
        <w:t>293.394</w:t>
      </w:r>
      <w:r w:rsidR="008C12FA" w:rsidRPr="00CF26B5">
        <w:rPr>
          <w:rFonts w:ascii="Arial" w:hAnsi="Arial" w:cs="Arial"/>
          <w:sz w:val="22"/>
          <w:szCs w:val="22"/>
        </w:rPr>
        <w:t xml:space="preserve"> TL’ye</w:t>
      </w:r>
      <w:r w:rsidRPr="00CF26B5">
        <w:rPr>
          <w:rFonts w:ascii="Arial" w:hAnsi="Arial" w:cs="Arial"/>
          <w:sz w:val="22"/>
          <w:szCs w:val="22"/>
        </w:rPr>
        <w:t xml:space="preserve">, kişi başına yurtiçi kredi ise </w:t>
      </w:r>
      <w:r w:rsidR="00CF26B5" w:rsidRPr="00CF26B5">
        <w:rPr>
          <w:rFonts w:ascii="Arial" w:hAnsi="Arial" w:cs="Arial"/>
          <w:sz w:val="22"/>
          <w:szCs w:val="22"/>
        </w:rPr>
        <w:t>172.835</w:t>
      </w:r>
      <w:r w:rsidR="008C12FA" w:rsidRPr="00CF26B5">
        <w:rPr>
          <w:rFonts w:ascii="Arial" w:hAnsi="Arial" w:cs="Arial"/>
          <w:sz w:val="22"/>
          <w:szCs w:val="22"/>
        </w:rPr>
        <w:t xml:space="preserve"> </w:t>
      </w:r>
      <w:r w:rsidRPr="00CF26B5">
        <w:rPr>
          <w:rFonts w:ascii="Arial" w:hAnsi="Arial" w:cs="Arial"/>
          <w:sz w:val="22"/>
          <w:szCs w:val="22"/>
        </w:rPr>
        <w:t xml:space="preserve">TL’den </w:t>
      </w:r>
      <w:r w:rsidR="00CF26B5" w:rsidRPr="00CF26B5">
        <w:rPr>
          <w:rFonts w:ascii="Arial" w:hAnsi="Arial" w:cs="Arial"/>
          <w:sz w:val="22"/>
          <w:szCs w:val="22"/>
        </w:rPr>
        <w:t xml:space="preserve">246.497 </w:t>
      </w:r>
      <w:r w:rsidRPr="00CF26B5">
        <w:rPr>
          <w:rFonts w:ascii="Arial" w:hAnsi="Arial" w:cs="Arial"/>
          <w:sz w:val="22"/>
          <w:szCs w:val="22"/>
        </w:rPr>
        <w:t xml:space="preserve">TL’ye yükselmiştir. </w:t>
      </w:r>
      <w:r w:rsidR="003E7014" w:rsidRPr="00CF26B5">
        <w:rPr>
          <w:rFonts w:ascii="Arial" w:hAnsi="Arial" w:cs="Arial"/>
          <w:b/>
          <w:sz w:val="22"/>
          <w:szCs w:val="22"/>
        </w:rPr>
        <w:t xml:space="preserve">        </w:t>
      </w:r>
    </w:p>
    <w:p w14:paraId="495712D3" w14:textId="02804F28" w:rsidR="00E00EAF" w:rsidRPr="00063513" w:rsidRDefault="003E7014" w:rsidP="004D4A56">
      <w:pPr>
        <w:spacing w:before="80" w:after="8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063513">
        <w:rPr>
          <w:rFonts w:ascii="Arial" w:hAnsi="Arial" w:cs="Arial"/>
          <w:b/>
          <w:color w:val="FF0000"/>
          <w:sz w:val="22"/>
          <w:szCs w:val="22"/>
        </w:rPr>
        <w:t xml:space="preserve">           </w:t>
      </w:r>
    </w:p>
    <w:p w14:paraId="2C7A16A6" w14:textId="659A1B77" w:rsidR="003E7014" w:rsidRPr="00063513" w:rsidRDefault="00491BAD" w:rsidP="00042816">
      <w:pPr>
        <w:spacing w:before="120" w:after="120"/>
        <w:rPr>
          <w:rFonts w:ascii="Arial" w:hAnsi="Arial" w:cs="Arial"/>
          <w:color w:val="FF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2B7C4EA" wp14:editId="641C967F">
            <wp:simplePos x="0" y="0"/>
            <wp:positionH relativeFrom="margin">
              <wp:align>left</wp:align>
            </wp:positionH>
            <wp:positionV relativeFrom="paragraph">
              <wp:posOffset>265430</wp:posOffset>
            </wp:positionV>
            <wp:extent cx="2660400" cy="1738800"/>
            <wp:effectExtent l="0" t="0" r="6985" b="0"/>
            <wp:wrapTight wrapText="bothSides">
              <wp:wrapPolygon edited="0">
                <wp:start x="0" y="0"/>
                <wp:lineTo x="0" y="21300"/>
                <wp:lineTo x="21502" y="21300"/>
                <wp:lineTo x="21502" y="0"/>
                <wp:lineTo x="0" y="0"/>
              </wp:wrapPolygon>
            </wp:wrapTight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042816" w:rsidRPr="00063513">
        <w:rPr>
          <w:rFonts w:ascii="Arial" w:hAnsi="Arial" w:cs="Arial"/>
          <w:b/>
          <w:color w:val="FF0000"/>
          <w:sz w:val="22"/>
          <w:szCs w:val="22"/>
        </w:rPr>
        <w:t xml:space="preserve">        </w:t>
      </w:r>
      <w:r w:rsidR="003E7014" w:rsidRPr="00491BAD">
        <w:rPr>
          <w:rFonts w:ascii="Arial" w:hAnsi="Arial" w:cs="Arial"/>
          <w:b/>
          <w:sz w:val="22"/>
          <w:szCs w:val="22"/>
        </w:rPr>
        <w:t>Kişi Başına Mevduat (TL)</w:t>
      </w:r>
      <w:r w:rsidR="006D502C" w:rsidRPr="00491BAD">
        <w:rPr>
          <w:rFonts w:ascii="Arial" w:hAnsi="Arial" w:cs="Arial"/>
          <w:b/>
          <w:sz w:val="22"/>
          <w:szCs w:val="22"/>
        </w:rPr>
        <w:t xml:space="preserve">                    </w:t>
      </w:r>
      <w:r w:rsidR="00042816" w:rsidRPr="00491BAD">
        <w:rPr>
          <w:rFonts w:ascii="Arial" w:hAnsi="Arial" w:cs="Arial"/>
          <w:b/>
          <w:sz w:val="22"/>
          <w:szCs w:val="22"/>
        </w:rPr>
        <w:t xml:space="preserve">                </w:t>
      </w:r>
      <w:r w:rsidR="006D502C" w:rsidRPr="00CF26B5">
        <w:rPr>
          <w:rFonts w:ascii="Arial" w:hAnsi="Arial" w:cs="Arial"/>
          <w:b/>
          <w:sz w:val="22"/>
          <w:szCs w:val="22"/>
        </w:rPr>
        <w:t>Kişi Başına Kredi (TL)</w:t>
      </w:r>
    </w:p>
    <w:p w14:paraId="62C3AAA8" w14:textId="7ED345C9" w:rsidR="008E1001" w:rsidRPr="00063513" w:rsidRDefault="00491BAD" w:rsidP="004D4A56">
      <w:pPr>
        <w:spacing w:before="80" w:after="8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0A292CDB" wp14:editId="6DF1A149">
            <wp:extent cx="2660400" cy="1738800"/>
            <wp:effectExtent l="0" t="0" r="6985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4DFC674" w14:textId="77777777" w:rsidR="00D701C8" w:rsidRDefault="00D701C8" w:rsidP="007006C9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3D07F5D" w14:textId="77777777" w:rsidR="00D701C8" w:rsidRDefault="00D701C8" w:rsidP="007006C9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7E544374" w14:textId="77777777" w:rsidR="00D701C8" w:rsidRDefault="00D701C8" w:rsidP="007006C9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0776CC65" w14:textId="50B301AE" w:rsidR="007006C9" w:rsidRPr="00E71464" w:rsidRDefault="007006C9" w:rsidP="007006C9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E71464">
        <w:rPr>
          <w:rFonts w:ascii="Arial" w:hAnsi="Arial" w:cs="Arial"/>
          <w:b/>
          <w:bCs/>
          <w:sz w:val="22"/>
          <w:szCs w:val="22"/>
        </w:rPr>
        <w:lastRenderedPageBreak/>
        <w:t xml:space="preserve">Mevduat </w:t>
      </w:r>
    </w:p>
    <w:p w14:paraId="738BFE9A" w14:textId="17053E3E" w:rsidR="007006C9" w:rsidRPr="00E71464" w:rsidRDefault="007006C9" w:rsidP="007006C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71464">
        <w:rPr>
          <w:rFonts w:ascii="Arial" w:hAnsi="Arial" w:cs="Arial"/>
          <w:sz w:val="22"/>
          <w:szCs w:val="22"/>
        </w:rPr>
        <w:t xml:space="preserve">Kişi başına en yüksek mevduat ortalama </w:t>
      </w:r>
      <w:r w:rsidR="00E71464" w:rsidRPr="00E71464">
        <w:rPr>
          <w:rFonts w:ascii="Arial" w:hAnsi="Arial" w:cs="Arial"/>
          <w:sz w:val="22"/>
          <w:szCs w:val="22"/>
        </w:rPr>
        <w:t>754.602</w:t>
      </w:r>
      <w:r w:rsidRPr="00E71464">
        <w:rPr>
          <w:rFonts w:ascii="Arial" w:hAnsi="Arial" w:cs="Arial"/>
          <w:sz w:val="22"/>
          <w:szCs w:val="22"/>
        </w:rPr>
        <w:t xml:space="preserve"> TL ile İstanbul’dadır. Bu ilimizi </w:t>
      </w:r>
      <w:r w:rsidR="00E71464" w:rsidRPr="00E71464">
        <w:rPr>
          <w:rFonts w:ascii="Arial" w:hAnsi="Arial" w:cs="Arial"/>
          <w:sz w:val="22"/>
          <w:szCs w:val="22"/>
        </w:rPr>
        <w:t>645.536</w:t>
      </w:r>
      <w:r w:rsidRPr="00E71464">
        <w:rPr>
          <w:rFonts w:ascii="Arial" w:hAnsi="Arial" w:cs="Arial"/>
          <w:sz w:val="22"/>
          <w:szCs w:val="22"/>
        </w:rPr>
        <w:t xml:space="preserve"> TL ile Ankara ve </w:t>
      </w:r>
      <w:r w:rsidR="00E71464" w:rsidRPr="00E71464">
        <w:rPr>
          <w:rFonts w:ascii="Arial" w:hAnsi="Arial" w:cs="Arial"/>
          <w:sz w:val="22"/>
          <w:szCs w:val="22"/>
        </w:rPr>
        <w:t>308.543</w:t>
      </w:r>
      <w:r w:rsidRPr="00E71464">
        <w:rPr>
          <w:rFonts w:ascii="Arial" w:hAnsi="Arial" w:cs="Arial"/>
          <w:sz w:val="22"/>
          <w:szCs w:val="22"/>
        </w:rPr>
        <w:t xml:space="preserve"> TL ile Muğla izlemektedir. </w:t>
      </w:r>
    </w:p>
    <w:p w14:paraId="5CB357D3" w14:textId="3EEE1063" w:rsidR="007006C9" w:rsidRPr="00E32273" w:rsidRDefault="007006C9" w:rsidP="007006C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71464">
        <w:rPr>
          <w:rFonts w:ascii="Arial" w:hAnsi="Arial" w:cs="Arial"/>
          <w:sz w:val="22"/>
          <w:szCs w:val="22"/>
        </w:rPr>
        <w:t xml:space="preserve">Şube başına en yüksek mevduat </w:t>
      </w:r>
      <w:r w:rsidR="00E71464" w:rsidRPr="00E71464">
        <w:rPr>
          <w:rFonts w:ascii="Arial" w:hAnsi="Arial" w:cs="Arial"/>
          <w:sz w:val="22"/>
          <w:szCs w:val="22"/>
        </w:rPr>
        <w:t>5.076</w:t>
      </w:r>
      <w:r w:rsidRPr="00E71464">
        <w:rPr>
          <w:rFonts w:ascii="Arial" w:hAnsi="Arial" w:cs="Arial"/>
          <w:sz w:val="22"/>
          <w:szCs w:val="22"/>
        </w:rPr>
        <w:t xml:space="preserve"> milyon TL ile İstanbul’dadır. Bu ilimizi </w:t>
      </w:r>
      <w:r w:rsidR="00E71464" w:rsidRPr="00E71464">
        <w:rPr>
          <w:rFonts w:ascii="Arial" w:hAnsi="Arial" w:cs="Arial"/>
          <w:sz w:val="22"/>
          <w:szCs w:val="22"/>
        </w:rPr>
        <w:t>4.473</w:t>
      </w:r>
      <w:r w:rsidRPr="00E71464">
        <w:rPr>
          <w:rFonts w:ascii="Arial" w:hAnsi="Arial" w:cs="Arial"/>
          <w:sz w:val="22"/>
          <w:szCs w:val="22"/>
        </w:rPr>
        <w:t xml:space="preserve"> milyon TL ile </w:t>
      </w:r>
      <w:r w:rsidRPr="00E32273">
        <w:rPr>
          <w:rFonts w:ascii="Arial" w:hAnsi="Arial" w:cs="Arial"/>
          <w:sz w:val="22"/>
          <w:szCs w:val="22"/>
        </w:rPr>
        <w:t xml:space="preserve">Ankara ve </w:t>
      </w:r>
      <w:r w:rsidR="00E71464" w:rsidRPr="00E32273">
        <w:rPr>
          <w:rFonts w:ascii="Arial" w:hAnsi="Arial" w:cs="Arial"/>
          <w:sz w:val="22"/>
          <w:szCs w:val="22"/>
        </w:rPr>
        <w:t>2.261</w:t>
      </w:r>
      <w:r w:rsidRPr="00E32273">
        <w:rPr>
          <w:rFonts w:ascii="Arial" w:hAnsi="Arial" w:cs="Arial"/>
          <w:sz w:val="22"/>
          <w:szCs w:val="22"/>
        </w:rPr>
        <w:t xml:space="preserve"> milyon TL ile Kocaeli (İzmit) izlemektedir.  Şube başına mevduatın Türkiye ortalaması </w:t>
      </w:r>
      <w:r w:rsidR="00E71464" w:rsidRPr="00E32273">
        <w:rPr>
          <w:rFonts w:ascii="Arial" w:hAnsi="Arial" w:cs="Arial"/>
          <w:sz w:val="22"/>
          <w:szCs w:val="22"/>
        </w:rPr>
        <w:t>2.781</w:t>
      </w:r>
      <w:r w:rsidRPr="00E32273">
        <w:rPr>
          <w:rFonts w:ascii="Arial" w:hAnsi="Arial" w:cs="Arial"/>
          <w:sz w:val="22"/>
          <w:szCs w:val="22"/>
        </w:rPr>
        <w:t xml:space="preserve"> milyon TL’dir. </w:t>
      </w:r>
    </w:p>
    <w:p w14:paraId="673D197C" w14:textId="7579D467" w:rsidR="007006C9" w:rsidRPr="00E32273" w:rsidRDefault="00E71464" w:rsidP="007006C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32273">
        <w:rPr>
          <w:rFonts w:ascii="Arial" w:hAnsi="Arial" w:cs="Arial"/>
          <w:sz w:val="22"/>
          <w:szCs w:val="22"/>
        </w:rPr>
        <w:t>Toplam mevduat</w:t>
      </w:r>
      <w:r w:rsidR="007006C9" w:rsidRPr="00E32273">
        <w:rPr>
          <w:rFonts w:ascii="Arial" w:hAnsi="Arial" w:cs="Arial"/>
          <w:sz w:val="22"/>
          <w:szCs w:val="22"/>
        </w:rPr>
        <w:t xml:space="preserve"> içinde tasarruf mevduatı payının en yüksek olduğu bölge yüzde </w:t>
      </w:r>
      <w:r w:rsidR="00E32273" w:rsidRPr="00E32273">
        <w:rPr>
          <w:rFonts w:ascii="Arial" w:hAnsi="Arial" w:cs="Arial"/>
          <w:sz w:val="22"/>
          <w:szCs w:val="22"/>
        </w:rPr>
        <w:t>53</w:t>
      </w:r>
      <w:r w:rsidR="007006C9" w:rsidRPr="00E32273">
        <w:rPr>
          <w:rFonts w:ascii="Arial" w:hAnsi="Arial" w:cs="Arial"/>
          <w:sz w:val="22"/>
          <w:szCs w:val="22"/>
        </w:rPr>
        <w:t xml:space="preserve"> ile Batı Marmara’dır. Döviz mevduatının en yüksek olduğu bölge ise yüzde 3</w:t>
      </w:r>
      <w:r w:rsidR="00E32273" w:rsidRPr="00E32273">
        <w:rPr>
          <w:rFonts w:ascii="Arial" w:hAnsi="Arial" w:cs="Arial"/>
          <w:sz w:val="22"/>
          <w:szCs w:val="22"/>
        </w:rPr>
        <w:t>4</w:t>
      </w:r>
      <w:r w:rsidR="007006C9" w:rsidRPr="00E32273">
        <w:rPr>
          <w:rFonts w:ascii="Arial" w:hAnsi="Arial" w:cs="Arial"/>
          <w:sz w:val="22"/>
          <w:szCs w:val="22"/>
        </w:rPr>
        <w:t xml:space="preserve"> ile Orta Anadolu olmuştur. </w:t>
      </w:r>
    </w:p>
    <w:p w14:paraId="2E07901A" w14:textId="77777777" w:rsidR="00E00EAF" w:rsidRPr="00E32273" w:rsidRDefault="00E00EAF" w:rsidP="004D4A56">
      <w:pPr>
        <w:spacing w:before="80" w:after="80"/>
        <w:jc w:val="both"/>
        <w:rPr>
          <w:rFonts w:ascii="Arial" w:hAnsi="Arial" w:cs="Arial"/>
          <w:b/>
          <w:bCs/>
          <w:sz w:val="22"/>
          <w:szCs w:val="22"/>
        </w:rPr>
      </w:pPr>
      <w:r w:rsidRPr="00E32273">
        <w:rPr>
          <w:rFonts w:ascii="Arial" w:hAnsi="Arial" w:cs="Arial"/>
          <w:b/>
          <w:bCs/>
          <w:sz w:val="22"/>
          <w:szCs w:val="22"/>
        </w:rPr>
        <w:t xml:space="preserve">Kredi </w:t>
      </w:r>
    </w:p>
    <w:p w14:paraId="732FF80E" w14:textId="5EBD06CE" w:rsidR="007C72D5" w:rsidRPr="00E32273" w:rsidRDefault="007C72D5" w:rsidP="004D4A56">
      <w:pPr>
        <w:spacing w:before="80" w:after="80"/>
        <w:jc w:val="both"/>
        <w:rPr>
          <w:rFonts w:ascii="Arial" w:hAnsi="Arial" w:cs="Arial"/>
          <w:sz w:val="22"/>
          <w:szCs w:val="22"/>
        </w:rPr>
      </w:pPr>
      <w:r w:rsidRPr="00E32273">
        <w:rPr>
          <w:rFonts w:ascii="Arial" w:hAnsi="Arial" w:cs="Arial"/>
          <w:sz w:val="22"/>
          <w:szCs w:val="22"/>
        </w:rPr>
        <w:t xml:space="preserve">Kişi başına en yüksek kredi </w:t>
      </w:r>
      <w:r w:rsidR="00E32273" w:rsidRPr="00E32273">
        <w:rPr>
          <w:rFonts w:ascii="Arial" w:hAnsi="Arial" w:cs="Arial"/>
          <w:sz w:val="22"/>
          <w:szCs w:val="22"/>
        </w:rPr>
        <w:t>517.720</w:t>
      </w:r>
      <w:r w:rsidRPr="00E32273">
        <w:rPr>
          <w:rFonts w:ascii="Arial" w:hAnsi="Arial" w:cs="Arial"/>
          <w:sz w:val="22"/>
          <w:szCs w:val="22"/>
        </w:rPr>
        <w:t xml:space="preserve"> TL ile İstanbul’dadır. Bu ili </w:t>
      </w:r>
      <w:r w:rsidR="00E32273" w:rsidRPr="00E32273">
        <w:rPr>
          <w:rFonts w:ascii="Arial" w:hAnsi="Arial" w:cs="Arial"/>
          <w:sz w:val="22"/>
          <w:szCs w:val="22"/>
        </w:rPr>
        <w:t>437.883</w:t>
      </w:r>
      <w:r w:rsidRPr="00E32273">
        <w:rPr>
          <w:rFonts w:ascii="Arial" w:hAnsi="Arial" w:cs="Arial"/>
          <w:sz w:val="22"/>
          <w:szCs w:val="22"/>
        </w:rPr>
        <w:t xml:space="preserve"> TL ile Ankara ve </w:t>
      </w:r>
      <w:r w:rsidR="00E32273" w:rsidRPr="00E32273">
        <w:rPr>
          <w:rFonts w:ascii="Arial" w:hAnsi="Arial" w:cs="Arial"/>
          <w:sz w:val="22"/>
          <w:szCs w:val="22"/>
        </w:rPr>
        <w:t>314.993</w:t>
      </w:r>
      <w:r w:rsidRPr="00E32273">
        <w:rPr>
          <w:rFonts w:ascii="Arial" w:hAnsi="Arial" w:cs="Arial"/>
          <w:sz w:val="22"/>
          <w:szCs w:val="22"/>
        </w:rPr>
        <w:t xml:space="preserve"> TL ile </w:t>
      </w:r>
      <w:r w:rsidR="001074D9" w:rsidRPr="00E32273">
        <w:rPr>
          <w:rFonts w:ascii="Arial" w:hAnsi="Arial" w:cs="Arial"/>
          <w:sz w:val="22"/>
          <w:szCs w:val="22"/>
        </w:rPr>
        <w:t xml:space="preserve">Antalya </w:t>
      </w:r>
      <w:r w:rsidRPr="00E32273">
        <w:rPr>
          <w:rFonts w:ascii="Arial" w:hAnsi="Arial" w:cs="Arial"/>
          <w:sz w:val="22"/>
          <w:szCs w:val="22"/>
        </w:rPr>
        <w:t xml:space="preserve">izlemektedir. </w:t>
      </w:r>
    </w:p>
    <w:p w14:paraId="124C1D49" w14:textId="3D65E9B4" w:rsidR="007C72D5" w:rsidRPr="00E32273" w:rsidRDefault="00D11839" w:rsidP="004D4A56">
      <w:pPr>
        <w:spacing w:before="80" w:after="80"/>
        <w:jc w:val="both"/>
        <w:rPr>
          <w:rFonts w:ascii="Arial" w:hAnsi="Arial" w:cs="Arial"/>
          <w:sz w:val="22"/>
          <w:szCs w:val="22"/>
        </w:rPr>
      </w:pPr>
      <w:r w:rsidRPr="00E32273">
        <w:rPr>
          <w:rFonts w:ascii="Arial" w:hAnsi="Arial" w:cs="Arial"/>
          <w:sz w:val="22"/>
          <w:szCs w:val="22"/>
        </w:rPr>
        <w:t>Ş</w:t>
      </w:r>
      <w:r w:rsidR="007C72D5" w:rsidRPr="00E32273">
        <w:rPr>
          <w:rFonts w:ascii="Arial" w:hAnsi="Arial" w:cs="Arial"/>
          <w:sz w:val="22"/>
          <w:szCs w:val="22"/>
        </w:rPr>
        <w:t xml:space="preserve">ube başına en yüksek kredi </w:t>
      </w:r>
      <w:r w:rsidR="00E32273" w:rsidRPr="00E32273">
        <w:rPr>
          <w:rFonts w:ascii="Arial" w:hAnsi="Arial" w:cs="Arial"/>
          <w:sz w:val="22"/>
          <w:szCs w:val="22"/>
        </w:rPr>
        <w:t>4.017</w:t>
      </w:r>
      <w:r w:rsidR="007C72D5" w:rsidRPr="00E32273">
        <w:rPr>
          <w:rFonts w:ascii="Arial" w:hAnsi="Arial" w:cs="Arial"/>
          <w:sz w:val="22"/>
          <w:szCs w:val="22"/>
        </w:rPr>
        <w:t xml:space="preserve"> milyon TL ile Gaziantep’tedir. Bu ilimizi </w:t>
      </w:r>
      <w:r w:rsidR="00E32273" w:rsidRPr="00E32273">
        <w:rPr>
          <w:rFonts w:ascii="Arial" w:hAnsi="Arial" w:cs="Arial"/>
          <w:sz w:val="22"/>
          <w:szCs w:val="22"/>
        </w:rPr>
        <w:t>3.438</w:t>
      </w:r>
      <w:r w:rsidR="007C72D5" w:rsidRPr="00E32273">
        <w:rPr>
          <w:rFonts w:ascii="Arial" w:hAnsi="Arial" w:cs="Arial"/>
          <w:sz w:val="22"/>
          <w:szCs w:val="22"/>
        </w:rPr>
        <w:t xml:space="preserve"> milyon TL ile İstanbul ve </w:t>
      </w:r>
      <w:r w:rsidR="00E32273" w:rsidRPr="00E32273">
        <w:rPr>
          <w:rFonts w:ascii="Arial" w:hAnsi="Arial" w:cs="Arial"/>
          <w:sz w:val="22"/>
          <w:szCs w:val="22"/>
        </w:rPr>
        <w:t>3.034</w:t>
      </w:r>
      <w:r w:rsidR="007C72D5" w:rsidRPr="00E32273">
        <w:rPr>
          <w:rFonts w:ascii="Arial" w:hAnsi="Arial" w:cs="Arial"/>
          <w:sz w:val="22"/>
          <w:szCs w:val="22"/>
        </w:rPr>
        <w:t xml:space="preserve"> milyon TL ile Ankara izlemektedir. </w:t>
      </w:r>
      <w:r w:rsidR="00133C3B" w:rsidRPr="00E32273">
        <w:rPr>
          <w:rFonts w:ascii="Arial" w:hAnsi="Arial" w:cs="Arial"/>
          <w:sz w:val="22"/>
          <w:szCs w:val="22"/>
        </w:rPr>
        <w:t xml:space="preserve">Şube başına kredinin Türkiye ortalaması </w:t>
      </w:r>
      <w:r w:rsidR="00E32273" w:rsidRPr="00E32273">
        <w:rPr>
          <w:rFonts w:ascii="Arial" w:hAnsi="Arial" w:cs="Arial"/>
          <w:sz w:val="22"/>
          <w:szCs w:val="22"/>
        </w:rPr>
        <w:t>2.337</w:t>
      </w:r>
      <w:r w:rsidR="00133C3B" w:rsidRPr="00E32273">
        <w:rPr>
          <w:rFonts w:ascii="Arial" w:hAnsi="Arial" w:cs="Arial"/>
          <w:sz w:val="22"/>
          <w:szCs w:val="22"/>
        </w:rPr>
        <w:t xml:space="preserve"> milyon TL’dir.</w:t>
      </w:r>
    </w:p>
    <w:p w14:paraId="0D0C3817" w14:textId="2EE71A53" w:rsidR="00C16EF7" w:rsidRPr="00E32273" w:rsidRDefault="00C16EF7" w:rsidP="004D4A56">
      <w:pPr>
        <w:spacing w:before="80" w:after="80"/>
        <w:jc w:val="both"/>
        <w:rPr>
          <w:rFonts w:ascii="Arial" w:hAnsi="Arial" w:cs="Arial"/>
          <w:sz w:val="22"/>
          <w:szCs w:val="22"/>
        </w:rPr>
      </w:pPr>
      <w:r w:rsidRPr="00E32273">
        <w:rPr>
          <w:rFonts w:ascii="Arial" w:hAnsi="Arial" w:cs="Arial"/>
          <w:sz w:val="22"/>
          <w:szCs w:val="22"/>
        </w:rPr>
        <w:t xml:space="preserve">Tarım ihtisas kredilerinde, Ege, Akdeniz ve </w:t>
      </w:r>
      <w:r w:rsidR="00E32273" w:rsidRPr="00E32273">
        <w:rPr>
          <w:rFonts w:ascii="Arial" w:hAnsi="Arial" w:cs="Arial"/>
          <w:sz w:val="22"/>
          <w:szCs w:val="22"/>
        </w:rPr>
        <w:t>Orta</w:t>
      </w:r>
      <w:r w:rsidRPr="00E32273">
        <w:rPr>
          <w:rFonts w:ascii="Arial" w:hAnsi="Arial" w:cs="Arial"/>
          <w:sz w:val="22"/>
          <w:szCs w:val="22"/>
        </w:rPr>
        <w:t xml:space="preserve"> Anadolu bölgeleri</w:t>
      </w:r>
      <w:r w:rsidR="00D11839" w:rsidRPr="00E32273">
        <w:rPr>
          <w:rFonts w:ascii="Arial" w:hAnsi="Arial" w:cs="Arial"/>
          <w:sz w:val="22"/>
          <w:szCs w:val="22"/>
        </w:rPr>
        <w:t xml:space="preserve">nin </w:t>
      </w:r>
      <w:r w:rsidRPr="00E32273">
        <w:rPr>
          <w:rFonts w:ascii="Arial" w:hAnsi="Arial" w:cs="Arial"/>
          <w:sz w:val="22"/>
          <w:szCs w:val="22"/>
        </w:rPr>
        <w:t>payı yüzde 4</w:t>
      </w:r>
      <w:r w:rsidR="00E32273" w:rsidRPr="00E32273">
        <w:rPr>
          <w:rFonts w:ascii="Arial" w:hAnsi="Arial" w:cs="Arial"/>
          <w:sz w:val="22"/>
          <w:szCs w:val="22"/>
        </w:rPr>
        <w:t>4</w:t>
      </w:r>
      <w:r w:rsidRPr="00E32273">
        <w:rPr>
          <w:rFonts w:ascii="Arial" w:hAnsi="Arial" w:cs="Arial"/>
          <w:sz w:val="22"/>
          <w:szCs w:val="22"/>
        </w:rPr>
        <w:t xml:space="preserve"> düzeyindedir. </w:t>
      </w:r>
    </w:p>
    <w:p w14:paraId="28D0712C" w14:textId="069E5DD8" w:rsidR="001963F4" w:rsidRPr="00887593" w:rsidRDefault="001963F4" w:rsidP="001963F4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 w:rsidRPr="00E32273">
        <w:rPr>
          <w:rFonts w:ascii="Arial" w:hAnsi="Arial" w:cs="Arial"/>
          <w:sz w:val="22"/>
          <w:szCs w:val="22"/>
        </w:rPr>
        <w:t>Güneydoğu Anadolu ve Kuzeydoğu Anadolu bölgeleri yüzde 1</w:t>
      </w:r>
      <w:r w:rsidR="00E32273" w:rsidRPr="00E32273">
        <w:rPr>
          <w:rFonts w:ascii="Arial" w:hAnsi="Arial" w:cs="Arial"/>
          <w:sz w:val="22"/>
          <w:szCs w:val="22"/>
        </w:rPr>
        <w:t>90</w:t>
      </w:r>
      <w:r w:rsidRPr="00E32273">
        <w:rPr>
          <w:rFonts w:ascii="Arial" w:hAnsi="Arial" w:cs="Arial"/>
          <w:sz w:val="22"/>
          <w:szCs w:val="22"/>
        </w:rPr>
        <w:t xml:space="preserve"> ve yüzde 1</w:t>
      </w:r>
      <w:r w:rsidR="00E32273" w:rsidRPr="00E32273">
        <w:rPr>
          <w:rFonts w:ascii="Arial" w:hAnsi="Arial" w:cs="Arial"/>
          <w:sz w:val="22"/>
          <w:szCs w:val="22"/>
        </w:rPr>
        <w:t>37</w:t>
      </w:r>
      <w:r w:rsidRPr="00E32273">
        <w:rPr>
          <w:rFonts w:ascii="Arial" w:hAnsi="Arial" w:cs="Arial"/>
          <w:sz w:val="22"/>
          <w:szCs w:val="22"/>
        </w:rPr>
        <w:t xml:space="preserve"> ile kredi/mevduat oranının en yüksek olduğu bölgelerdir. Bu oranın en düşük olduğu bölgeler ise, yüzde </w:t>
      </w:r>
      <w:r w:rsidRPr="00887593">
        <w:rPr>
          <w:rFonts w:ascii="Arial" w:hAnsi="Arial" w:cs="Arial"/>
          <w:sz w:val="22"/>
          <w:szCs w:val="22"/>
        </w:rPr>
        <w:t>6</w:t>
      </w:r>
      <w:r w:rsidR="00E32273" w:rsidRPr="00887593">
        <w:rPr>
          <w:rFonts w:ascii="Arial" w:hAnsi="Arial" w:cs="Arial"/>
          <w:sz w:val="22"/>
          <w:szCs w:val="22"/>
        </w:rPr>
        <w:t>9</w:t>
      </w:r>
      <w:r w:rsidRPr="00887593">
        <w:rPr>
          <w:rFonts w:ascii="Arial" w:hAnsi="Arial" w:cs="Arial"/>
          <w:sz w:val="22"/>
          <w:szCs w:val="22"/>
        </w:rPr>
        <w:t xml:space="preserve"> ile İstanbul ve yüzde </w:t>
      </w:r>
      <w:r w:rsidR="00E32273" w:rsidRPr="00887593">
        <w:rPr>
          <w:rFonts w:ascii="Arial" w:hAnsi="Arial" w:cs="Arial"/>
          <w:sz w:val="22"/>
          <w:szCs w:val="22"/>
        </w:rPr>
        <w:t>72</w:t>
      </w:r>
      <w:r w:rsidRPr="00887593">
        <w:rPr>
          <w:rFonts w:ascii="Arial" w:hAnsi="Arial" w:cs="Arial"/>
          <w:sz w:val="22"/>
          <w:szCs w:val="22"/>
        </w:rPr>
        <w:t xml:space="preserve"> ile Batı Anadolu’dur. </w:t>
      </w:r>
    </w:p>
    <w:p w14:paraId="5F925BE8" w14:textId="77777777" w:rsidR="00C16EF7" w:rsidRPr="00887593" w:rsidRDefault="00C16EF7" w:rsidP="00C16EF7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887593">
        <w:rPr>
          <w:rFonts w:ascii="Arial" w:hAnsi="Arial" w:cs="Arial"/>
          <w:b/>
          <w:i/>
          <w:sz w:val="22"/>
          <w:szCs w:val="22"/>
        </w:rPr>
        <w:t xml:space="preserve">Şube dışı alternatif hizmet kanallarında büyüme devam etmiştir. </w:t>
      </w:r>
    </w:p>
    <w:p w14:paraId="0CDCB298" w14:textId="77777777" w:rsidR="00C16EF7" w:rsidRPr="00887593" w:rsidRDefault="00C16EF7" w:rsidP="00C16EF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87593">
        <w:rPr>
          <w:rFonts w:ascii="Arial" w:hAnsi="Arial" w:cs="Arial"/>
          <w:sz w:val="22"/>
          <w:szCs w:val="22"/>
        </w:rPr>
        <w:t xml:space="preserve">Bankacılık sektörü yaygın şube ağı yanında, ATM, telefon bankacılığı ve dijital </w:t>
      </w:r>
      <w:r w:rsidR="00926BB9" w:rsidRPr="00887593">
        <w:rPr>
          <w:rFonts w:ascii="Arial" w:hAnsi="Arial" w:cs="Arial"/>
          <w:sz w:val="22"/>
          <w:szCs w:val="22"/>
        </w:rPr>
        <w:t>uygulamaların olduğu</w:t>
      </w:r>
      <w:r w:rsidRPr="00887593">
        <w:rPr>
          <w:rFonts w:ascii="Arial" w:hAnsi="Arial" w:cs="Arial"/>
          <w:sz w:val="22"/>
          <w:szCs w:val="22"/>
        </w:rPr>
        <w:t xml:space="preserve"> hizmet kanallarından ürün ve hizmet sunumunu artırmakta ve çeşitlendirmektedir. </w:t>
      </w:r>
    </w:p>
    <w:p w14:paraId="09BC267F" w14:textId="78D033E0" w:rsidR="00821810" w:rsidRPr="00887593" w:rsidRDefault="00A9387B" w:rsidP="00837C14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87593">
        <w:rPr>
          <w:rFonts w:ascii="Arial" w:hAnsi="Arial" w:cs="Arial"/>
          <w:sz w:val="22"/>
          <w:szCs w:val="22"/>
        </w:rPr>
        <w:t>Türkiye ortalaması</w:t>
      </w:r>
      <w:r w:rsidR="0056175D" w:rsidRPr="00887593">
        <w:rPr>
          <w:rFonts w:ascii="Arial" w:hAnsi="Arial" w:cs="Arial"/>
          <w:sz w:val="22"/>
          <w:szCs w:val="22"/>
        </w:rPr>
        <w:t>na göre</w:t>
      </w:r>
      <w:r w:rsidRPr="00887593">
        <w:rPr>
          <w:rFonts w:ascii="Arial" w:hAnsi="Arial" w:cs="Arial"/>
          <w:sz w:val="22"/>
          <w:szCs w:val="22"/>
        </w:rPr>
        <w:t xml:space="preserve"> 100.000 kişiye düşen</w:t>
      </w:r>
      <w:r w:rsidR="00864FBF" w:rsidRPr="00887593">
        <w:rPr>
          <w:rFonts w:ascii="Arial" w:hAnsi="Arial" w:cs="Arial"/>
          <w:sz w:val="22"/>
          <w:szCs w:val="22"/>
        </w:rPr>
        <w:t xml:space="preserve"> şube </w:t>
      </w:r>
      <w:r w:rsidRPr="00887593">
        <w:rPr>
          <w:rFonts w:ascii="Arial" w:hAnsi="Arial" w:cs="Arial"/>
          <w:sz w:val="22"/>
          <w:szCs w:val="22"/>
        </w:rPr>
        <w:t xml:space="preserve">sayısı </w:t>
      </w:r>
      <w:r w:rsidR="0056175D" w:rsidRPr="00887593">
        <w:rPr>
          <w:rFonts w:ascii="Arial" w:hAnsi="Arial" w:cs="Arial"/>
          <w:sz w:val="22"/>
          <w:szCs w:val="22"/>
        </w:rPr>
        <w:t xml:space="preserve">11’dir. 100.000 kişiye düşen </w:t>
      </w:r>
      <w:r w:rsidR="00864FBF" w:rsidRPr="00887593">
        <w:rPr>
          <w:rFonts w:ascii="Arial" w:hAnsi="Arial" w:cs="Arial"/>
          <w:sz w:val="22"/>
          <w:szCs w:val="22"/>
        </w:rPr>
        <w:t>çalışan sayısı</w:t>
      </w:r>
      <w:r w:rsidR="0056175D" w:rsidRPr="00887593">
        <w:rPr>
          <w:rFonts w:ascii="Arial" w:hAnsi="Arial" w:cs="Arial"/>
          <w:sz w:val="22"/>
          <w:szCs w:val="22"/>
        </w:rPr>
        <w:t xml:space="preserve"> </w:t>
      </w:r>
      <w:r w:rsidRPr="00887593">
        <w:rPr>
          <w:rFonts w:ascii="Arial" w:hAnsi="Arial" w:cs="Arial"/>
          <w:sz w:val="22"/>
          <w:szCs w:val="22"/>
        </w:rPr>
        <w:t>2</w:t>
      </w:r>
      <w:r w:rsidR="002D628E" w:rsidRPr="00887593">
        <w:rPr>
          <w:rFonts w:ascii="Arial" w:hAnsi="Arial" w:cs="Arial"/>
          <w:sz w:val="22"/>
          <w:szCs w:val="22"/>
        </w:rPr>
        <w:t>1</w:t>
      </w:r>
      <w:r w:rsidR="00887593" w:rsidRPr="00887593">
        <w:rPr>
          <w:rFonts w:ascii="Arial" w:hAnsi="Arial" w:cs="Arial"/>
          <w:sz w:val="22"/>
          <w:szCs w:val="22"/>
        </w:rPr>
        <w:t>9’dur</w:t>
      </w:r>
      <w:r w:rsidR="00864FBF" w:rsidRPr="00887593">
        <w:rPr>
          <w:rFonts w:ascii="Arial" w:hAnsi="Arial" w:cs="Arial"/>
          <w:sz w:val="22"/>
          <w:szCs w:val="22"/>
        </w:rPr>
        <w:t xml:space="preserve">. </w:t>
      </w:r>
      <w:r w:rsidRPr="00887593">
        <w:rPr>
          <w:rFonts w:ascii="Arial" w:hAnsi="Arial" w:cs="Arial"/>
          <w:sz w:val="22"/>
          <w:szCs w:val="22"/>
        </w:rPr>
        <w:t>100.000 kişiye düşen şube sayısı</w:t>
      </w:r>
      <w:r w:rsidR="003C5E10" w:rsidRPr="00887593">
        <w:rPr>
          <w:rFonts w:ascii="Arial" w:hAnsi="Arial" w:cs="Arial"/>
          <w:sz w:val="22"/>
          <w:szCs w:val="22"/>
        </w:rPr>
        <w:t>nın</w:t>
      </w:r>
      <w:r w:rsidRPr="00887593">
        <w:rPr>
          <w:rFonts w:ascii="Arial" w:hAnsi="Arial" w:cs="Arial"/>
          <w:sz w:val="22"/>
          <w:szCs w:val="22"/>
        </w:rPr>
        <w:t xml:space="preserve"> en yüksek </w:t>
      </w:r>
      <w:r w:rsidR="002D628E" w:rsidRPr="00887593">
        <w:rPr>
          <w:rFonts w:ascii="Arial" w:hAnsi="Arial" w:cs="Arial"/>
          <w:sz w:val="22"/>
          <w:szCs w:val="22"/>
        </w:rPr>
        <w:t xml:space="preserve">olduğu </w:t>
      </w:r>
      <w:r w:rsidRPr="00887593">
        <w:rPr>
          <w:rFonts w:ascii="Arial" w:hAnsi="Arial" w:cs="Arial"/>
          <w:sz w:val="22"/>
          <w:szCs w:val="22"/>
        </w:rPr>
        <w:t>iller sırasıyla</w:t>
      </w:r>
      <w:r w:rsidR="005D1AB6" w:rsidRPr="00887593">
        <w:rPr>
          <w:rFonts w:ascii="Arial" w:hAnsi="Arial" w:cs="Arial"/>
          <w:sz w:val="22"/>
          <w:szCs w:val="22"/>
        </w:rPr>
        <w:t>;</w:t>
      </w:r>
      <w:r w:rsidRPr="00887593">
        <w:rPr>
          <w:rFonts w:ascii="Arial" w:hAnsi="Arial" w:cs="Arial"/>
          <w:sz w:val="22"/>
          <w:szCs w:val="22"/>
        </w:rPr>
        <w:t xml:space="preserve">  Artvin</w:t>
      </w:r>
      <w:r w:rsidR="0056175D" w:rsidRPr="00887593">
        <w:rPr>
          <w:rFonts w:ascii="Arial" w:hAnsi="Arial" w:cs="Arial"/>
          <w:sz w:val="22"/>
          <w:szCs w:val="22"/>
        </w:rPr>
        <w:t xml:space="preserve"> (1</w:t>
      </w:r>
      <w:r w:rsidR="00887593" w:rsidRPr="00887593">
        <w:rPr>
          <w:rFonts w:ascii="Arial" w:hAnsi="Arial" w:cs="Arial"/>
          <w:sz w:val="22"/>
          <w:szCs w:val="22"/>
        </w:rPr>
        <w:t>7</w:t>
      </w:r>
      <w:r w:rsidR="0056175D" w:rsidRPr="00887593">
        <w:rPr>
          <w:rFonts w:ascii="Arial" w:hAnsi="Arial" w:cs="Arial"/>
          <w:sz w:val="22"/>
          <w:szCs w:val="22"/>
        </w:rPr>
        <w:t>)</w:t>
      </w:r>
      <w:r w:rsidRPr="00887593">
        <w:rPr>
          <w:rFonts w:ascii="Arial" w:hAnsi="Arial" w:cs="Arial"/>
          <w:sz w:val="22"/>
          <w:szCs w:val="22"/>
        </w:rPr>
        <w:t xml:space="preserve">, </w:t>
      </w:r>
      <w:r w:rsidR="0056175D" w:rsidRPr="00887593">
        <w:rPr>
          <w:rFonts w:ascii="Arial" w:hAnsi="Arial" w:cs="Arial"/>
          <w:sz w:val="22"/>
          <w:szCs w:val="22"/>
        </w:rPr>
        <w:t>M</w:t>
      </w:r>
      <w:r w:rsidRPr="00887593">
        <w:rPr>
          <w:rFonts w:ascii="Arial" w:hAnsi="Arial" w:cs="Arial"/>
          <w:sz w:val="22"/>
          <w:szCs w:val="22"/>
        </w:rPr>
        <w:t>uğla</w:t>
      </w:r>
      <w:r w:rsidR="0056175D" w:rsidRPr="00887593">
        <w:rPr>
          <w:rFonts w:ascii="Arial" w:hAnsi="Arial" w:cs="Arial"/>
          <w:sz w:val="22"/>
          <w:szCs w:val="22"/>
        </w:rPr>
        <w:t xml:space="preserve"> (1</w:t>
      </w:r>
      <w:r w:rsidR="00F27A1C" w:rsidRPr="00887593">
        <w:rPr>
          <w:rFonts w:ascii="Arial" w:hAnsi="Arial" w:cs="Arial"/>
          <w:sz w:val="22"/>
          <w:szCs w:val="22"/>
        </w:rPr>
        <w:t>6</w:t>
      </w:r>
      <w:r w:rsidR="0056175D" w:rsidRPr="00887593">
        <w:rPr>
          <w:rFonts w:ascii="Arial" w:hAnsi="Arial" w:cs="Arial"/>
          <w:sz w:val="22"/>
          <w:szCs w:val="22"/>
        </w:rPr>
        <w:t>)</w:t>
      </w:r>
      <w:r w:rsidRPr="00887593">
        <w:rPr>
          <w:rFonts w:ascii="Arial" w:hAnsi="Arial" w:cs="Arial"/>
          <w:sz w:val="22"/>
          <w:szCs w:val="22"/>
        </w:rPr>
        <w:t xml:space="preserve"> ve İstanbul</w:t>
      </w:r>
      <w:r w:rsidR="0056175D" w:rsidRPr="00887593">
        <w:rPr>
          <w:rFonts w:ascii="Arial" w:hAnsi="Arial" w:cs="Arial"/>
          <w:sz w:val="22"/>
          <w:szCs w:val="22"/>
        </w:rPr>
        <w:t xml:space="preserve"> (1</w:t>
      </w:r>
      <w:r w:rsidR="00F27A1C" w:rsidRPr="00887593">
        <w:rPr>
          <w:rFonts w:ascii="Arial" w:hAnsi="Arial" w:cs="Arial"/>
          <w:sz w:val="22"/>
          <w:szCs w:val="22"/>
        </w:rPr>
        <w:t>5</w:t>
      </w:r>
      <w:r w:rsidR="0056175D" w:rsidRPr="00887593">
        <w:rPr>
          <w:rFonts w:ascii="Arial" w:hAnsi="Arial" w:cs="Arial"/>
          <w:sz w:val="22"/>
          <w:szCs w:val="22"/>
        </w:rPr>
        <w:t>)</w:t>
      </w:r>
      <w:r w:rsidR="005D1AB6" w:rsidRPr="00887593">
        <w:rPr>
          <w:rFonts w:ascii="Arial" w:hAnsi="Arial" w:cs="Arial"/>
          <w:sz w:val="22"/>
          <w:szCs w:val="22"/>
        </w:rPr>
        <w:t xml:space="preserve">’dur. </w:t>
      </w:r>
      <w:r w:rsidR="0056175D" w:rsidRPr="00887593">
        <w:rPr>
          <w:rFonts w:ascii="Arial" w:hAnsi="Arial" w:cs="Arial"/>
          <w:sz w:val="22"/>
          <w:szCs w:val="22"/>
        </w:rPr>
        <w:t xml:space="preserve">Çalışan sayısında ise 100.000 kişiye düşen çalışan sayısı en yüksek il </w:t>
      </w:r>
      <w:r w:rsidR="007D3DF6" w:rsidRPr="00887593">
        <w:rPr>
          <w:rFonts w:ascii="Arial" w:hAnsi="Arial" w:cs="Arial"/>
          <w:sz w:val="22"/>
          <w:szCs w:val="22"/>
        </w:rPr>
        <w:t>5</w:t>
      </w:r>
      <w:r w:rsidR="00887593" w:rsidRPr="00887593">
        <w:rPr>
          <w:rFonts w:ascii="Arial" w:hAnsi="Arial" w:cs="Arial"/>
          <w:sz w:val="22"/>
          <w:szCs w:val="22"/>
        </w:rPr>
        <w:t>30</w:t>
      </w:r>
      <w:r w:rsidR="007D3DF6" w:rsidRPr="00887593">
        <w:rPr>
          <w:rFonts w:ascii="Arial" w:hAnsi="Arial" w:cs="Arial"/>
          <w:sz w:val="22"/>
          <w:szCs w:val="22"/>
        </w:rPr>
        <w:t xml:space="preserve"> ile </w:t>
      </w:r>
      <w:r w:rsidR="0056175D" w:rsidRPr="00887593">
        <w:rPr>
          <w:rFonts w:ascii="Arial" w:hAnsi="Arial" w:cs="Arial"/>
          <w:sz w:val="22"/>
          <w:szCs w:val="22"/>
        </w:rPr>
        <w:t xml:space="preserve">İstanbul’dur. </w:t>
      </w:r>
      <w:r w:rsidRPr="00887593">
        <w:rPr>
          <w:rFonts w:ascii="Arial" w:hAnsi="Arial" w:cs="Arial"/>
          <w:sz w:val="22"/>
          <w:szCs w:val="22"/>
        </w:rPr>
        <w:t xml:space="preserve">  </w:t>
      </w:r>
    </w:p>
    <w:p w14:paraId="121D8F3C" w14:textId="42923644" w:rsidR="00C97334" w:rsidRPr="00887593" w:rsidRDefault="008D49CB" w:rsidP="00C16EF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87593">
        <w:rPr>
          <w:rFonts w:ascii="Arial" w:hAnsi="Arial" w:cs="Arial"/>
          <w:sz w:val="22"/>
          <w:szCs w:val="22"/>
        </w:rPr>
        <w:t>Türkiye ortalamasına göre 100.000</w:t>
      </w:r>
      <w:r w:rsidR="00926BB9" w:rsidRPr="00887593">
        <w:rPr>
          <w:rFonts w:ascii="Arial" w:hAnsi="Arial" w:cs="Arial"/>
          <w:sz w:val="22"/>
          <w:szCs w:val="22"/>
        </w:rPr>
        <w:t xml:space="preserve"> kişiye </w:t>
      </w:r>
      <w:r w:rsidR="007D3DF6" w:rsidRPr="00887593">
        <w:rPr>
          <w:rFonts w:ascii="Arial" w:hAnsi="Arial" w:cs="Arial"/>
          <w:sz w:val="22"/>
          <w:szCs w:val="22"/>
        </w:rPr>
        <w:t>5</w:t>
      </w:r>
      <w:r w:rsidR="00887593" w:rsidRPr="00887593">
        <w:rPr>
          <w:rFonts w:ascii="Arial" w:hAnsi="Arial" w:cs="Arial"/>
          <w:sz w:val="22"/>
          <w:szCs w:val="22"/>
        </w:rPr>
        <w:t>9</w:t>
      </w:r>
      <w:r w:rsidR="007D3DF6" w:rsidRPr="00887593">
        <w:rPr>
          <w:rFonts w:ascii="Arial" w:hAnsi="Arial" w:cs="Arial"/>
          <w:sz w:val="22"/>
          <w:szCs w:val="22"/>
        </w:rPr>
        <w:t xml:space="preserve"> </w:t>
      </w:r>
      <w:r w:rsidR="00864FBF" w:rsidRPr="00887593">
        <w:rPr>
          <w:rFonts w:ascii="Arial" w:hAnsi="Arial" w:cs="Arial"/>
          <w:sz w:val="22"/>
          <w:szCs w:val="22"/>
        </w:rPr>
        <w:t xml:space="preserve">ATM </w:t>
      </w:r>
      <w:r w:rsidR="007D3DF6" w:rsidRPr="00887593">
        <w:rPr>
          <w:rFonts w:ascii="Arial" w:hAnsi="Arial" w:cs="Arial"/>
          <w:sz w:val="22"/>
          <w:szCs w:val="22"/>
        </w:rPr>
        <w:t>düşmektedir.</w:t>
      </w:r>
      <w:r w:rsidR="006400F4" w:rsidRPr="00887593">
        <w:rPr>
          <w:rFonts w:ascii="Arial" w:hAnsi="Arial" w:cs="Arial"/>
          <w:sz w:val="22"/>
          <w:szCs w:val="22"/>
        </w:rPr>
        <w:t xml:space="preserve"> </w:t>
      </w:r>
      <w:r w:rsidR="0056175D" w:rsidRPr="00887593">
        <w:rPr>
          <w:rFonts w:ascii="Arial" w:hAnsi="Arial" w:cs="Arial"/>
          <w:sz w:val="22"/>
          <w:szCs w:val="22"/>
        </w:rPr>
        <w:t xml:space="preserve">İl bazında değerlendirildiğinde ise 100.000 kişiye düşen </w:t>
      </w:r>
      <w:r w:rsidR="007D3DF6" w:rsidRPr="00887593">
        <w:rPr>
          <w:rFonts w:ascii="Arial" w:hAnsi="Arial" w:cs="Arial"/>
          <w:sz w:val="22"/>
          <w:szCs w:val="22"/>
        </w:rPr>
        <w:t xml:space="preserve">en yüksek </w:t>
      </w:r>
      <w:r w:rsidR="0056175D" w:rsidRPr="00887593">
        <w:rPr>
          <w:rFonts w:ascii="Arial" w:hAnsi="Arial" w:cs="Arial"/>
          <w:sz w:val="22"/>
          <w:szCs w:val="22"/>
        </w:rPr>
        <w:t>ATM sayısı</w:t>
      </w:r>
      <w:r w:rsidR="007D3DF6" w:rsidRPr="00887593">
        <w:rPr>
          <w:rFonts w:ascii="Arial" w:hAnsi="Arial" w:cs="Arial"/>
          <w:sz w:val="22"/>
          <w:szCs w:val="22"/>
        </w:rPr>
        <w:t xml:space="preserve"> olan iller</w:t>
      </w:r>
      <w:r w:rsidR="005D1AB6" w:rsidRPr="00887593">
        <w:rPr>
          <w:rFonts w:ascii="Arial" w:hAnsi="Arial" w:cs="Arial"/>
          <w:sz w:val="22"/>
          <w:szCs w:val="22"/>
        </w:rPr>
        <w:t xml:space="preserve"> </w:t>
      </w:r>
      <w:r w:rsidR="007D3DF6" w:rsidRPr="00887593">
        <w:rPr>
          <w:rFonts w:ascii="Arial" w:hAnsi="Arial" w:cs="Arial"/>
          <w:sz w:val="22"/>
          <w:szCs w:val="22"/>
        </w:rPr>
        <w:t>1</w:t>
      </w:r>
      <w:r w:rsidR="00226787" w:rsidRPr="00887593">
        <w:rPr>
          <w:rFonts w:ascii="Arial" w:hAnsi="Arial" w:cs="Arial"/>
          <w:sz w:val="22"/>
          <w:szCs w:val="22"/>
        </w:rPr>
        <w:t>2</w:t>
      </w:r>
      <w:r w:rsidR="00887593" w:rsidRPr="00887593">
        <w:rPr>
          <w:rFonts w:ascii="Arial" w:hAnsi="Arial" w:cs="Arial"/>
          <w:sz w:val="22"/>
          <w:szCs w:val="22"/>
        </w:rPr>
        <w:t>8</w:t>
      </w:r>
      <w:r w:rsidR="005D1AB6" w:rsidRPr="00887593">
        <w:rPr>
          <w:rFonts w:ascii="Arial" w:hAnsi="Arial" w:cs="Arial"/>
          <w:sz w:val="22"/>
          <w:szCs w:val="22"/>
        </w:rPr>
        <w:t xml:space="preserve"> ile </w:t>
      </w:r>
      <w:r w:rsidR="007D3DF6" w:rsidRPr="00887593">
        <w:rPr>
          <w:rFonts w:ascii="Arial" w:hAnsi="Arial" w:cs="Arial"/>
          <w:sz w:val="22"/>
          <w:szCs w:val="22"/>
        </w:rPr>
        <w:t>Muğla</w:t>
      </w:r>
      <w:r w:rsidR="005D1AB6" w:rsidRPr="00887593">
        <w:rPr>
          <w:rFonts w:ascii="Arial" w:hAnsi="Arial" w:cs="Arial"/>
          <w:sz w:val="22"/>
          <w:szCs w:val="22"/>
        </w:rPr>
        <w:t xml:space="preserve"> ve </w:t>
      </w:r>
      <w:r w:rsidR="00887593" w:rsidRPr="00887593">
        <w:rPr>
          <w:rFonts w:ascii="Arial" w:hAnsi="Arial" w:cs="Arial"/>
          <w:sz w:val="22"/>
          <w:szCs w:val="22"/>
        </w:rPr>
        <w:t>95</w:t>
      </w:r>
      <w:r w:rsidR="007D3DF6" w:rsidRPr="00887593">
        <w:rPr>
          <w:rFonts w:ascii="Arial" w:hAnsi="Arial" w:cs="Arial"/>
          <w:sz w:val="22"/>
          <w:szCs w:val="22"/>
        </w:rPr>
        <w:t xml:space="preserve"> ile </w:t>
      </w:r>
      <w:r w:rsidR="00226787" w:rsidRPr="00887593">
        <w:rPr>
          <w:rFonts w:ascii="Arial" w:hAnsi="Arial" w:cs="Arial"/>
          <w:sz w:val="22"/>
          <w:szCs w:val="22"/>
        </w:rPr>
        <w:t>Antalya’dır</w:t>
      </w:r>
      <w:r w:rsidR="0056175D" w:rsidRPr="00887593">
        <w:rPr>
          <w:rFonts w:ascii="Arial" w:hAnsi="Arial" w:cs="Arial"/>
          <w:sz w:val="22"/>
          <w:szCs w:val="22"/>
        </w:rPr>
        <w:t xml:space="preserve">. </w:t>
      </w:r>
    </w:p>
    <w:p w14:paraId="130CB403" w14:textId="30B52ECE" w:rsidR="00C16EF7" w:rsidRPr="00887593" w:rsidRDefault="008D49CB" w:rsidP="0056175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87593">
        <w:rPr>
          <w:rFonts w:ascii="Arial" w:hAnsi="Arial" w:cs="Arial"/>
          <w:sz w:val="22"/>
          <w:szCs w:val="22"/>
        </w:rPr>
        <w:t>Türkiye</w:t>
      </w:r>
      <w:r w:rsidR="007B57BE" w:rsidRPr="00887593">
        <w:rPr>
          <w:rFonts w:ascii="Arial" w:hAnsi="Arial" w:cs="Arial"/>
          <w:sz w:val="22"/>
          <w:szCs w:val="22"/>
        </w:rPr>
        <w:t>’de</w:t>
      </w:r>
      <w:r w:rsidRPr="00887593">
        <w:rPr>
          <w:rFonts w:ascii="Arial" w:hAnsi="Arial" w:cs="Arial"/>
          <w:sz w:val="22"/>
          <w:szCs w:val="22"/>
        </w:rPr>
        <w:t xml:space="preserve"> 100.</w:t>
      </w:r>
      <w:r w:rsidRPr="00A51ABC">
        <w:rPr>
          <w:rFonts w:ascii="Arial" w:hAnsi="Arial" w:cs="Arial"/>
          <w:sz w:val="22"/>
          <w:szCs w:val="22"/>
        </w:rPr>
        <w:t>000 kişiye düşen ü</w:t>
      </w:r>
      <w:r w:rsidR="00926BB9" w:rsidRPr="00A51ABC">
        <w:rPr>
          <w:rFonts w:ascii="Arial" w:hAnsi="Arial" w:cs="Arial"/>
          <w:sz w:val="22"/>
          <w:szCs w:val="22"/>
        </w:rPr>
        <w:t xml:space="preserve">ye işyeri sayısı </w:t>
      </w:r>
      <w:r w:rsidR="00887593" w:rsidRPr="00A51ABC">
        <w:rPr>
          <w:rFonts w:ascii="Arial" w:hAnsi="Arial" w:cs="Arial"/>
          <w:sz w:val="22"/>
          <w:szCs w:val="22"/>
        </w:rPr>
        <w:t>8.596’dır.</w:t>
      </w:r>
      <w:r w:rsidRPr="00A51ABC">
        <w:rPr>
          <w:rFonts w:ascii="Arial" w:hAnsi="Arial" w:cs="Arial"/>
          <w:sz w:val="22"/>
          <w:szCs w:val="22"/>
        </w:rPr>
        <w:t xml:space="preserve"> </w:t>
      </w:r>
      <w:r w:rsidRPr="00887593">
        <w:rPr>
          <w:rFonts w:ascii="Arial" w:hAnsi="Arial" w:cs="Arial"/>
          <w:sz w:val="22"/>
          <w:szCs w:val="22"/>
        </w:rPr>
        <w:t xml:space="preserve">İl bazında değerlendirildiğinde ise 100.000 kişiye düşen </w:t>
      </w:r>
      <w:r w:rsidR="00274088" w:rsidRPr="00887593">
        <w:rPr>
          <w:rFonts w:ascii="Arial" w:hAnsi="Arial" w:cs="Arial"/>
          <w:sz w:val="22"/>
          <w:szCs w:val="22"/>
        </w:rPr>
        <w:t xml:space="preserve">en yüksek </w:t>
      </w:r>
      <w:r w:rsidRPr="00887593">
        <w:rPr>
          <w:rFonts w:ascii="Arial" w:hAnsi="Arial" w:cs="Arial"/>
          <w:sz w:val="22"/>
          <w:szCs w:val="22"/>
        </w:rPr>
        <w:t xml:space="preserve">üye işyeri sayısı </w:t>
      </w:r>
      <w:r w:rsidR="00887593" w:rsidRPr="00887593">
        <w:rPr>
          <w:rFonts w:ascii="Arial" w:hAnsi="Arial" w:cs="Arial"/>
          <w:sz w:val="22"/>
          <w:szCs w:val="22"/>
        </w:rPr>
        <w:t>20.540</w:t>
      </w:r>
      <w:r w:rsidRPr="00887593">
        <w:rPr>
          <w:rFonts w:ascii="Arial" w:hAnsi="Arial" w:cs="Arial"/>
          <w:sz w:val="22"/>
          <w:szCs w:val="22"/>
        </w:rPr>
        <w:t xml:space="preserve"> adet ile </w:t>
      </w:r>
      <w:r w:rsidR="00887593" w:rsidRPr="00887593">
        <w:rPr>
          <w:rFonts w:ascii="Arial" w:hAnsi="Arial" w:cs="Arial"/>
          <w:sz w:val="22"/>
          <w:szCs w:val="22"/>
        </w:rPr>
        <w:t xml:space="preserve">İzmir’dedir. </w:t>
      </w:r>
      <w:r w:rsidR="005D1AB6" w:rsidRPr="00887593">
        <w:rPr>
          <w:rFonts w:ascii="Arial" w:hAnsi="Arial" w:cs="Arial"/>
          <w:sz w:val="22"/>
          <w:szCs w:val="22"/>
        </w:rPr>
        <w:t xml:space="preserve"> </w:t>
      </w:r>
    </w:p>
    <w:sectPr w:rsidR="00C16EF7" w:rsidRPr="00887593" w:rsidSect="004D4A5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985" w:right="1561" w:bottom="1440" w:left="1560" w:header="1151" w:footer="431" w:gutter="0"/>
      <w:pgNumType w:fmt="lowerRoman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7BEB4" w14:textId="77777777" w:rsidR="00B657A8" w:rsidRDefault="00B657A8">
      <w:r>
        <w:separator/>
      </w:r>
    </w:p>
  </w:endnote>
  <w:endnote w:type="continuationSeparator" w:id="0">
    <w:p w14:paraId="54841FC9" w14:textId="77777777" w:rsidR="00B657A8" w:rsidRDefault="00B6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F79DA" w14:textId="77777777" w:rsidR="00D91B9E" w:rsidRDefault="00D91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C32552B" w14:textId="77777777" w:rsidR="00D91B9E" w:rsidRDefault="00D91B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9301571"/>
      <w:docPartObj>
        <w:docPartGallery w:val="Page Numbers (Bottom of Page)"/>
        <w:docPartUnique/>
      </w:docPartObj>
    </w:sdtPr>
    <w:sdtEndPr/>
    <w:sdtContent>
      <w:p w14:paraId="57F280E2" w14:textId="58E47A6E" w:rsidR="00D91B9E" w:rsidRDefault="00D91B9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593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14:paraId="0D4741C2" w14:textId="77777777" w:rsidR="00D91B9E" w:rsidRDefault="00D91B9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3DCC" w14:textId="77777777" w:rsidR="00D91B9E" w:rsidRDefault="00D91B9E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A34AB" w14:textId="77777777" w:rsidR="00B657A8" w:rsidRDefault="00B657A8">
      <w:r>
        <w:separator/>
      </w:r>
    </w:p>
  </w:footnote>
  <w:footnote w:type="continuationSeparator" w:id="0">
    <w:p w14:paraId="2FDDC18E" w14:textId="77777777" w:rsidR="00B657A8" w:rsidRDefault="00B657A8">
      <w:r>
        <w:continuationSeparator/>
      </w:r>
    </w:p>
  </w:footnote>
  <w:footnote w:id="1">
    <w:p w14:paraId="352D7823" w14:textId="77777777" w:rsidR="00D91B9E" w:rsidRDefault="00D91B9E" w:rsidP="00A775D5">
      <w:pPr>
        <w:pStyle w:val="FootnoteText"/>
        <w:rPr>
          <w:rFonts w:ascii="Arial" w:hAnsi="Arial" w:cs="Arial"/>
          <w:sz w:val="18"/>
          <w:szCs w:val="18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Mevduat bankaları ile kalkınma ve yatırım bankalarını kapsamaktadır.</w:t>
      </w:r>
    </w:p>
    <w:p w14:paraId="2C66B919" w14:textId="77777777" w:rsidR="00D91B9E" w:rsidRPr="004D2FE0" w:rsidRDefault="00D91B9E" w:rsidP="00A775D5">
      <w:pPr>
        <w:pStyle w:val="FootnoteText"/>
        <w:rPr>
          <w:rFonts w:ascii="Arial" w:hAnsi="Arial"/>
        </w:rPr>
      </w:pPr>
    </w:p>
  </w:footnote>
  <w:footnote w:id="2">
    <w:p w14:paraId="7BD7BA83" w14:textId="77777777" w:rsidR="00D91B9E" w:rsidRPr="00B32BE5" w:rsidRDefault="00D91B9E" w:rsidP="00B32BE5">
      <w:pPr>
        <w:jc w:val="both"/>
        <w:rPr>
          <w:rFonts w:ascii="Arial" w:hAnsi="Arial" w:cs="Arial"/>
          <w:sz w:val="18"/>
          <w:szCs w:val="18"/>
        </w:rPr>
      </w:pPr>
      <w:r w:rsidRPr="00B32BE5">
        <w:rPr>
          <w:rStyle w:val="FootnoteReference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Raporda,</w:t>
      </w:r>
      <w:r w:rsidRPr="00B32BE5">
        <w:rPr>
          <w:rFonts w:ascii="Arial" w:hAnsi="Arial" w:cs="Arial"/>
          <w:sz w:val="18"/>
          <w:szCs w:val="18"/>
        </w:rPr>
        <w:t xml:space="preserve"> 22.9.2002 tarih ve 24884 sayılı Resmi Gazete' de yayınlanan 2002/4720 sayılı Bakanlar Kurulu Kararı'ndaki İstatistiki Bölge Birimleri sınıflandırması kullanılmıştır. </w:t>
      </w:r>
      <w:r>
        <w:rPr>
          <w:rFonts w:ascii="Arial" w:hAnsi="Arial" w:cs="Arial"/>
          <w:sz w:val="18"/>
          <w:szCs w:val="18"/>
        </w:rPr>
        <w:t>Buna göre İstanbul şehri, aynı zamanda tek başına bir bölgeyi de ifade etmektedir.</w:t>
      </w:r>
    </w:p>
    <w:p w14:paraId="1E1B29E7" w14:textId="77777777" w:rsidR="00D91B9E" w:rsidRDefault="00D91B9E">
      <w:pPr>
        <w:pStyle w:val="FootnoteText"/>
      </w:pPr>
    </w:p>
  </w:footnote>
  <w:footnote w:id="3">
    <w:p w14:paraId="13235591" w14:textId="47C0D4C6" w:rsidR="00D11839" w:rsidRPr="00F04D96" w:rsidRDefault="00D11839" w:rsidP="00D11839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F04D96">
        <w:rPr>
          <w:rStyle w:val="FootnoteReference"/>
          <w:rFonts w:ascii="Arial" w:hAnsi="Arial" w:cs="Arial"/>
          <w:sz w:val="18"/>
          <w:szCs w:val="18"/>
        </w:rPr>
        <w:footnoteRef/>
      </w:r>
      <w:r w:rsidRPr="00F04D96">
        <w:rPr>
          <w:rFonts w:ascii="Arial" w:hAnsi="Arial" w:cs="Arial"/>
          <w:sz w:val="18"/>
          <w:szCs w:val="18"/>
        </w:rPr>
        <w:t xml:space="preserve"> Türkiye İ</w:t>
      </w:r>
      <w:r>
        <w:rPr>
          <w:rFonts w:ascii="Arial" w:hAnsi="Arial" w:cs="Arial"/>
          <w:sz w:val="18"/>
          <w:szCs w:val="18"/>
        </w:rPr>
        <w:t>statistik Kurumu tarafından 202</w:t>
      </w:r>
      <w:r w:rsidR="00063513">
        <w:rPr>
          <w:rFonts w:ascii="Arial" w:hAnsi="Arial" w:cs="Arial"/>
          <w:sz w:val="18"/>
          <w:szCs w:val="18"/>
        </w:rPr>
        <w:t>5</w:t>
      </w:r>
      <w:r w:rsidRPr="00F04D96">
        <w:rPr>
          <w:rFonts w:ascii="Arial" w:hAnsi="Arial" w:cs="Arial"/>
          <w:sz w:val="18"/>
          <w:szCs w:val="18"/>
        </w:rPr>
        <w:t xml:space="preserve"> yılı için yapılan adrese dayalı nüfus kayıt sistemi (ADNKS) verileri kullanılmıştır.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4184" w14:textId="77777777" w:rsidR="00D91B9E" w:rsidRDefault="00D91B9E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5A14CE5A" wp14:editId="6B3D28C9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581317634" name="Picture 581317634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395C6" w14:textId="77777777" w:rsidR="00D91B9E" w:rsidRDefault="00D91B9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529BE9" wp14:editId="1033FAE9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666697238" name="Picture 166669723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8B"/>
    <w:rsid w:val="0000094D"/>
    <w:rsid w:val="00001FEC"/>
    <w:rsid w:val="00003749"/>
    <w:rsid w:val="0000479D"/>
    <w:rsid w:val="00004F24"/>
    <w:rsid w:val="00015762"/>
    <w:rsid w:val="00023190"/>
    <w:rsid w:val="00024539"/>
    <w:rsid w:val="000245DA"/>
    <w:rsid w:val="00025598"/>
    <w:rsid w:val="000261C0"/>
    <w:rsid w:val="000264CF"/>
    <w:rsid w:val="00026B50"/>
    <w:rsid w:val="000325CE"/>
    <w:rsid w:val="0003296D"/>
    <w:rsid w:val="00034AAB"/>
    <w:rsid w:val="000356D4"/>
    <w:rsid w:val="00036F03"/>
    <w:rsid w:val="000379AC"/>
    <w:rsid w:val="00040B6C"/>
    <w:rsid w:val="000416E4"/>
    <w:rsid w:val="000417F9"/>
    <w:rsid w:val="00042816"/>
    <w:rsid w:val="00044394"/>
    <w:rsid w:val="000446A6"/>
    <w:rsid w:val="00044DDD"/>
    <w:rsid w:val="00044E1C"/>
    <w:rsid w:val="0005072D"/>
    <w:rsid w:val="0005148B"/>
    <w:rsid w:val="00051941"/>
    <w:rsid w:val="000525D6"/>
    <w:rsid w:val="000540A3"/>
    <w:rsid w:val="00054EBA"/>
    <w:rsid w:val="00055BDB"/>
    <w:rsid w:val="00063513"/>
    <w:rsid w:val="000644CC"/>
    <w:rsid w:val="00070557"/>
    <w:rsid w:val="00070ABE"/>
    <w:rsid w:val="000726F2"/>
    <w:rsid w:val="00073281"/>
    <w:rsid w:val="00073B0E"/>
    <w:rsid w:val="000746A5"/>
    <w:rsid w:val="00074EA6"/>
    <w:rsid w:val="00081BAB"/>
    <w:rsid w:val="00082569"/>
    <w:rsid w:val="00083DCD"/>
    <w:rsid w:val="00084A99"/>
    <w:rsid w:val="00084DD4"/>
    <w:rsid w:val="000874A9"/>
    <w:rsid w:val="000909CB"/>
    <w:rsid w:val="00090EBB"/>
    <w:rsid w:val="00091100"/>
    <w:rsid w:val="00091A71"/>
    <w:rsid w:val="0009502B"/>
    <w:rsid w:val="000A32F8"/>
    <w:rsid w:val="000A35A7"/>
    <w:rsid w:val="000A3E1C"/>
    <w:rsid w:val="000A692B"/>
    <w:rsid w:val="000A7BB1"/>
    <w:rsid w:val="000B14E8"/>
    <w:rsid w:val="000B1513"/>
    <w:rsid w:val="000B7185"/>
    <w:rsid w:val="000B7376"/>
    <w:rsid w:val="000C01B4"/>
    <w:rsid w:val="000C0CAA"/>
    <w:rsid w:val="000C157F"/>
    <w:rsid w:val="000C2029"/>
    <w:rsid w:val="000C3791"/>
    <w:rsid w:val="000D202A"/>
    <w:rsid w:val="000D240E"/>
    <w:rsid w:val="000D260E"/>
    <w:rsid w:val="000D30D8"/>
    <w:rsid w:val="000D4521"/>
    <w:rsid w:val="000D52FC"/>
    <w:rsid w:val="000E4A9D"/>
    <w:rsid w:val="000E6F36"/>
    <w:rsid w:val="000E71E7"/>
    <w:rsid w:val="000F0A6F"/>
    <w:rsid w:val="000F3840"/>
    <w:rsid w:val="000F4EF7"/>
    <w:rsid w:val="000F6459"/>
    <w:rsid w:val="000F7AF8"/>
    <w:rsid w:val="0010126F"/>
    <w:rsid w:val="00102B43"/>
    <w:rsid w:val="00103952"/>
    <w:rsid w:val="001049CF"/>
    <w:rsid w:val="00106A65"/>
    <w:rsid w:val="0010728F"/>
    <w:rsid w:val="001074D9"/>
    <w:rsid w:val="00110C8C"/>
    <w:rsid w:val="00110C8F"/>
    <w:rsid w:val="00112FE4"/>
    <w:rsid w:val="001130E7"/>
    <w:rsid w:val="0011551C"/>
    <w:rsid w:val="00115ECB"/>
    <w:rsid w:val="001202BC"/>
    <w:rsid w:val="00123E0F"/>
    <w:rsid w:val="00133524"/>
    <w:rsid w:val="00133A4E"/>
    <w:rsid w:val="00133C3B"/>
    <w:rsid w:val="00133DFE"/>
    <w:rsid w:val="001340FD"/>
    <w:rsid w:val="001356D0"/>
    <w:rsid w:val="001420E7"/>
    <w:rsid w:val="001500CF"/>
    <w:rsid w:val="00150B76"/>
    <w:rsid w:val="00150F6F"/>
    <w:rsid w:val="00154080"/>
    <w:rsid w:val="00157F25"/>
    <w:rsid w:val="00162D94"/>
    <w:rsid w:val="00163B10"/>
    <w:rsid w:val="00163F62"/>
    <w:rsid w:val="00167917"/>
    <w:rsid w:val="00171100"/>
    <w:rsid w:val="00172288"/>
    <w:rsid w:val="001750FE"/>
    <w:rsid w:val="001820C0"/>
    <w:rsid w:val="0018220A"/>
    <w:rsid w:val="00182241"/>
    <w:rsid w:val="0018470A"/>
    <w:rsid w:val="001963F4"/>
    <w:rsid w:val="001A0815"/>
    <w:rsid w:val="001A0C90"/>
    <w:rsid w:val="001A2022"/>
    <w:rsid w:val="001A3BEF"/>
    <w:rsid w:val="001A43B3"/>
    <w:rsid w:val="001A4A5D"/>
    <w:rsid w:val="001B2C4E"/>
    <w:rsid w:val="001C1377"/>
    <w:rsid w:val="001C1D84"/>
    <w:rsid w:val="001C1EE9"/>
    <w:rsid w:val="001C253E"/>
    <w:rsid w:val="001C35EC"/>
    <w:rsid w:val="001C6048"/>
    <w:rsid w:val="001D04CD"/>
    <w:rsid w:val="001D68E9"/>
    <w:rsid w:val="001D7169"/>
    <w:rsid w:val="001E117D"/>
    <w:rsid w:val="001E2B0B"/>
    <w:rsid w:val="001E2FEB"/>
    <w:rsid w:val="001E42DF"/>
    <w:rsid w:val="001E76AD"/>
    <w:rsid w:val="001E7F1B"/>
    <w:rsid w:val="001F1611"/>
    <w:rsid w:val="001F233E"/>
    <w:rsid w:val="001F465A"/>
    <w:rsid w:val="001F4C0E"/>
    <w:rsid w:val="001F6CF2"/>
    <w:rsid w:val="001F6EB6"/>
    <w:rsid w:val="002000C3"/>
    <w:rsid w:val="0020026B"/>
    <w:rsid w:val="00201C7A"/>
    <w:rsid w:val="0020297E"/>
    <w:rsid w:val="00202F27"/>
    <w:rsid w:val="002043E7"/>
    <w:rsid w:val="00205E92"/>
    <w:rsid w:val="00206C16"/>
    <w:rsid w:val="00207784"/>
    <w:rsid w:val="00212061"/>
    <w:rsid w:val="00212515"/>
    <w:rsid w:val="00213636"/>
    <w:rsid w:val="00214D28"/>
    <w:rsid w:val="0021722F"/>
    <w:rsid w:val="00224F63"/>
    <w:rsid w:val="0022520F"/>
    <w:rsid w:val="00226787"/>
    <w:rsid w:val="00227580"/>
    <w:rsid w:val="00227B60"/>
    <w:rsid w:val="00231126"/>
    <w:rsid w:val="002314C7"/>
    <w:rsid w:val="00234E6D"/>
    <w:rsid w:val="00236930"/>
    <w:rsid w:val="00240D27"/>
    <w:rsid w:val="002414C5"/>
    <w:rsid w:val="00247411"/>
    <w:rsid w:val="00252339"/>
    <w:rsid w:val="00255CA5"/>
    <w:rsid w:val="002572E5"/>
    <w:rsid w:val="00261645"/>
    <w:rsid w:val="0026414E"/>
    <w:rsid w:val="002654F5"/>
    <w:rsid w:val="00265C48"/>
    <w:rsid w:val="00266E77"/>
    <w:rsid w:val="002701AC"/>
    <w:rsid w:val="00270D96"/>
    <w:rsid w:val="00272C75"/>
    <w:rsid w:val="00272C9D"/>
    <w:rsid w:val="00274088"/>
    <w:rsid w:val="0027517C"/>
    <w:rsid w:val="00277B49"/>
    <w:rsid w:val="00284411"/>
    <w:rsid w:val="00284A23"/>
    <w:rsid w:val="002879A6"/>
    <w:rsid w:val="002903D8"/>
    <w:rsid w:val="002942BA"/>
    <w:rsid w:val="00294FED"/>
    <w:rsid w:val="002962CF"/>
    <w:rsid w:val="0029738D"/>
    <w:rsid w:val="002979C6"/>
    <w:rsid w:val="00297B94"/>
    <w:rsid w:val="002A3A04"/>
    <w:rsid w:val="002A43F0"/>
    <w:rsid w:val="002A7128"/>
    <w:rsid w:val="002B28DD"/>
    <w:rsid w:val="002B3020"/>
    <w:rsid w:val="002B3F1F"/>
    <w:rsid w:val="002B49E5"/>
    <w:rsid w:val="002B6594"/>
    <w:rsid w:val="002B7DE4"/>
    <w:rsid w:val="002C1160"/>
    <w:rsid w:val="002C178B"/>
    <w:rsid w:val="002C1C0A"/>
    <w:rsid w:val="002C21C9"/>
    <w:rsid w:val="002C3F15"/>
    <w:rsid w:val="002C4308"/>
    <w:rsid w:val="002C6D99"/>
    <w:rsid w:val="002D2411"/>
    <w:rsid w:val="002D3C11"/>
    <w:rsid w:val="002D628E"/>
    <w:rsid w:val="002E0B51"/>
    <w:rsid w:val="002E1778"/>
    <w:rsid w:val="002E2043"/>
    <w:rsid w:val="002E303F"/>
    <w:rsid w:val="002E3071"/>
    <w:rsid w:val="002E43E8"/>
    <w:rsid w:val="002E7ED6"/>
    <w:rsid w:val="002F0B29"/>
    <w:rsid w:val="002F4ECD"/>
    <w:rsid w:val="002F67EB"/>
    <w:rsid w:val="00301CF0"/>
    <w:rsid w:val="003078B2"/>
    <w:rsid w:val="00311CB8"/>
    <w:rsid w:val="0031691B"/>
    <w:rsid w:val="003172E8"/>
    <w:rsid w:val="003233F5"/>
    <w:rsid w:val="00324CC4"/>
    <w:rsid w:val="003255B1"/>
    <w:rsid w:val="00326719"/>
    <w:rsid w:val="00326F80"/>
    <w:rsid w:val="00327313"/>
    <w:rsid w:val="00330F29"/>
    <w:rsid w:val="00331CAE"/>
    <w:rsid w:val="003348A1"/>
    <w:rsid w:val="003374BC"/>
    <w:rsid w:val="00340B77"/>
    <w:rsid w:val="00344E02"/>
    <w:rsid w:val="003455D6"/>
    <w:rsid w:val="00351031"/>
    <w:rsid w:val="003512FC"/>
    <w:rsid w:val="00351637"/>
    <w:rsid w:val="003549E0"/>
    <w:rsid w:val="00355749"/>
    <w:rsid w:val="003605F6"/>
    <w:rsid w:val="00360675"/>
    <w:rsid w:val="00360AD8"/>
    <w:rsid w:val="003656B9"/>
    <w:rsid w:val="00370524"/>
    <w:rsid w:val="00374ECF"/>
    <w:rsid w:val="00381A53"/>
    <w:rsid w:val="00383015"/>
    <w:rsid w:val="00384C76"/>
    <w:rsid w:val="00386BBA"/>
    <w:rsid w:val="00387BDC"/>
    <w:rsid w:val="003913D4"/>
    <w:rsid w:val="00391AB1"/>
    <w:rsid w:val="003A306C"/>
    <w:rsid w:val="003A66B1"/>
    <w:rsid w:val="003B1C68"/>
    <w:rsid w:val="003B4D08"/>
    <w:rsid w:val="003C5E10"/>
    <w:rsid w:val="003C6CD1"/>
    <w:rsid w:val="003C7765"/>
    <w:rsid w:val="003D44F9"/>
    <w:rsid w:val="003D5C35"/>
    <w:rsid w:val="003E085C"/>
    <w:rsid w:val="003E13EF"/>
    <w:rsid w:val="003E209E"/>
    <w:rsid w:val="003E388F"/>
    <w:rsid w:val="003E4BF0"/>
    <w:rsid w:val="003E5E70"/>
    <w:rsid w:val="003E7014"/>
    <w:rsid w:val="003F350B"/>
    <w:rsid w:val="003F4DED"/>
    <w:rsid w:val="00400026"/>
    <w:rsid w:val="00402CBA"/>
    <w:rsid w:val="0040323B"/>
    <w:rsid w:val="00403513"/>
    <w:rsid w:val="00403F7D"/>
    <w:rsid w:val="004041F5"/>
    <w:rsid w:val="00406634"/>
    <w:rsid w:val="0040697D"/>
    <w:rsid w:val="0041050B"/>
    <w:rsid w:val="0041406B"/>
    <w:rsid w:val="00415E60"/>
    <w:rsid w:val="00430148"/>
    <w:rsid w:val="00430D45"/>
    <w:rsid w:val="00430FA6"/>
    <w:rsid w:val="00433ADD"/>
    <w:rsid w:val="004409E4"/>
    <w:rsid w:val="0044405F"/>
    <w:rsid w:val="004455AB"/>
    <w:rsid w:val="0045150C"/>
    <w:rsid w:val="00453973"/>
    <w:rsid w:val="00456B9D"/>
    <w:rsid w:val="00456DE1"/>
    <w:rsid w:val="004613E2"/>
    <w:rsid w:val="0046396E"/>
    <w:rsid w:val="00464E89"/>
    <w:rsid w:val="0046774D"/>
    <w:rsid w:val="00470BE1"/>
    <w:rsid w:val="00471C1B"/>
    <w:rsid w:val="0048012C"/>
    <w:rsid w:val="00480FB0"/>
    <w:rsid w:val="0048103D"/>
    <w:rsid w:val="00482D22"/>
    <w:rsid w:val="00485C91"/>
    <w:rsid w:val="00486084"/>
    <w:rsid w:val="00486407"/>
    <w:rsid w:val="00491BAD"/>
    <w:rsid w:val="004965F7"/>
    <w:rsid w:val="00496BCC"/>
    <w:rsid w:val="004A0787"/>
    <w:rsid w:val="004A1CE3"/>
    <w:rsid w:val="004A5AD4"/>
    <w:rsid w:val="004A71E0"/>
    <w:rsid w:val="004A7F0F"/>
    <w:rsid w:val="004B1DCC"/>
    <w:rsid w:val="004B22A7"/>
    <w:rsid w:val="004B5E58"/>
    <w:rsid w:val="004B5F0D"/>
    <w:rsid w:val="004B6776"/>
    <w:rsid w:val="004B792B"/>
    <w:rsid w:val="004C1D31"/>
    <w:rsid w:val="004C225F"/>
    <w:rsid w:val="004C33DF"/>
    <w:rsid w:val="004C3ECF"/>
    <w:rsid w:val="004C43E9"/>
    <w:rsid w:val="004C5697"/>
    <w:rsid w:val="004D0B33"/>
    <w:rsid w:val="004D155C"/>
    <w:rsid w:val="004D3AD6"/>
    <w:rsid w:val="004D4A56"/>
    <w:rsid w:val="004E5A5D"/>
    <w:rsid w:val="004F4B0A"/>
    <w:rsid w:val="004F5C89"/>
    <w:rsid w:val="00501244"/>
    <w:rsid w:val="00505F20"/>
    <w:rsid w:val="00506FC7"/>
    <w:rsid w:val="005074A8"/>
    <w:rsid w:val="0051360F"/>
    <w:rsid w:val="00516427"/>
    <w:rsid w:val="0051720D"/>
    <w:rsid w:val="00520D80"/>
    <w:rsid w:val="005248DA"/>
    <w:rsid w:val="00524D35"/>
    <w:rsid w:val="00525731"/>
    <w:rsid w:val="005303AC"/>
    <w:rsid w:val="00530567"/>
    <w:rsid w:val="00530841"/>
    <w:rsid w:val="005337A8"/>
    <w:rsid w:val="00533DED"/>
    <w:rsid w:val="00534A7B"/>
    <w:rsid w:val="00535006"/>
    <w:rsid w:val="00536C46"/>
    <w:rsid w:val="00541A3C"/>
    <w:rsid w:val="00545341"/>
    <w:rsid w:val="00545C6E"/>
    <w:rsid w:val="005468BA"/>
    <w:rsid w:val="005468EB"/>
    <w:rsid w:val="00546939"/>
    <w:rsid w:val="00546CCD"/>
    <w:rsid w:val="0055094D"/>
    <w:rsid w:val="00552CF4"/>
    <w:rsid w:val="005532ED"/>
    <w:rsid w:val="005552F8"/>
    <w:rsid w:val="00556677"/>
    <w:rsid w:val="0056175D"/>
    <w:rsid w:val="00563CCA"/>
    <w:rsid w:val="00564A80"/>
    <w:rsid w:val="00565ECA"/>
    <w:rsid w:val="00570C58"/>
    <w:rsid w:val="005710D4"/>
    <w:rsid w:val="00573112"/>
    <w:rsid w:val="005773FF"/>
    <w:rsid w:val="0057798F"/>
    <w:rsid w:val="005813CA"/>
    <w:rsid w:val="00587894"/>
    <w:rsid w:val="00587C6C"/>
    <w:rsid w:val="00590C97"/>
    <w:rsid w:val="00592A58"/>
    <w:rsid w:val="00593145"/>
    <w:rsid w:val="0059608B"/>
    <w:rsid w:val="00597835"/>
    <w:rsid w:val="00597FA5"/>
    <w:rsid w:val="005A3899"/>
    <w:rsid w:val="005A4236"/>
    <w:rsid w:val="005A4AA1"/>
    <w:rsid w:val="005A57C7"/>
    <w:rsid w:val="005B1B34"/>
    <w:rsid w:val="005B5FAE"/>
    <w:rsid w:val="005B791A"/>
    <w:rsid w:val="005C29DE"/>
    <w:rsid w:val="005C39FE"/>
    <w:rsid w:val="005C5753"/>
    <w:rsid w:val="005C60DB"/>
    <w:rsid w:val="005C6C55"/>
    <w:rsid w:val="005D1AB6"/>
    <w:rsid w:val="005D3F06"/>
    <w:rsid w:val="005D4C76"/>
    <w:rsid w:val="005D5E00"/>
    <w:rsid w:val="005D5FB0"/>
    <w:rsid w:val="005D6874"/>
    <w:rsid w:val="005D7F30"/>
    <w:rsid w:val="005E52F1"/>
    <w:rsid w:val="005E54E6"/>
    <w:rsid w:val="005E5610"/>
    <w:rsid w:val="005F18F2"/>
    <w:rsid w:val="005F62D2"/>
    <w:rsid w:val="005F7530"/>
    <w:rsid w:val="006028B8"/>
    <w:rsid w:val="00602FD8"/>
    <w:rsid w:val="0060362B"/>
    <w:rsid w:val="0061150C"/>
    <w:rsid w:val="00611CCD"/>
    <w:rsid w:val="00614045"/>
    <w:rsid w:val="00615170"/>
    <w:rsid w:val="00616DDA"/>
    <w:rsid w:val="00620924"/>
    <w:rsid w:val="00620994"/>
    <w:rsid w:val="00624138"/>
    <w:rsid w:val="00625DCF"/>
    <w:rsid w:val="00626F57"/>
    <w:rsid w:val="00633C13"/>
    <w:rsid w:val="00633CAD"/>
    <w:rsid w:val="006361D0"/>
    <w:rsid w:val="006400F4"/>
    <w:rsid w:val="00651BDC"/>
    <w:rsid w:val="006526B6"/>
    <w:rsid w:val="00654453"/>
    <w:rsid w:val="00655015"/>
    <w:rsid w:val="00657175"/>
    <w:rsid w:val="00661DAE"/>
    <w:rsid w:val="00665A81"/>
    <w:rsid w:val="0067146F"/>
    <w:rsid w:val="006717FA"/>
    <w:rsid w:val="00673C97"/>
    <w:rsid w:val="0068355C"/>
    <w:rsid w:val="00685582"/>
    <w:rsid w:val="0068735B"/>
    <w:rsid w:val="00692399"/>
    <w:rsid w:val="006945E3"/>
    <w:rsid w:val="00694F80"/>
    <w:rsid w:val="006976BE"/>
    <w:rsid w:val="00697D82"/>
    <w:rsid w:val="006A093C"/>
    <w:rsid w:val="006A0FF0"/>
    <w:rsid w:val="006A49A9"/>
    <w:rsid w:val="006A794B"/>
    <w:rsid w:val="006B226A"/>
    <w:rsid w:val="006B3579"/>
    <w:rsid w:val="006B5388"/>
    <w:rsid w:val="006B5986"/>
    <w:rsid w:val="006C0737"/>
    <w:rsid w:val="006C0B9C"/>
    <w:rsid w:val="006C0FD9"/>
    <w:rsid w:val="006C4063"/>
    <w:rsid w:val="006C468A"/>
    <w:rsid w:val="006C570D"/>
    <w:rsid w:val="006C5AC6"/>
    <w:rsid w:val="006C5EE3"/>
    <w:rsid w:val="006C6428"/>
    <w:rsid w:val="006C6F76"/>
    <w:rsid w:val="006C73B3"/>
    <w:rsid w:val="006C7E94"/>
    <w:rsid w:val="006D0F7A"/>
    <w:rsid w:val="006D32B4"/>
    <w:rsid w:val="006D502C"/>
    <w:rsid w:val="006D533A"/>
    <w:rsid w:val="006D7E0F"/>
    <w:rsid w:val="006E0951"/>
    <w:rsid w:val="006E0D04"/>
    <w:rsid w:val="006E178C"/>
    <w:rsid w:val="006E5C95"/>
    <w:rsid w:val="006F0FD7"/>
    <w:rsid w:val="006F11C6"/>
    <w:rsid w:val="006F321F"/>
    <w:rsid w:val="006F4558"/>
    <w:rsid w:val="006F6B5A"/>
    <w:rsid w:val="006F7013"/>
    <w:rsid w:val="007006C9"/>
    <w:rsid w:val="00702552"/>
    <w:rsid w:val="00703087"/>
    <w:rsid w:val="007036F5"/>
    <w:rsid w:val="007078A1"/>
    <w:rsid w:val="00707F47"/>
    <w:rsid w:val="007129A4"/>
    <w:rsid w:val="00714E78"/>
    <w:rsid w:val="0071746F"/>
    <w:rsid w:val="00717E53"/>
    <w:rsid w:val="00722C76"/>
    <w:rsid w:val="00722FF5"/>
    <w:rsid w:val="00723532"/>
    <w:rsid w:val="007261E5"/>
    <w:rsid w:val="00742AA6"/>
    <w:rsid w:val="00746FEE"/>
    <w:rsid w:val="00747ABD"/>
    <w:rsid w:val="00756451"/>
    <w:rsid w:val="007578CD"/>
    <w:rsid w:val="007634D4"/>
    <w:rsid w:val="0076592A"/>
    <w:rsid w:val="00765CD5"/>
    <w:rsid w:val="00767C42"/>
    <w:rsid w:val="007737BF"/>
    <w:rsid w:val="0077428D"/>
    <w:rsid w:val="00774832"/>
    <w:rsid w:val="0077517E"/>
    <w:rsid w:val="00775E24"/>
    <w:rsid w:val="00775FD4"/>
    <w:rsid w:val="00785B21"/>
    <w:rsid w:val="00785F51"/>
    <w:rsid w:val="00786598"/>
    <w:rsid w:val="007876F7"/>
    <w:rsid w:val="007900B2"/>
    <w:rsid w:val="00792D37"/>
    <w:rsid w:val="00793969"/>
    <w:rsid w:val="00795AC3"/>
    <w:rsid w:val="00796D97"/>
    <w:rsid w:val="00797A5C"/>
    <w:rsid w:val="00797ADC"/>
    <w:rsid w:val="007A0B3B"/>
    <w:rsid w:val="007A1188"/>
    <w:rsid w:val="007A2D8B"/>
    <w:rsid w:val="007A4BDD"/>
    <w:rsid w:val="007A6271"/>
    <w:rsid w:val="007B57BE"/>
    <w:rsid w:val="007B5F62"/>
    <w:rsid w:val="007B65C3"/>
    <w:rsid w:val="007B76ED"/>
    <w:rsid w:val="007C1895"/>
    <w:rsid w:val="007C36D0"/>
    <w:rsid w:val="007C3E8E"/>
    <w:rsid w:val="007C50EF"/>
    <w:rsid w:val="007C72D5"/>
    <w:rsid w:val="007D1249"/>
    <w:rsid w:val="007D223D"/>
    <w:rsid w:val="007D2394"/>
    <w:rsid w:val="007D3DF6"/>
    <w:rsid w:val="007D4732"/>
    <w:rsid w:val="007D50E9"/>
    <w:rsid w:val="007D54C8"/>
    <w:rsid w:val="007D65D9"/>
    <w:rsid w:val="007D7823"/>
    <w:rsid w:val="007E128A"/>
    <w:rsid w:val="007E68CD"/>
    <w:rsid w:val="007E6F6A"/>
    <w:rsid w:val="007E7785"/>
    <w:rsid w:val="007F147E"/>
    <w:rsid w:val="007F2407"/>
    <w:rsid w:val="007F3C01"/>
    <w:rsid w:val="00801C24"/>
    <w:rsid w:val="00801D98"/>
    <w:rsid w:val="0080501F"/>
    <w:rsid w:val="008059FB"/>
    <w:rsid w:val="00806F46"/>
    <w:rsid w:val="008129F0"/>
    <w:rsid w:val="00813351"/>
    <w:rsid w:val="008167CF"/>
    <w:rsid w:val="00816938"/>
    <w:rsid w:val="00817527"/>
    <w:rsid w:val="00821810"/>
    <w:rsid w:val="00821F3F"/>
    <w:rsid w:val="00822458"/>
    <w:rsid w:val="00831825"/>
    <w:rsid w:val="00833CDB"/>
    <w:rsid w:val="00835B26"/>
    <w:rsid w:val="008379A8"/>
    <w:rsid w:val="00837C14"/>
    <w:rsid w:val="0084116C"/>
    <w:rsid w:val="008425F5"/>
    <w:rsid w:val="00842DE4"/>
    <w:rsid w:val="00845102"/>
    <w:rsid w:val="00846FDE"/>
    <w:rsid w:val="0085070B"/>
    <w:rsid w:val="0085189F"/>
    <w:rsid w:val="0086176F"/>
    <w:rsid w:val="00862379"/>
    <w:rsid w:val="00863950"/>
    <w:rsid w:val="00864FBF"/>
    <w:rsid w:val="0087142D"/>
    <w:rsid w:val="00872EEC"/>
    <w:rsid w:val="008750E6"/>
    <w:rsid w:val="00877F88"/>
    <w:rsid w:val="00880EAA"/>
    <w:rsid w:val="0088228A"/>
    <w:rsid w:val="00883DA9"/>
    <w:rsid w:val="00887593"/>
    <w:rsid w:val="00890383"/>
    <w:rsid w:val="00890807"/>
    <w:rsid w:val="00890CA8"/>
    <w:rsid w:val="00890ED2"/>
    <w:rsid w:val="0089113D"/>
    <w:rsid w:val="0089303A"/>
    <w:rsid w:val="0089424A"/>
    <w:rsid w:val="00895B47"/>
    <w:rsid w:val="00895FE5"/>
    <w:rsid w:val="008A3D4E"/>
    <w:rsid w:val="008A75D4"/>
    <w:rsid w:val="008A7C60"/>
    <w:rsid w:val="008B2AF2"/>
    <w:rsid w:val="008B3CDC"/>
    <w:rsid w:val="008B6ADA"/>
    <w:rsid w:val="008C04BE"/>
    <w:rsid w:val="008C0D82"/>
    <w:rsid w:val="008C12FA"/>
    <w:rsid w:val="008C1719"/>
    <w:rsid w:val="008C5D66"/>
    <w:rsid w:val="008C6316"/>
    <w:rsid w:val="008C67D6"/>
    <w:rsid w:val="008D2669"/>
    <w:rsid w:val="008D49CB"/>
    <w:rsid w:val="008E1001"/>
    <w:rsid w:val="008E21ED"/>
    <w:rsid w:val="008E36DF"/>
    <w:rsid w:val="008E388B"/>
    <w:rsid w:val="008E4FDF"/>
    <w:rsid w:val="008E53C1"/>
    <w:rsid w:val="008E6343"/>
    <w:rsid w:val="008E6F3C"/>
    <w:rsid w:val="008F1C02"/>
    <w:rsid w:val="008F3182"/>
    <w:rsid w:val="008F46D8"/>
    <w:rsid w:val="009014C8"/>
    <w:rsid w:val="009105C9"/>
    <w:rsid w:val="00910703"/>
    <w:rsid w:val="009117D6"/>
    <w:rsid w:val="00911C7B"/>
    <w:rsid w:val="009127E8"/>
    <w:rsid w:val="00912AF2"/>
    <w:rsid w:val="00912DD0"/>
    <w:rsid w:val="00914DC3"/>
    <w:rsid w:val="00917B71"/>
    <w:rsid w:val="00920584"/>
    <w:rsid w:val="0092263E"/>
    <w:rsid w:val="0092362C"/>
    <w:rsid w:val="009248D0"/>
    <w:rsid w:val="009262DC"/>
    <w:rsid w:val="00926BB9"/>
    <w:rsid w:val="00927372"/>
    <w:rsid w:val="00927B43"/>
    <w:rsid w:val="00930E3F"/>
    <w:rsid w:val="009323D5"/>
    <w:rsid w:val="009333D3"/>
    <w:rsid w:val="009368FD"/>
    <w:rsid w:val="00940FDD"/>
    <w:rsid w:val="00941907"/>
    <w:rsid w:val="009422A0"/>
    <w:rsid w:val="009443E4"/>
    <w:rsid w:val="009446C4"/>
    <w:rsid w:val="00945756"/>
    <w:rsid w:val="00945D76"/>
    <w:rsid w:val="00951695"/>
    <w:rsid w:val="00954902"/>
    <w:rsid w:val="00962184"/>
    <w:rsid w:val="00973E18"/>
    <w:rsid w:val="00975227"/>
    <w:rsid w:val="00975DE2"/>
    <w:rsid w:val="0097734D"/>
    <w:rsid w:val="00977D05"/>
    <w:rsid w:val="009803AB"/>
    <w:rsid w:val="0098216E"/>
    <w:rsid w:val="0098282B"/>
    <w:rsid w:val="009832E1"/>
    <w:rsid w:val="00983A9F"/>
    <w:rsid w:val="00985576"/>
    <w:rsid w:val="00986766"/>
    <w:rsid w:val="00987325"/>
    <w:rsid w:val="0098740B"/>
    <w:rsid w:val="00990905"/>
    <w:rsid w:val="00990AFC"/>
    <w:rsid w:val="00992405"/>
    <w:rsid w:val="00992AF9"/>
    <w:rsid w:val="0099459E"/>
    <w:rsid w:val="00994723"/>
    <w:rsid w:val="00995484"/>
    <w:rsid w:val="00995D1E"/>
    <w:rsid w:val="009971DA"/>
    <w:rsid w:val="009A3332"/>
    <w:rsid w:val="009A71A9"/>
    <w:rsid w:val="009B28C8"/>
    <w:rsid w:val="009B2DD1"/>
    <w:rsid w:val="009B4E0C"/>
    <w:rsid w:val="009B5F26"/>
    <w:rsid w:val="009C070F"/>
    <w:rsid w:val="009C12DE"/>
    <w:rsid w:val="009C2DC8"/>
    <w:rsid w:val="009C43D3"/>
    <w:rsid w:val="009C64D6"/>
    <w:rsid w:val="009D3FA1"/>
    <w:rsid w:val="009D40CB"/>
    <w:rsid w:val="009D49AE"/>
    <w:rsid w:val="009E45D8"/>
    <w:rsid w:val="009E54CF"/>
    <w:rsid w:val="009E6CB9"/>
    <w:rsid w:val="009F09ED"/>
    <w:rsid w:val="009F1766"/>
    <w:rsid w:val="009F25CA"/>
    <w:rsid w:val="009F5565"/>
    <w:rsid w:val="009F561D"/>
    <w:rsid w:val="00A00041"/>
    <w:rsid w:val="00A01278"/>
    <w:rsid w:val="00A0159D"/>
    <w:rsid w:val="00A04A21"/>
    <w:rsid w:val="00A05F35"/>
    <w:rsid w:val="00A06207"/>
    <w:rsid w:val="00A074DF"/>
    <w:rsid w:val="00A17BB7"/>
    <w:rsid w:val="00A207ED"/>
    <w:rsid w:val="00A25A32"/>
    <w:rsid w:val="00A25C2E"/>
    <w:rsid w:val="00A26129"/>
    <w:rsid w:val="00A26FBF"/>
    <w:rsid w:val="00A279D7"/>
    <w:rsid w:val="00A30E83"/>
    <w:rsid w:val="00A310B8"/>
    <w:rsid w:val="00A31DE1"/>
    <w:rsid w:val="00A32E58"/>
    <w:rsid w:val="00A348D1"/>
    <w:rsid w:val="00A41B9D"/>
    <w:rsid w:val="00A41CC6"/>
    <w:rsid w:val="00A42055"/>
    <w:rsid w:val="00A42883"/>
    <w:rsid w:val="00A43A03"/>
    <w:rsid w:val="00A46EA4"/>
    <w:rsid w:val="00A507AF"/>
    <w:rsid w:val="00A51ABC"/>
    <w:rsid w:val="00A51E84"/>
    <w:rsid w:val="00A55312"/>
    <w:rsid w:val="00A558B4"/>
    <w:rsid w:val="00A57CF1"/>
    <w:rsid w:val="00A617B0"/>
    <w:rsid w:val="00A617F3"/>
    <w:rsid w:val="00A62652"/>
    <w:rsid w:val="00A64355"/>
    <w:rsid w:val="00A64F40"/>
    <w:rsid w:val="00A65635"/>
    <w:rsid w:val="00A65AB6"/>
    <w:rsid w:val="00A65CC5"/>
    <w:rsid w:val="00A67B28"/>
    <w:rsid w:val="00A75A73"/>
    <w:rsid w:val="00A775D5"/>
    <w:rsid w:val="00A77F71"/>
    <w:rsid w:val="00A806A4"/>
    <w:rsid w:val="00A81A49"/>
    <w:rsid w:val="00A81AD8"/>
    <w:rsid w:val="00A844B6"/>
    <w:rsid w:val="00A86373"/>
    <w:rsid w:val="00A91008"/>
    <w:rsid w:val="00A920C2"/>
    <w:rsid w:val="00A9280D"/>
    <w:rsid w:val="00A9387B"/>
    <w:rsid w:val="00A939B8"/>
    <w:rsid w:val="00A93DF3"/>
    <w:rsid w:val="00A94A04"/>
    <w:rsid w:val="00A96D18"/>
    <w:rsid w:val="00A9798F"/>
    <w:rsid w:val="00A97D8B"/>
    <w:rsid w:val="00AA0018"/>
    <w:rsid w:val="00AA57A2"/>
    <w:rsid w:val="00AA6166"/>
    <w:rsid w:val="00AA6A88"/>
    <w:rsid w:val="00AA7215"/>
    <w:rsid w:val="00AA780C"/>
    <w:rsid w:val="00AB0857"/>
    <w:rsid w:val="00AB1DAA"/>
    <w:rsid w:val="00AB3B63"/>
    <w:rsid w:val="00AB3DA1"/>
    <w:rsid w:val="00AB4290"/>
    <w:rsid w:val="00AB7946"/>
    <w:rsid w:val="00AC3BE4"/>
    <w:rsid w:val="00AC6B48"/>
    <w:rsid w:val="00AD389D"/>
    <w:rsid w:val="00AD4A07"/>
    <w:rsid w:val="00AD52BE"/>
    <w:rsid w:val="00AE02B3"/>
    <w:rsid w:val="00AE1005"/>
    <w:rsid w:val="00AE28EE"/>
    <w:rsid w:val="00AE32A5"/>
    <w:rsid w:val="00AE4617"/>
    <w:rsid w:val="00AE4826"/>
    <w:rsid w:val="00AF1FD6"/>
    <w:rsid w:val="00AF236A"/>
    <w:rsid w:val="00AF2766"/>
    <w:rsid w:val="00AF5AC4"/>
    <w:rsid w:val="00B00FD7"/>
    <w:rsid w:val="00B014CB"/>
    <w:rsid w:val="00B03576"/>
    <w:rsid w:val="00B042E9"/>
    <w:rsid w:val="00B12624"/>
    <w:rsid w:val="00B13C63"/>
    <w:rsid w:val="00B1440A"/>
    <w:rsid w:val="00B14F45"/>
    <w:rsid w:val="00B20CBB"/>
    <w:rsid w:val="00B21B29"/>
    <w:rsid w:val="00B23959"/>
    <w:rsid w:val="00B23DF7"/>
    <w:rsid w:val="00B27308"/>
    <w:rsid w:val="00B307A1"/>
    <w:rsid w:val="00B3083D"/>
    <w:rsid w:val="00B30898"/>
    <w:rsid w:val="00B3094C"/>
    <w:rsid w:val="00B32BE5"/>
    <w:rsid w:val="00B32E89"/>
    <w:rsid w:val="00B36A02"/>
    <w:rsid w:val="00B36EC4"/>
    <w:rsid w:val="00B41A47"/>
    <w:rsid w:val="00B44F17"/>
    <w:rsid w:val="00B46F59"/>
    <w:rsid w:val="00B472FB"/>
    <w:rsid w:val="00B54679"/>
    <w:rsid w:val="00B56403"/>
    <w:rsid w:val="00B61493"/>
    <w:rsid w:val="00B62028"/>
    <w:rsid w:val="00B62FF2"/>
    <w:rsid w:val="00B63589"/>
    <w:rsid w:val="00B657A8"/>
    <w:rsid w:val="00B675A5"/>
    <w:rsid w:val="00B71081"/>
    <w:rsid w:val="00B7265D"/>
    <w:rsid w:val="00B72B93"/>
    <w:rsid w:val="00B73186"/>
    <w:rsid w:val="00B73CD9"/>
    <w:rsid w:val="00B7457B"/>
    <w:rsid w:val="00B74D47"/>
    <w:rsid w:val="00B74FBC"/>
    <w:rsid w:val="00B81831"/>
    <w:rsid w:val="00B81AF0"/>
    <w:rsid w:val="00B830DB"/>
    <w:rsid w:val="00B83F54"/>
    <w:rsid w:val="00B85CD9"/>
    <w:rsid w:val="00B908B7"/>
    <w:rsid w:val="00B908BE"/>
    <w:rsid w:val="00B9225E"/>
    <w:rsid w:val="00B945ED"/>
    <w:rsid w:val="00BA3733"/>
    <w:rsid w:val="00BA5C8E"/>
    <w:rsid w:val="00BA69E8"/>
    <w:rsid w:val="00BA7793"/>
    <w:rsid w:val="00BB1EF9"/>
    <w:rsid w:val="00BB32E4"/>
    <w:rsid w:val="00BB3A83"/>
    <w:rsid w:val="00BB489B"/>
    <w:rsid w:val="00BB4F90"/>
    <w:rsid w:val="00BB4FCF"/>
    <w:rsid w:val="00BC1AC2"/>
    <w:rsid w:val="00BC1B69"/>
    <w:rsid w:val="00BC3003"/>
    <w:rsid w:val="00BC5BF9"/>
    <w:rsid w:val="00BD0C98"/>
    <w:rsid w:val="00BD3790"/>
    <w:rsid w:val="00BD4188"/>
    <w:rsid w:val="00BD41EB"/>
    <w:rsid w:val="00BD4E7E"/>
    <w:rsid w:val="00BD6111"/>
    <w:rsid w:val="00BD6EC5"/>
    <w:rsid w:val="00BE1783"/>
    <w:rsid w:val="00BE21C2"/>
    <w:rsid w:val="00BE52B3"/>
    <w:rsid w:val="00BE54D2"/>
    <w:rsid w:val="00BE6D1D"/>
    <w:rsid w:val="00BF0298"/>
    <w:rsid w:val="00BF1DDE"/>
    <w:rsid w:val="00BF2DF4"/>
    <w:rsid w:val="00BF45B8"/>
    <w:rsid w:val="00BF4621"/>
    <w:rsid w:val="00BF5400"/>
    <w:rsid w:val="00C00AB6"/>
    <w:rsid w:val="00C04782"/>
    <w:rsid w:val="00C10132"/>
    <w:rsid w:val="00C10471"/>
    <w:rsid w:val="00C13F32"/>
    <w:rsid w:val="00C16EF7"/>
    <w:rsid w:val="00C2162E"/>
    <w:rsid w:val="00C232F2"/>
    <w:rsid w:val="00C25BE9"/>
    <w:rsid w:val="00C3202B"/>
    <w:rsid w:val="00C32439"/>
    <w:rsid w:val="00C358D5"/>
    <w:rsid w:val="00C42C98"/>
    <w:rsid w:val="00C45082"/>
    <w:rsid w:val="00C46444"/>
    <w:rsid w:val="00C5298A"/>
    <w:rsid w:val="00C54B03"/>
    <w:rsid w:val="00C54B50"/>
    <w:rsid w:val="00C64A09"/>
    <w:rsid w:val="00C65A86"/>
    <w:rsid w:val="00C70B3F"/>
    <w:rsid w:val="00C71AF9"/>
    <w:rsid w:val="00C724E9"/>
    <w:rsid w:val="00C7446D"/>
    <w:rsid w:val="00C751D6"/>
    <w:rsid w:val="00C810A6"/>
    <w:rsid w:val="00C81A81"/>
    <w:rsid w:val="00C821FD"/>
    <w:rsid w:val="00C90275"/>
    <w:rsid w:val="00C91878"/>
    <w:rsid w:val="00C9331F"/>
    <w:rsid w:val="00C9351F"/>
    <w:rsid w:val="00C943A8"/>
    <w:rsid w:val="00C949DD"/>
    <w:rsid w:val="00C97334"/>
    <w:rsid w:val="00C9795B"/>
    <w:rsid w:val="00CA19DC"/>
    <w:rsid w:val="00CA3F64"/>
    <w:rsid w:val="00CA5A29"/>
    <w:rsid w:val="00CA67CB"/>
    <w:rsid w:val="00CA708A"/>
    <w:rsid w:val="00CB0935"/>
    <w:rsid w:val="00CB095D"/>
    <w:rsid w:val="00CB139C"/>
    <w:rsid w:val="00CB1A40"/>
    <w:rsid w:val="00CB21A0"/>
    <w:rsid w:val="00CB39C3"/>
    <w:rsid w:val="00CB765E"/>
    <w:rsid w:val="00CC30D5"/>
    <w:rsid w:val="00CC643B"/>
    <w:rsid w:val="00CC66F8"/>
    <w:rsid w:val="00CD462B"/>
    <w:rsid w:val="00CD5516"/>
    <w:rsid w:val="00CE04C0"/>
    <w:rsid w:val="00CE4D22"/>
    <w:rsid w:val="00CE66AE"/>
    <w:rsid w:val="00CF26B5"/>
    <w:rsid w:val="00CF45A2"/>
    <w:rsid w:val="00CF54A8"/>
    <w:rsid w:val="00CF72B4"/>
    <w:rsid w:val="00D021B2"/>
    <w:rsid w:val="00D07D97"/>
    <w:rsid w:val="00D07F42"/>
    <w:rsid w:val="00D111BA"/>
    <w:rsid w:val="00D11289"/>
    <w:rsid w:val="00D11463"/>
    <w:rsid w:val="00D11839"/>
    <w:rsid w:val="00D1217B"/>
    <w:rsid w:val="00D121A7"/>
    <w:rsid w:val="00D1239B"/>
    <w:rsid w:val="00D12421"/>
    <w:rsid w:val="00D17C43"/>
    <w:rsid w:val="00D2013A"/>
    <w:rsid w:val="00D22424"/>
    <w:rsid w:val="00D22453"/>
    <w:rsid w:val="00D2386E"/>
    <w:rsid w:val="00D3094A"/>
    <w:rsid w:val="00D314BA"/>
    <w:rsid w:val="00D33547"/>
    <w:rsid w:val="00D356C5"/>
    <w:rsid w:val="00D36F42"/>
    <w:rsid w:val="00D37E58"/>
    <w:rsid w:val="00D40E85"/>
    <w:rsid w:val="00D4105E"/>
    <w:rsid w:val="00D41A25"/>
    <w:rsid w:val="00D41B20"/>
    <w:rsid w:val="00D430CF"/>
    <w:rsid w:val="00D47917"/>
    <w:rsid w:val="00D52520"/>
    <w:rsid w:val="00D53325"/>
    <w:rsid w:val="00D550E8"/>
    <w:rsid w:val="00D56762"/>
    <w:rsid w:val="00D5708A"/>
    <w:rsid w:val="00D5780B"/>
    <w:rsid w:val="00D64EFA"/>
    <w:rsid w:val="00D701C8"/>
    <w:rsid w:val="00D744C0"/>
    <w:rsid w:val="00D749D3"/>
    <w:rsid w:val="00D77588"/>
    <w:rsid w:val="00D77FF0"/>
    <w:rsid w:val="00D80A95"/>
    <w:rsid w:val="00D81C5D"/>
    <w:rsid w:val="00D82461"/>
    <w:rsid w:val="00D83FDA"/>
    <w:rsid w:val="00D85F4A"/>
    <w:rsid w:val="00D864E3"/>
    <w:rsid w:val="00D8721F"/>
    <w:rsid w:val="00D873DA"/>
    <w:rsid w:val="00D87B56"/>
    <w:rsid w:val="00D91A95"/>
    <w:rsid w:val="00D91B9E"/>
    <w:rsid w:val="00D9205F"/>
    <w:rsid w:val="00D92573"/>
    <w:rsid w:val="00D937B5"/>
    <w:rsid w:val="00D95B77"/>
    <w:rsid w:val="00D97334"/>
    <w:rsid w:val="00D97453"/>
    <w:rsid w:val="00DA057F"/>
    <w:rsid w:val="00DA0C12"/>
    <w:rsid w:val="00DA0C6F"/>
    <w:rsid w:val="00DA14BD"/>
    <w:rsid w:val="00DA445D"/>
    <w:rsid w:val="00DA6A5D"/>
    <w:rsid w:val="00DB14F4"/>
    <w:rsid w:val="00DB1867"/>
    <w:rsid w:val="00DB26DA"/>
    <w:rsid w:val="00DB35B4"/>
    <w:rsid w:val="00DB35B6"/>
    <w:rsid w:val="00DB6698"/>
    <w:rsid w:val="00DB6D11"/>
    <w:rsid w:val="00DB78E7"/>
    <w:rsid w:val="00DC125F"/>
    <w:rsid w:val="00DC1364"/>
    <w:rsid w:val="00DC1862"/>
    <w:rsid w:val="00DC318A"/>
    <w:rsid w:val="00DC4EBE"/>
    <w:rsid w:val="00DC5C68"/>
    <w:rsid w:val="00DC6AC6"/>
    <w:rsid w:val="00DC7ED7"/>
    <w:rsid w:val="00DD1EBE"/>
    <w:rsid w:val="00DD5F6D"/>
    <w:rsid w:val="00DD6872"/>
    <w:rsid w:val="00DE20EE"/>
    <w:rsid w:val="00DE3A7B"/>
    <w:rsid w:val="00DE47B8"/>
    <w:rsid w:val="00DE4F48"/>
    <w:rsid w:val="00DE5154"/>
    <w:rsid w:val="00DF01F5"/>
    <w:rsid w:val="00DF063F"/>
    <w:rsid w:val="00DF3780"/>
    <w:rsid w:val="00DF6CD6"/>
    <w:rsid w:val="00E00EAF"/>
    <w:rsid w:val="00E03A6C"/>
    <w:rsid w:val="00E059A1"/>
    <w:rsid w:val="00E06286"/>
    <w:rsid w:val="00E12E0C"/>
    <w:rsid w:val="00E13627"/>
    <w:rsid w:val="00E1436B"/>
    <w:rsid w:val="00E157B7"/>
    <w:rsid w:val="00E15EB9"/>
    <w:rsid w:val="00E234C9"/>
    <w:rsid w:val="00E23E9A"/>
    <w:rsid w:val="00E25F16"/>
    <w:rsid w:val="00E27431"/>
    <w:rsid w:val="00E32273"/>
    <w:rsid w:val="00E32DD4"/>
    <w:rsid w:val="00E3476A"/>
    <w:rsid w:val="00E35F4E"/>
    <w:rsid w:val="00E436C5"/>
    <w:rsid w:val="00E44076"/>
    <w:rsid w:val="00E45EB7"/>
    <w:rsid w:val="00E516FE"/>
    <w:rsid w:val="00E52D5C"/>
    <w:rsid w:val="00E55099"/>
    <w:rsid w:val="00E561F6"/>
    <w:rsid w:val="00E57A01"/>
    <w:rsid w:val="00E60106"/>
    <w:rsid w:val="00E609A3"/>
    <w:rsid w:val="00E6154A"/>
    <w:rsid w:val="00E61F2C"/>
    <w:rsid w:val="00E62C16"/>
    <w:rsid w:val="00E6336D"/>
    <w:rsid w:val="00E66C3A"/>
    <w:rsid w:val="00E71464"/>
    <w:rsid w:val="00E719F2"/>
    <w:rsid w:val="00E75100"/>
    <w:rsid w:val="00E75A3B"/>
    <w:rsid w:val="00E81238"/>
    <w:rsid w:val="00E8145D"/>
    <w:rsid w:val="00E83341"/>
    <w:rsid w:val="00E84938"/>
    <w:rsid w:val="00E869BE"/>
    <w:rsid w:val="00E87A44"/>
    <w:rsid w:val="00E915E6"/>
    <w:rsid w:val="00EA278F"/>
    <w:rsid w:val="00EA3D5E"/>
    <w:rsid w:val="00EA4A22"/>
    <w:rsid w:val="00EB0D55"/>
    <w:rsid w:val="00EB2F74"/>
    <w:rsid w:val="00EB3CBB"/>
    <w:rsid w:val="00EB48D6"/>
    <w:rsid w:val="00EB70B9"/>
    <w:rsid w:val="00EC1CEE"/>
    <w:rsid w:val="00EC2971"/>
    <w:rsid w:val="00EC4D3D"/>
    <w:rsid w:val="00EC7FD2"/>
    <w:rsid w:val="00ED0865"/>
    <w:rsid w:val="00ED1C82"/>
    <w:rsid w:val="00ED278C"/>
    <w:rsid w:val="00ED7550"/>
    <w:rsid w:val="00EE1A49"/>
    <w:rsid w:val="00EE4576"/>
    <w:rsid w:val="00EE5763"/>
    <w:rsid w:val="00EF0063"/>
    <w:rsid w:val="00EF1BA9"/>
    <w:rsid w:val="00EF1F06"/>
    <w:rsid w:val="00EF2527"/>
    <w:rsid w:val="00EF5945"/>
    <w:rsid w:val="00EF7B66"/>
    <w:rsid w:val="00F045D6"/>
    <w:rsid w:val="00F04D96"/>
    <w:rsid w:val="00F06649"/>
    <w:rsid w:val="00F06AF2"/>
    <w:rsid w:val="00F121E1"/>
    <w:rsid w:val="00F121E3"/>
    <w:rsid w:val="00F20953"/>
    <w:rsid w:val="00F21E3C"/>
    <w:rsid w:val="00F25C10"/>
    <w:rsid w:val="00F25DB9"/>
    <w:rsid w:val="00F264C4"/>
    <w:rsid w:val="00F2657A"/>
    <w:rsid w:val="00F2699B"/>
    <w:rsid w:val="00F27A1C"/>
    <w:rsid w:val="00F27C87"/>
    <w:rsid w:val="00F304AF"/>
    <w:rsid w:val="00F30906"/>
    <w:rsid w:val="00F32423"/>
    <w:rsid w:val="00F34324"/>
    <w:rsid w:val="00F34F03"/>
    <w:rsid w:val="00F36094"/>
    <w:rsid w:val="00F4017C"/>
    <w:rsid w:val="00F46A7F"/>
    <w:rsid w:val="00F508CA"/>
    <w:rsid w:val="00F514D2"/>
    <w:rsid w:val="00F526F9"/>
    <w:rsid w:val="00F56EFE"/>
    <w:rsid w:val="00F60EE7"/>
    <w:rsid w:val="00F61D33"/>
    <w:rsid w:val="00F63761"/>
    <w:rsid w:val="00F640C7"/>
    <w:rsid w:val="00F66858"/>
    <w:rsid w:val="00F70944"/>
    <w:rsid w:val="00F70CCF"/>
    <w:rsid w:val="00F70D08"/>
    <w:rsid w:val="00F70F96"/>
    <w:rsid w:val="00F72C9C"/>
    <w:rsid w:val="00F74653"/>
    <w:rsid w:val="00F77952"/>
    <w:rsid w:val="00F77E99"/>
    <w:rsid w:val="00F8391B"/>
    <w:rsid w:val="00F87FF3"/>
    <w:rsid w:val="00F91F1C"/>
    <w:rsid w:val="00F931A4"/>
    <w:rsid w:val="00F9452A"/>
    <w:rsid w:val="00F95881"/>
    <w:rsid w:val="00F97C18"/>
    <w:rsid w:val="00FA0ACC"/>
    <w:rsid w:val="00FA154F"/>
    <w:rsid w:val="00FA365C"/>
    <w:rsid w:val="00FA5A7B"/>
    <w:rsid w:val="00FB0B5F"/>
    <w:rsid w:val="00FB3B06"/>
    <w:rsid w:val="00FB5F83"/>
    <w:rsid w:val="00FB6322"/>
    <w:rsid w:val="00FC0BE8"/>
    <w:rsid w:val="00FC33FF"/>
    <w:rsid w:val="00FC40BD"/>
    <w:rsid w:val="00FC4F38"/>
    <w:rsid w:val="00FC677E"/>
    <w:rsid w:val="00FD01F0"/>
    <w:rsid w:val="00FD4074"/>
    <w:rsid w:val="00FD5890"/>
    <w:rsid w:val="00FD5DE0"/>
    <w:rsid w:val="00FD790E"/>
    <w:rsid w:val="00FE0C75"/>
    <w:rsid w:val="00FE2263"/>
    <w:rsid w:val="00FE24E4"/>
    <w:rsid w:val="00FE2ADA"/>
    <w:rsid w:val="00FE356C"/>
    <w:rsid w:val="00FE5A43"/>
    <w:rsid w:val="00FF095D"/>
    <w:rsid w:val="00FF0D86"/>
    <w:rsid w:val="00FF264E"/>
    <w:rsid w:val="00F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9D87ED"/>
  <w15:docId w15:val="{5C4DFFA1-ADE6-4AF7-8DB0-D791EDC3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83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sid w:val="007E6F6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7E6F6A"/>
    <w:rPr>
      <w:rFonts w:ascii="Arial" w:hAnsi="Arial" w:cs="Arial"/>
      <w:color w:val="auto"/>
      <w:sz w:val="20"/>
    </w:rPr>
  </w:style>
  <w:style w:type="paragraph" w:styleId="Title">
    <w:name w:val="Title"/>
    <w:basedOn w:val="Normal"/>
    <w:qFormat/>
    <w:rsid w:val="007E6F6A"/>
    <w:pPr>
      <w:jc w:val="center"/>
    </w:pPr>
    <w:rPr>
      <w:b/>
    </w:rPr>
  </w:style>
  <w:style w:type="paragraph" w:styleId="FootnoteText">
    <w:name w:val="footnote text"/>
    <w:basedOn w:val="Normal"/>
    <w:link w:val="FootnoteTextChar"/>
    <w:semiHidden/>
    <w:rsid w:val="007E6F6A"/>
    <w:rPr>
      <w:sz w:val="20"/>
    </w:rPr>
  </w:style>
  <w:style w:type="character" w:styleId="FootnoteReference">
    <w:name w:val="footnote reference"/>
    <w:basedOn w:val="DefaultParagraphFont"/>
    <w:semiHidden/>
    <w:rsid w:val="007E6F6A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E6F6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E6F6A"/>
  </w:style>
  <w:style w:type="paragraph" w:styleId="Header">
    <w:name w:val="header"/>
    <w:basedOn w:val="Normal"/>
    <w:link w:val="HeaderChar"/>
    <w:uiPriority w:val="99"/>
    <w:rsid w:val="007E6F6A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7E6F6A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  <w:rsid w:val="007D54C8"/>
    <w:pPr>
      <w:jc w:val="both"/>
    </w:pPr>
    <w:rPr>
      <w:lang w:eastAsia="en-US"/>
    </w:rPr>
  </w:style>
  <w:style w:type="paragraph" w:styleId="BodyText2">
    <w:name w:val="Body Text 2"/>
    <w:basedOn w:val="Normal"/>
    <w:rsid w:val="007D54C8"/>
    <w:pPr>
      <w:jc w:val="both"/>
    </w:pPr>
    <w:rPr>
      <w:color w:val="0000FF"/>
      <w:lang w:eastAsia="en-US"/>
    </w:rPr>
  </w:style>
  <w:style w:type="table" w:styleId="TableGrid">
    <w:name w:val="Table Grid"/>
    <w:basedOn w:val="TableNormal"/>
    <w:rsid w:val="00A06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A30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30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43E9"/>
    <w:pPr>
      <w:ind w:left="720"/>
      <w:contextualSpacing/>
    </w:pPr>
  </w:style>
  <w:style w:type="character" w:styleId="Strong">
    <w:name w:val="Strong"/>
    <w:basedOn w:val="DefaultParagraphFont"/>
    <w:qFormat/>
    <w:rsid w:val="00B472F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D021B2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021B2"/>
    <w:rPr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AF5AC4"/>
  </w:style>
  <w:style w:type="character" w:customStyle="1" w:styleId="BodyTextChar">
    <w:name w:val="Body Text Char"/>
    <w:basedOn w:val="DefaultParagraphFont"/>
    <w:link w:val="BodyText"/>
    <w:rsid w:val="00C16EF7"/>
    <w:rPr>
      <w:sz w:val="24"/>
      <w:lang w:eastAsia="en-US"/>
    </w:rPr>
  </w:style>
  <w:style w:type="paragraph" w:styleId="Revision">
    <w:name w:val="Revision"/>
    <w:hidden/>
    <w:uiPriority w:val="99"/>
    <w:semiHidden/>
    <w:rsid w:val="00D3094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tbbdosyas\mev\6.Bankac&#305;l&#305;k%20G&#246;stergeleri%20Sunumlar\Ara&#351;t&#305;rma%20raporlar&#305;\Bankac&#305;l&#305;k%20Sisteminin%20Co&#287;rafi%20Da&#287;&#305;l&#305;m&#305;\2025\Grafikler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Sheet1!$E$2</c:f>
              <c:strCache>
                <c:ptCount val="1"/>
                <c:pt idx="0">
                  <c:v>Kişi Başına Mevduat (TL)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Sheet1!$A$9:$A$13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Sheet1!$E$9:$E$13</c:f>
              <c:numCache>
                <c:formatCode>#,##0</c:formatCode>
                <c:ptCount val="5"/>
                <c:pt idx="0">
                  <c:v>58121.837662940692</c:v>
                </c:pt>
                <c:pt idx="1">
                  <c:v>97474</c:v>
                </c:pt>
                <c:pt idx="2">
                  <c:v>163773</c:v>
                </c:pt>
                <c:pt idx="3">
                  <c:v>209770</c:v>
                </c:pt>
                <c:pt idx="4">
                  <c:v>293394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83-4596-A1D0-C58F81543F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4487136"/>
        <c:axId val="604487680"/>
      </c:barChart>
      <c:catAx>
        <c:axId val="604487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604487680"/>
        <c:crosses val="autoZero"/>
        <c:auto val="1"/>
        <c:lblAlgn val="ctr"/>
        <c:lblOffset val="100"/>
        <c:noMultiLvlLbl val="0"/>
      </c:catAx>
      <c:valAx>
        <c:axId val="604487680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604487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="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Sheet1!$H$2</c:f>
              <c:strCache>
                <c:ptCount val="1"/>
                <c:pt idx="0">
                  <c:v>Kişi Başına Kredi (TL)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Sheet1!$A$9:$A$13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Sheet1!$H$9:$H$13</c:f>
              <c:numCache>
                <c:formatCode>#,##0</c:formatCode>
                <c:ptCount val="5"/>
                <c:pt idx="0">
                  <c:v>51918.875131274057</c:v>
                </c:pt>
                <c:pt idx="1">
                  <c:v>79760</c:v>
                </c:pt>
                <c:pt idx="2">
                  <c:v>123658</c:v>
                </c:pt>
                <c:pt idx="3">
                  <c:v>172835</c:v>
                </c:pt>
                <c:pt idx="4">
                  <c:v>246497.27319705085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27-4859-A1D7-54D799500C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4494208"/>
        <c:axId val="604488224"/>
      </c:barChart>
      <c:catAx>
        <c:axId val="604494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604488224"/>
        <c:crosses val="autoZero"/>
        <c:auto val="1"/>
        <c:lblAlgn val="ctr"/>
        <c:lblOffset val="100"/>
        <c:noMultiLvlLbl val="0"/>
      </c:catAx>
      <c:valAx>
        <c:axId val="604488224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6044942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="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771546-dc50-4e1c-b52d-e098fd7651f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922CAF6796CA44188849BC2E7737E03" ma:contentTypeVersion="9" ma:contentTypeDescription="Yeni belge oluşturun." ma:contentTypeScope="" ma:versionID="3ab5c6127aefd796a3d4d810715e16e8">
  <xsd:schema xmlns:xsd="http://www.w3.org/2001/XMLSchema" xmlns:xs="http://www.w3.org/2001/XMLSchema" xmlns:p="http://schemas.microsoft.com/office/2006/metadata/properties" xmlns:ns3="6e771546-dc50-4e1c-b52d-e098fd7651f6" xmlns:ns4="2796da4e-b19d-4177-ae3d-97cebc1a6c60" targetNamespace="http://schemas.microsoft.com/office/2006/metadata/properties" ma:root="true" ma:fieldsID="fda6fa0b661d256b9ef8ba9fef649dad" ns3:_="" ns4:_="">
    <xsd:import namespace="6e771546-dc50-4e1c-b52d-e098fd7651f6"/>
    <xsd:import namespace="2796da4e-b19d-4177-ae3d-97cebc1a6c6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71546-dc50-4e1c-b52d-e098fd7651f6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6da4e-b19d-4177-ae3d-97cebc1a6c6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B25BE1-8A56-465D-9DCA-DF59ABC259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857933-973A-43BE-9C5D-777671E094EE}">
  <ds:schemaRefs>
    <ds:schemaRef ds:uri="http://schemas.microsoft.com/office/2006/metadata/properties"/>
    <ds:schemaRef ds:uri="http://schemas.microsoft.com/office/infopath/2007/PartnerControls"/>
    <ds:schemaRef ds:uri="6e771546-dc50-4e1c-b52d-e098fd7651f6"/>
  </ds:schemaRefs>
</ds:datastoreItem>
</file>

<file path=customXml/itemProps3.xml><?xml version="1.0" encoding="utf-8"?>
<ds:datastoreItem xmlns:ds="http://schemas.openxmlformats.org/officeDocument/2006/customXml" ds:itemID="{12370A94-9B64-409C-BB8D-74DC070C5D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115A85-72BE-47BA-B66E-999EE9157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71546-dc50-4e1c-b52d-e098fd7651f6"/>
    <ds:schemaRef ds:uri="2796da4e-b19d-4177-ae3d-97cebc1a6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Bankacılık Sisteminin Coğrafi Dağılımı</vt:lpstr>
    </vt:vector>
  </TitlesOfParts>
  <Company>A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Bankacılık Sisteminin Coğrafi Dağılımı</dc:title>
  <dc:creator>InanE</dc:creator>
  <cp:lastModifiedBy>Güneş Taş Memiş</cp:lastModifiedBy>
  <cp:revision>10</cp:revision>
  <cp:lastPrinted>2024-06-25T06:21:00Z</cp:lastPrinted>
  <dcterms:created xsi:type="dcterms:W3CDTF">2025-06-18T13:25:00Z</dcterms:created>
  <dcterms:modified xsi:type="dcterms:W3CDTF">2026-06-15T14:01:00Z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0x0101007922CAF6796CA44188849BC2E7737E03</vt:lpwstr>
  </property>
</Properties>
</file>