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969" w:rsidRDefault="00A67969" w:rsidP="00FC1CFC">
      <w:pPr>
        <w:jc w:val="both"/>
        <w:rPr>
          <w:szCs w:val="22"/>
        </w:rPr>
      </w:pPr>
    </w:p>
    <w:p w:rsidR="00CE1DEE" w:rsidRDefault="00A67969" w:rsidP="00CE1DEE">
      <w:pPr>
        <w:jc w:val="center"/>
        <w:rPr>
          <w:rFonts w:cs="Arial"/>
          <w:b/>
          <w:bCs/>
          <w:szCs w:val="22"/>
          <w:lang w:eastAsia="tr-TR"/>
        </w:rPr>
      </w:pPr>
      <w:r w:rsidRPr="00A67969">
        <w:rPr>
          <w:rFonts w:cs="Arial"/>
          <w:b/>
          <w:bCs/>
          <w:szCs w:val="22"/>
          <w:lang w:eastAsia="tr-TR"/>
        </w:rPr>
        <w:t>Türkiye Esnaf ve Sanatkarları Konfederasyonu</w:t>
      </w:r>
      <w:bookmarkStart w:id="0" w:name="_GoBack"/>
      <w:bookmarkEnd w:id="0"/>
      <w:r w:rsidRPr="00A67969">
        <w:rPr>
          <w:rFonts w:cs="Arial"/>
          <w:b/>
          <w:bCs/>
          <w:szCs w:val="22"/>
          <w:lang w:eastAsia="tr-TR"/>
        </w:rPr>
        <w:t xml:space="preserve">na Bağlı Esnaf ve Sanatkarlar Odalarının Üyelerinin </w:t>
      </w:r>
      <w:r w:rsidR="00CE1DEE">
        <w:rPr>
          <w:rFonts w:cs="Arial"/>
          <w:b/>
          <w:bCs/>
          <w:szCs w:val="22"/>
          <w:lang w:eastAsia="tr-TR"/>
        </w:rPr>
        <w:t>Bankalara Olan Borçlarının</w:t>
      </w:r>
    </w:p>
    <w:p w:rsidR="00CE1DEE" w:rsidRDefault="00A67969" w:rsidP="00CE1DEE">
      <w:pPr>
        <w:jc w:val="center"/>
        <w:rPr>
          <w:rFonts w:cs="Arial"/>
          <w:b/>
          <w:bCs/>
          <w:szCs w:val="22"/>
          <w:lang w:eastAsia="tr-TR"/>
        </w:rPr>
      </w:pPr>
      <w:r w:rsidRPr="00A67969">
        <w:rPr>
          <w:rFonts w:cs="Arial"/>
          <w:b/>
          <w:bCs/>
          <w:szCs w:val="22"/>
          <w:lang w:eastAsia="tr-TR"/>
        </w:rPr>
        <w:t>İsteğe Bağlı Olarak Finan</w:t>
      </w:r>
      <w:r w:rsidR="00CE1DEE">
        <w:rPr>
          <w:rFonts w:cs="Arial"/>
          <w:b/>
          <w:bCs/>
          <w:szCs w:val="22"/>
          <w:lang w:eastAsia="tr-TR"/>
        </w:rPr>
        <w:t>sal Yeniden Yapılandırılmaları</w:t>
      </w:r>
      <w:r w:rsidRPr="00A67969">
        <w:rPr>
          <w:rFonts w:cs="Arial"/>
          <w:b/>
          <w:bCs/>
          <w:szCs w:val="22"/>
          <w:lang w:eastAsia="tr-TR"/>
        </w:rPr>
        <w:t xml:space="preserve"> Protokol’üne</w:t>
      </w:r>
    </w:p>
    <w:p w:rsidR="00A67969" w:rsidRPr="00A67969" w:rsidRDefault="00A67969" w:rsidP="00CE1DEE">
      <w:pPr>
        <w:jc w:val="center"/>
        <w:rPr>
          <w:b/>
          <w:szCs w:val="22"/>
        </w:rPr>
      </w:pPr>
      <w:r w:rsidRPr="00A67969">
        <w:rPr>
          <w:rFonts w:cs="Arial"/>
          <w:b/>
          <w:bCs/>
          <w:szCs w:val="22"/>
          <w:lang w:eastAsia="tr-TR"/>
        </w:rPr>
        <w:t>İlişkin Kamuoyu Duyurusu</w:t>
      </w:r>
    </w:p>
    <w:p w:rsidR="00A67969" w:rsidRDefault="00A67969" w:rsidP="00FC1CFC">
      <w:pPr>
        <w:jc w:val="both"/>
        <w:rPr>
          <w:b/>
          <w:szCs w:val="22"/>
        </w:rPr>
      </w:pPr>
      <w:r>
        <w:rPr>
          <w:szCs w:val="22"/>
        </w:rPr>
        <w:tab/>
      </w:r>
      <w:r>
        <w:rPr>
          <w:szCs w:val="22"/>
        </w:rPr>
        <w:tab/>
      </w:r>
      <w:r>
        <w:rPr>
          <w:szCs w:val="22"/>
        </w:rPr>
        <w:tab/>
      </w:r>
      <w:r w:rsidRPr="00A67969">
        <w:rPr>
          <w:b/>
          <w:szCs w:val="22"/>
        </w:rPr>
        <w:tab/>
      </w:r>
    </w:p>
    <w:p w:rsidR="00A67969" w:rsidRPr="00A67969" w:rsidRDefault="00A67969" w:rsidP="00A67969">
      <w:pPr>
        <w:ind w:left="2160" w:firstLine="720"/>
        <w:jc w:val="both"/>
        <w:rPr>
          <w:b/>
          <w:szCs w:val="22"/>
        </w:rPr>
      </w:pPr>
      <w:r w:rsidRPr="00A67969">
        <w:rPr>
          <w:b/>
          <w:szCs w:val="22"/>
        </w:rPr>
        <w:t>1</w:t>
      </w:r>
      <w:r w:rsidR="00883046">
        <w:rPr>
          <w:b/>
          <w:szCs w:val="22"/>
        </w:rPr>
        <w:t>8</w:t>
      </w:r>
      <w:r w:rsidRPr="00A67969">
        <w:rPr>
          <w:b/>
          <w:szCs w:val="22"/>
        </w:rPr>
        <w:t xml:space="preserve"> Nisan 2011</w:t>
      </w:r>
    </w:p>
    <w:p w:rsidR="00A67969" w:rsidRDefault="00A67969" w:rsidP="00FC1CFC">
      <w:pPr>
        <w:jc w:val="both"/>
        <w:rPr>
          <w:szCs w:val="22"/>
        </w:rPr>
      </w:pPr>
    </w:p>
    <w:p w:rsidR="00A67969" w:rsidRDefault="00A67969" w:rsidP="00FC1CFC">
      <w:pPr>
        <w:jc w:val="both"/>
        <w:rPr>
          <w:szCs w:val="22"/>
        </w:rPr>
      </w:pPr>
    </w:p>
    <w:p w:rsidR="00FC1CFC" w:rsidRPr="00CE1DEE" w:rsidRDefault="00FC1CFC" w:rsidP="00FC1CFC">
      <w:pPr>
        <w:jc w:val="both"/>
        <w:rPr>
          <w:szCs w:val="22"/>
        </w:rPr>
      </w:pPr>
      <w:r>
        <w:rPr>
          <w:szCs w:val="22"/>
        </w:rPr>
        <w:t xml:space="preserve">Türkiye Esnaf ve Sanatkarları Konfederasyonu Başkanlığı (TESK) tarafından esnaf ve sanatkarların </w:t>
      </w:r>
      <w:r w:rsidR="00CE1DEE">
        <w:rPr>
          <w:szCs w:val="22"/>
        </w:rPr>
        <w:t>bankalara olan</w:t>
      </w:r>
      <w:r>
        <w:rPr>
          <w:szCs w:val="22"/>
        </w:rPr>
        <w:t xml:space="preserve"> borçlarının yeniden yapılandırılması talebiyle Birliğimize başvuruda bulunulmuştur. </w:t>
      </w:r>
      <w:r w:rsidR="00CE1DEE">
        <w:rPr>
          <w:szCs w:val="22"/>
        </w:rPr>
        <w:t>E</w:t>
      </w:r>
      <w:r>
        <w:rPr>
          <w:szCs w:val="22"/>
        </w:rPr>
        <w:t>snaf ve sanatkarların ticari kredilerinin yeniden yapılandırılmasına yönelik olarak</w:t>
      </w:r>
      <w:r w:rsidR="000E76E8">
        <w:rPr>
          <w:szCs w:val="22"/>
        </w:rPr>
        <w:t>,</w:t>
      </w:r>
      <w:r>
        <w:rPr>
          <w:szCs w:val="22"/>
        </w:rPr>
        <w:t xml:space="preserve"> </w:t>
      </w:r>
      <w:r w:rsidR="000E76E8">
        <w:rPr>
          <w:szCs w:val="22"/>
        </w:rPr>
        <w:t xml:space="preserve">önceki uygulamalar </w:t>
      </w:r>
      <w:r w:rsidR="009B40C7">
        <w:rPr>
          <w:szCs w:val="22"/>
        </w:rPr>
        <w:t xml:space="preserve">da </w:t>
      </w:r>
      <w:r w:rsidR="00CE1DEE">
        <w:rPr>
          <w:szCs w:val="22"/>
        </w:rPr>
        <w:t xml:space="preserve">dikkate alınarak, gönüllü katılım esasına göre, 13 banka arasında geçerli olmak üzere, </w:t>
      </w:r>
      <w:r w:rsidR="00DC1B52">
        <w:rPr>
          <w:szCs w:val="22"/>
        </w:rPr>
        <w:t>“</w:t>
      </w:r>
      <w:r w:rsidR="00CE1DEE">
        <w:rPr>
          <w:szCs w:val="22"/>
        </w:rPr>
        <w:t>F</w:t>
      </w:r>
      <w:r>
        <w:rPr>
          <w:rFonts w:cs="Arial"/>
          <w:bCs/>
          <w:szCs w:val="22"/>
          <w:lang w:eastAsia="tr-TR"/>
        </w:rPr>
        <w:t>inan</w:t>
      </w:r>
      <w:r w:rsidR="00CE1DEE">
        <w:rPr>
          <w:rFonts w:cs="Arial"/>
          <w:bCs/>
          <w:szCs w:val="22"/>
          <w:lang w:eastAsia="tr-TR"/>
        </w:rPr>
        <w:t>sal Yeniden Yapılandırılma</w:t>
      </w:r>
      <w:r>
        <w:rPr>
          <w:rFonts w:cs="Arial"/>
          <w:bCs/>
          <w:szCs w:val="22"/>
          <w:lang w:eastAsia="tr-TR"/>
        </w:rPr>
        <w:t xml:space="preserve"> Protokol</w:t>
      </w:r>
      <w:r w:rsidR="00CE1DEE">
        <w:rPr>
          <w:rFonts w:cs="Arial"/>
          <w:bCs/>
          <w:szCs w:val="22"/>
          <w:lang w:eastAsia="tr-TR"/>
        </w:rPr>
        <w:t>ü</w:t>
      </w:r>
      <w:r>
        <w:rPr>
          <w:rFonts w:cs="Arial"/>
          <w:bCs/>
          <w:szCs w:val="22"/>
          <w:lang w:eastAsia="tr-TR"/>
        </w:rPr>
        <w:t>”</w:t>
      </w:r>
      <w:r>
        <w:rPr>
          <w:rFonts w:cs="Arial"/>
          <w:bCs/>
          <w:szCs w:val="22"/>
        </w:rPr>
        <w:t xml:space="preserve"> hazırlanmıştır. </w:t>
      </w:r>
    </w:p>
    <w:p w:rsidR="00FC1CFC" w:rsidRDefault="00FC1CFC" w:rsidP="00FC1CFC">
      <w:pPr>
        <w:jc w:val="both"/>
        <w:rPr>
          <w:rFonts w:cs="Arial"/>
          <w:bCs/>
          <w:szCs w:val="22"/>
        </w:rPr>
      </w:pPr>
    </w:p>
    <w:p w:rsidR="00FC1CFC" w:rsidRDefault="00CE1DEE" w:rsidP="00FC1CFC">
      <w:pPr>
        <w:jc w:val="both"/>
        <w:rPr>
          <w:rFonts w:cs="Arial"/>
          <w:bCs/>
          <w:szCs w:val="22"/>
        </w:rPr>
      </w:pPr>
      <w:r>
        <w:rPr>
          <w:rFonts w:cs="Arial"/>
          <w:szCs w:val="22"/>
        </w:rPr>
        <w:t>Protokolü imzalayacağını açıklayan</w:t>
      </w:r>
      <w:r w:rsidR="00FC1CFC">
        <w:rPr>
          <w:rFonts w:cs="Arial"/>
          <w:szCs w:val="22"/>
        </w:rPr>
        <w:t xml:space="preserve"> </w:t>
      </w:r>
      <w:r>
        <w:rPr>
          <w:rFonts w:cs="Arial"/>
          <w:szCs w:val="22"/>
        </w:rPr>
        <w:t xml:space="preserve">bankalar, </w:t>
      </w:r>
      <w:r w:rsidR="00FC1CFC">
        <w:rPr>
          <w:rFonts w:cs="Arial"/>
          <w:szCs w:val="22"/>
        </w:rPr>
        <w:t>Akbank T.A.Ş., Alternatif Bank A.Ş., Denizbank A.Ş., Eurobank Tekfen A.Ş., HSBC Bank A.Ş., Şekerbank T.A.Ş., Tekstil Bankası A.Ş., TC Ziraat Bankası A.Ş., T. Garanti Bankası A.Ş., Türkiye Halk Bankası A.Ş., T. İş Bankası A.Ş., Vakıflar Bankası T.A.O. ve Yapı ve Kredi Bankası A.Ş.</w:t>
      </w:r>
      <w:r>
        <w:rPr>
          <w:rFonts w:cs="Arial"/>
          <w:szCs w:val="22"/>
        </w:rPr>
        <w:t xml:space="preserve">’dir. </w:t>
      </w:r>
    </w:p>
    <w:p w:rsidR="00FC1CFC" w:rsidRDefault="00FC1CFC" w:rsidP="00FC1CFC">
      <w:pPr>
        <w:pStyle w:val="ListParagraph"/>
        <w:ind w:left="0"/>
        <w:jc w:val="both"/>
        <w:rPr>
          <w:rFonts w:ascii="Arial" w:hAnsi="Arial" w:cs="Arial"/>
          <w:bCs/>
          <w:sz w:val="22"/>
          <w:szCs w:val="22"/>
        </w:rPr>
      </w:pPr>
    </w:p>
    <w:p w:rsidR="003E076B" w:rsidRDefault="00CE1DEE" w:rsidP="00FC1CFC">
      <w:pPr>
        <w:jc w:val="both"/>
        <w:rPr>
          <w:rFonts w:cs="Arial"/>
          <w:szCs w:val="22"/>
        </w:rPr>
      </w:pPr>
      <w:r>
        <w:rPr>
          <w:rFonts w:cs="Arial"/>
          <w:szCs w:val="22"/>
        </w:rPr>
        <w:t xml:space="preserve">Uygulamanın başlatılabilmesi için, </w:t>
      </w:r>
      <w:r w:rsidR="003E076B">
        <w:rPr>
          <w:rFonts w:cs="Arial"/>
          <w:szCs w:val="22"/>
        </w:rPr>
        <w:t xml:space="preserve">Rekabet Kurumu’na </w:t>
      </w:r>
      <w:r w:rsidR="00FC1CFC" w:rsidRPr="007D0F6B">
        <w:rPr>
          <w:rFonts w:cs="Arial"/>
          <w:szCs w:val="22"/>
        </w:rPr>
        <w:t>menfi tespit/muafiyet başvurusu</w:t>
      </w:r>
      <w:r w:rsidR="00FC1CFC">
        <w:rPr>
          <w:rFonts w:cs="Arial"/>
          <w:szCs w:val="22"/>
        </w:rPr>
        <w:t>n</w:t>
      </w:r>
      <w:r w:rsidR="003E076B">
        <w:rPr>
          <w:rFonts w:cs="Arial"/>
          <w:szCs w:val="22"/>
        </w:rPr>
        <w:t xml:space="preserve">da bulunulmuştur. </w:t>
      </w:r>
    </w:p>
    <w:p w:rsidR="003E076B" w:rsidRDefault="003E076B" w:rsidP="00FC1CFC">
      <w:pPr>
        <w:jc w:val="both"/>
        <w:rPr>
          <w:rFonts w:cs="Arial"/>
          <w:szCs w:val="22"/>
        </w:rPr>
      </w:pPr>
    </w:p>
    <w:p w:rsidR="00CE1DEE" w:rsidRDefault="003E076B" w:rsidP="00FC1CFC">
      <w:pPr>
        <w:jc w:val="both"/>
        <w:rPr>
          <w:rFonts w:cs="Arial"/>
          <w:szCs w:val="22"/>
        </w:rPr>
      </w:pPr>
      <w:r>
        <w:rPr>
          <w:rFonts w:cs="Arial"/>
          <w:szCs w:val="22"/>
        </w:rPr>
        <w:t>B</w:t>
      </w:r>
      <w:r w:rsidR="00CE1DEE">
        <w:rPr>
          <w:rFonts w:cs="Arial"/>
          <w:szCs w:val="22"/>
        </w:rPr>
        <w:t>ilgilerinize sunulur.</w:t>
      </w:r>
    </w:p>
    <w:p w:rsidR="00CE1DEE" w:rsidRDefault="00CE1DEE" w:rsidP="00FC1CFC">
      <w:pPr>
        <w:jc w:val="both"/>
        <w:rPr>
          <w:rFonts w:cs="Arial"/>
          <w:szCs w:val="22"/>
        </w:rPr>
      </w:pPr>
    </w:p>
    <w:p w:rsidR="00CE1DEE" w:rsidRDefault="00CE1DEE" w:rsidP="00FC1CFC">
      <w:pPr>
        <w:jc w:val="both"/>
        <w:rPr>
          <w:rFonts w:cs="Arial"/>
          <w:szCs w:val="22"/>
        </w:rPr>
      </w:pPr>
      <w:r>
        <w:rPr>
          <w:rFonts w:cs="Arial"/>
          <w:szCs w:val="22"/>
        </w:rPr>
        <w:t>Saygılarım</w:t>
      </w:r>
      <w:r w:rsidR="00AE7AC8">
        <w:rPr>
          <w:rFonts w:cs="Arial"/>
          <w:szCs w:val="22"/>
        </w:rPr>
        <w:t>ı</w:t>
      </w:r>
      <w:r>
        <w:rPr>
          <w:rFonts w:cs="Arial"/>
          <w:szCs w:val="22"/>
        </w:rPr>
        <w:t>zla,</w:t>
      </w:r>
    </w:p>
    <w:p w:rsidR="00CE1DEE" w:rsidRDefault="00CE1DEE" w:rsidP="00FC1CFC">
      <w:pPr>
        <w:jc w:val="both"/>
        <w:rPr>
          <w:rFonts w:cs="Arial"/>
          <w:szCs w:val="22"/>
        </w:rPr>
      </w:pPr>
    </w:p>
    <w:p w:rsidR="00FC1CFC" w:rsidRPr="007D0F6B" w:rsidRDefault="00CE1DEE" w:rsidP="00FC1CFC">
      <w:pPr>
        <w:jc w:val="both"/>
        <w:rPr>
          <w:rFonts w:cs="Arial"/>
          <w:szCs w:val="22"/>
        </w:rPr>
      </w:pPr>
      <w:r>
        <w:rPr>
          <w:rFonts w:cs="Arial"/>
          <w:szCs w:val="22"/>
        </w:rPr>
        <w:t>Türkiye Bankalar Birliği</w:t>
      </w:r>
      <w:r w:rsidR="00FC1CFC" w:rsidRPr="007D0F6B">
        <w:rPr>
          <w:rFonts w:cs="Arial"/>
          <w:szCs w:val="22"/>
        </w:rPr>
        <w:t xml:space="preserve"> </w:t>
      </w:r>
    </w:p>
    <w:p w:rsidR="00FC1CFC" w:rsidRPr="007D0F6B" w:rsidRDefault="00FC1CFC" w:rsidP="00FC1CFC">
      <w:pPr>
        <w:jc w:val="both"/>
        <w:rPr>
          <w:rFonts w:cs="Arial"/>
          <w:szCs w:val="22"/>
        </w:rPr>
      </w:pPr>
    </w:p>
    <w:p w:rsidR="00194709" w:rsidRDefault="00194709"/>
    <w:sectPr w:rsidR="00194709" w:rsidSect="000E178D">
      <w:headerReference w:type="default" r:id="rId7"/>
      <w:footerReference w:type="default" r:id="rId8"/>
      <w:headerReference w:type="first" r:id="rId9"/>
      <w:footerReference w:type="first" r:id="rId10"/>
      <w:pgSz w:w="11909" w:h="16834" w:code="9"/>
      <w:pgMar w:top="2381" w:right="2268" w:bottom="1440" w:left="1814" w:header="1151" w:footer="431"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F41" w:rsidRDefault="00357F41" w:rsidP="00FC1CFC">
      <w:r>
        <w:separator/>
      </w:r>
    </w:p>
  </w:endnote>
  <w:endnote w:type="continuationSeparator" w:id="0">
    <w:p w:rsidR="00357F41" w:rsidRDefault="00357F41" w:rsidP="00FC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8D" w:rsidRPr="000E178D" w:rsidRDefault="004C268B" w:rsidP="000E178D">
    <w:pPr>
      <w:pStyle w:val="Footer"/>
      <w:tabs>
        <w:tab w:val="clear" w:pos="4536"/>
        <w:tab w:val="clear" w:pos="9072"/>
        <w:tab w:val="right" w:pos="7654"/>
      </w:tabs>
      <w:rPr>
        <w:sz w:val="18"/>
      </w:rPr>
    </w:pPr>
    <w:r>
      <w:rPr>
        <w:sz w:val="18"/>
      </w:rPr>
      <w:t xml:space="preserve">... </w:t>
    </w:r>
    <w:r>
      <w:rPr>
        <w:sz w:val="18"/>
      </w:rPr>
      <w:t>tarihli yazımız.</w:t>
    </w:r>
    <w:r>
      <w:rPr>
        <w:sz w:val="18"/>
      </w:rPr>
      <w:tab/>
    </w:r>
    <w:r>
      <w:rPr>
        <w:sz w:val="18"/>
      </w:rPr>
      <w:fldChar w:fldCharType="begin"/>
    </w:r>
    <w:r>
      <w:rPr>
        <w:sz w:val="18"/>
      </w:rPr>
      <w:instrText xml:space="preserve"> PAGE  \* MERGEFORMAT </w:instrText>
    </w:r>
    <w:r>
      <w:rPr>
        <w:sz w:val="18"/>
      </w:rPr>
      <w:fldChar w:fldCharType="separate"/>
    </w:r>
    <w:r>
      <w:rPr>
        <w:noProof/>
        <w:sz w:val="18"/>
      </w:rPr>
      <w:t>2</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8D" w:rsidRDefault="004C268B">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F41" w:rsidRDefault="00357F41" w:rsidP="00FC1CFC">
      <w:r>
        <w:separator/>
      </w:r>
    </w:p>
  </w:footnote>
  <w:footnote w:type="continuationSeparator" w:id="0">
    <w:p w:rsidR="00357F41" w:rsidRDefault="00357F41" w:rsidP="00FC1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8D" w:rsidRDefault="00FC1CFC">
    <w:pPr>
      <w:pStyle w:val="Header"/>
    </w:pPr>
    <w:r>
      <w:rPr>
        <w:noProof/>
        <w:lang w:eastAsia="tr-TR"/>
      </w:rPr>
      <w:drawing>
        <wp:anchor distT="0" distB="0" distL="114300" distR="114300" simplePos="0" relativeHeight="251660288" behindDoc="0" locked="0" layoutInCell="1" allowOverlap="1">
          <wp:simplePos x="0" y="0"/>
          <wp:positionH relativeFrom="page">
            <wp:posOffset>6364605</wp:posOffset>
          </wp:positionH>
          <wp:positionV relativeFrom="page">
            <wp:posOffset>302260</wp:posOffset>
          </wp:positionV>
          <wp:extent cx="913130" cy="929005"/>
          <wp:effectExtent l="0" t="0" r="1270" b="4445"/>
          <wp:wrapSquare wrapText="bothSides"/>
          <wp:docPr id="2" name="Picture 2"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8D" w:rsidRDefault="005A69C5">
    <w:pPr>
      <w:pStyle w:val="Header"/>
    </w:pPr>
    <w:r>
      <w:rPr>
        <w:noProof/>
        <w:lang w:eastAsia="tr-TR"/>
      </w:rPr>
      <w:drawing>
        <wp:anchor distT="0" distB="0" distL="114300" distR="114300" simplePos="0" relativeHeight="251661312" behindDoc="0" locked="0" layoutInCell="1" allowOverlap="1">
          <wp:simplePos x="0" y="0"/>
          <wp:positionH relativeFrom="page">
            <wp:posOffset>6364605</wp:posOffset>
          </wp:positionH>
          <wp:positionV relativeFrom="page">
            <wp:posOffset>302260</wp:posOffset>
          </wp:positionV>
          <wp:extent cx="842400" cy="928800"/>
          <wp:effectExtent l="0" t="0" r="0" b="508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400" cy="928800"/>
                  </a:xfrm>
                  <a:prstGeom prst="rect">
                    <a:avLst/>
                  </a:prstGeom>
                </pic:spPr>
              </pic:pic>
            </a:graphicData>
          </a:graphic>
          <wp14:sizeRelH relativeFrom="margin">
            <wp14:pctWidth>0</wp14:pctWidth>
          </wp14:sizeRelH>
          <wp14:sizeRelV relativeFrom="margin">
            <wp14:pctHeight>0</wp14:pctHeight>
          </wp14:sizeRelV>
        </wp:anchor>
      </w:drawing>
    </w:r>
    <w:r w:rsidR="004C268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C2A"/>
    <w:rsid w:val="00026470"/>
    <w:rsid w:val="000E76E8"/>
    <w:rsid w:val="0016118B"/>
    <w:rsid w:val="00194709"/>
    <w:rsid w:val="002A75F4"/>
    <w:rsid w:val="0030136D"/>
    <w:rsid w:val="00357F41"/>
    <w:rsid w:val="003E076B"/>
    <w:rsid w:val="004C268B"/>
    <w:rsid w:val="004D05CD"/>
    <w:rsid w:val="004F6805"/>
    <w:rsid w:val="0053134D"/>
    <w:rsid w:val="005574AD"/>
    <w:rsid w:val="005A69C5"/>
    <w:rsid w:val="00683217"/>
    <w:rsid w:val="00844660"/>
    <w:rsid w:val="00883046"/>
    <w:rsid w:val="00925A26"/>
    <w:rsid w:val="00967DC9"/>
    <w:rsid w:val="009B40C7"/>
    <w:rsid w:val="00A37DF2"/>
    <w:rsid w:val="00A62BA8"/>
    <w:rsid w:val="00A67969"/>
    <w:rsid w:val="00AA3C2A"/>
    <w:rsid w:val="00AE7AC8"/>
    <w:rsid w:val="00C3621B"/>
    <w:rsid w:val="00CE1DEE"/>
    <w:rsid w:val="00D437D5"/>
    <w:rsid w:val="00DB0A01"/>
    <w:rsid w:val="00DC1B52"/>
    <w:rsid w:val="00DE0024"/>
    <w:rsid w:val="00DF6DFE"/>
    <w:rsid w:val="00E15E81"/>
    <w:rsid w:val="00F32E8D"/>
    <w:rsid w:val="00FC1C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CFC"/>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sid w:val="00D437D5"/>
    <w:rPr>
      <w:rFonts w:ascii="Arial" w:hAnsi="Arial" w:cs="Arial"/>
      <w:color w:val="auto"/>
      <w:sz w:val="20"/>
    </w:rPr>
  </w:style>
  <w:style w:type="character" w:customStyle="1" w:styleId="EmailStyle16">
    <w:name w:val="EmailStyle16"/>
    <w:basedOn w:val="DefaultParagraphFont"/>
    <w:rsid w:val="00D437D5"/>
    <w:rPr>
      <w:rFonts w:ascii="Arial" w:hAnsi="Arial" w:cs="Arial"/>
      <w:color w:val="auto"/>
      <w:sz w:val="20"/>
    </w:rPr>
  </w:style>
  <w:style w:type="paragraph" w:styleId="Header">
    <w:name w:val="header"/>
    <w:basedOn w:val="Normal"/>
    <w:link w:val="HeaderChar"/>
    <w:rsid w:val="00FC1CFC"/>
    <w:pPr>
      <w:tabs>
        <w:tab w:val="center" w:pos="4536"/>
        <w:tab w:val="right" w:pos="9072"/>
      </w:tabs>
    </w:pPr>
  </w:style>
  <w:style w:type="character" w:customStyle="1" w:styleId="HeaderChar">
    <w:name w:val="Header Char"/>
    <w:basedOn w:val="DefaultParagraphFont"/>
    <w:link w:val="Header"/>
    <w:rsid w:val="00FC1CFC"/>
    <w:rPr>
      <w:rFonts w:ascii="Arial" w:hAnsi="Arial"/>
      <w:sz w:val="22"/>
      <w:szCs w:val="24"/>
      <w:lang w:eastAsia="en-US"/>
    </w:rPr>
  </w:style>
  <w:style w:type="paragraph" w:styleId="Footer">
    <w:name w:val="footer"/>
    <w:basedOn w:val="Normal"/>
    <w:link w:val="FooterChar"/>
    <w:rsid w:val="00FC1CFC"/>
    <w:pPr>
      <w:tabs>
        <w:tab w:val="center" w:pos="4536"/>
        <w:tab w:val="right" w:pos="9072"/>
      </w:tabs>
    </w:pPr>
  </w:style>
  <w:style w:type="character" w:customStyle="1" w:styleId="FooterChar">
    <w:name w:val="Footer Char"/>
    <w:basedOn w:val="DefaultParagraphFont"/>
    <w:link w:val="Footer"/>
    <w:rsid w:val="00FC1CFC"/>
    <w:rPr>
      <w:rFonts w:ascii="Arial" w:hAnsi="Arial"/>
      <w:sz w:val="22"/>
      <w:szCs w:val="24"/>
      <w:lang w:eastAsia="en-US"/>
    </w:rPr>
  </w:style>
  <w:style w:type="paragraph" w:styleId="ListParagraph">
    <w:name w:val="List Paragraph"/>
    <w:basedOn w:val="Normal"/>
    <w:uiPriority w:val="99"/>
    <w:qFormat/>
    <w:rsid w:val="00FC1CFC"/>
    <w:pPr>
      <w:ind w:left="708"/>
    </w:pPr>
    <w:rPr>
      <w:rFonts w:ascii="Courier New" w:hAnsi="Courier New" w:cs="Courier New"/>
      <w:color w:val="000000"/>
      <w:sz w:val="24"/>
      <w:lang w:eastAsia="tr-TR"/>
    </w:rPr>
  </w:style>
  <w:style w:type="paragraph" w:styleId="BalloonText">
    <w:name w:val="Balloon Text"/>
    <w:basedOn w:val="Normal"/>
    <w:link w:val="BalloonTextChar"/>
    <w:rsid w:val="005A69C5"/>
    <w:rPr>
      <w:rFonts w:ascii="Tahoma" w:hAnsi="Tahoma" w:cs="Tahoma"/>
      <w:sz w:val="16"/>
      <w:szCs w:val="16"/>
    </w:rPr>
  </w:style>
  <w:style w:type="character" w:customStyle="1" w:styleId="BalloonTextChar">
    <w:name w:val="Balloon Text Char"/>
    <w:basedOn w:val="DefaultParagraphFont"/>
    <w:link w:val="BalloonText"/>
    <w:rsid w:val="005A69C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CFC"/>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sid w:val="00D437D5"/>
    <w:rPr>
      <w:rFonts w:ascii="Arial" w:hAnsi="Arial" w:cs="Arial"/>
      <w:color w:val="auto"/>
      <w:sz w:val="20"/>
    </w:rPr>
  </w:style>
  <w:style w:type="character" w:customStyle="1" w:styleId="EmailStyle16">
    <w:name w:val="EmailStyle16"/>
    <w:basedOn w:val="DefaultParagraphFont"/>
    <w:rsid w:val="00D437D5"/>
    <w:rPr>
      <w:rFonts w:ascii="Arial" w:hAnsi="Arial" w:cs="Arial"/>
      <w:color w:val="auto"/>
      <w:sz w:val="20"/>
    </w:rPr>
  </w:style>
  <w:style w:type="paragraph" w:styleId="Header">
    <w:name w:val="header"/>
    <w:basedOn w:val="Normal"/>
    <w:link w:val="HeaderChar"/>
    <w:rsid w:val="00FC1CFC"/>
    <w:pPr>
      <w:tabs>
        <w:tab w:val="center" w:pos="4536"/>
        <w:tab w:val="right" w:pos="9072"/>
      </w:tabs>
    </w:pPr>
  </w:style>
  <w:style w:type="character" w:customStyle="1" w:styleId="HeaderChar">
    <w:name w:val="Header Char"/>
    <w:basedOn w:val="DefaultParagraphFont"/>
    <w:link w:val="Header"/>
    <w:rsid w:val="00FC1CFC"/>
    <w:rPr>
      <w:rFonts w:ascii="Arial" w:hAnsi="Arial"/>
      <w:sz w:val="22"/>
      <w:szCs w:val="24"/>
      <w:lang w:eastAsia="en-US"/>
    </w:rPr>
  </w:style>
  <w:style w:type="paragraph" w:styleId="Footer">
    <w:name w:val="footer"/>
    <w:basedOn w:val="Normal"/>
    <w:link w:val="FooterChar"/>
    <w:rsid w:val="00FC1CFC"/>
    <w:pPr>
      <w:tabs>
        <w:tab w:val="center" w:pos="4536"/>
        <w:tab w:val="right" w:pos="9072"/>
      </w:tabs>
    </w:pPr>
  </w:style>
  <w:style w:type="character" w:customStyle="1" w:styleId="FooterChar">
    <w:name w:val="Footer Char"/>
    <w:basedOn w:val="DefaultParagraphFont"/>
    <w:link w:val="Footer"/>
    <w:rsid w:val="00FC1CFC"/>
    <w:rPr>
      <w:rFonts w:ascii="Arial" w:hAnsi="Arial"/>
      <w:sz w:val="22"/>
      <w:szCs w:val="24"/>
      <w:lang w:eastAsia="en-US"/>
    </w:rPr>
  </w:style>
  <w:style w:type="paragraph" w:styleId="ListParagraph">
    <w:name w:val="List Paragraph"/>
    <w:basedOn w:val="Normal"/>
    <w:uiPriority w:val="99"/>
    <w:qFormat/>
    <w:rsid w:val="00FC1CFC"/>
    <w:pPr>
      <w:ind w:left="708"/>
    </w:pPr>
    <w:rPr>
      <w:rFonts w:ascii="Courier New" w:hAnsi="Courier New" w:cs="Courier New"/>
      <w:color w:val="000000"/>
      <w:sz w:val="24"/>
      <w:lang w:eastAsia="tr-TR"/>
    </w:rPr>
  </w:style>
  <w:style w:type="paragraph" w:styleId="BalloonText">
    <w:name w:val="Balloon Text"/>
    <w:basedOn w:val="Normal"/>
    <w:link w:val="BalloonTextChar"/>
    <w:rsid w:val="005A69C5"/>
    <w:rPr>
      <w:rFonts w:ascii="Tahoma" w:hAnsi="Tahoma" w:cs="Tahoma"/>
      <w:sz w:val="16"/>
      <w:szCs w:val="16"/>
    </w:rPr>
  </w:style>
  <w:style w:type="character" w:customStyle="1" w:styleId="BalloonTextChar">
    <w:name w:val="Balloon Text Char"/>
    <w:basedOn w:val="DefaultParagraphFont"/>
    <w:link w:val="BalloonText"/>
    <w:rsid w:val="005A69C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TBB</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atamanp</dc:creator>
  <cp:lastModifiedBy>Esra Celebi</cp:lastModifiedBy>
  <cp:revision>4</cp:revision>
  <cp:lastPrinted>2011-04-13T13:12:00Z</cp:lastPrinted>
  <dcterms:created xsi:type="dcterms:W3CDTF">2011-04-18T13:55:00Z</dcterms:created>
  <dcterms:modified xsi:type="dcterms:W3CDTF">2011-04-18T13:56:00Z</dcterms:modified>
</cp:coreProperties>
</file>