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FE56E9" w:rsidRDefault="00E361C0" w:rsidP="00C06DDF">
      <w:pPr>
        <w:pStyle w:val="Title"/>
        <w:spacing w:before="120" w:after="120"/>
        <w:rPr>
          <w:rFonts w:ascii="Arial" w:hAnsi="Arial" w:cs="Arial"/>
          <w:color w:val="000000" w:themeColor="text1"/>
          <w:sz w:val="28"/>
          <w:szCs w:val="28"/>
        </w:rPr>
      </w:pPr>
      <w:bookmarkStart w:id="0" w:name="_GoBack"/>
      <w:bookmarkEnd w:id="0"/>
      <w:r w:rsidRPr="00FE56E9">
        <w:rPr>
          <w:rFonts w:ascii="Arial" w:hAnsi="Arial" w:cs="Arial"/>
          <w:bCs/>
          <w:color w:val="000000" w:themeColor="text1"/>
          <w:sz w:val="28"/>
          <w:szCs w:val="28"/>
        </w:rPr>
        <w:t>Banking System in Turkey</w:t>
      </w:r>
      <w:r w:rsidRPr="00FE56E9">
        <w:rPr>
          <w:rFonts w:ascii="Arial" w:hAnsi="Arial" w:cs="Arial"/>
          <w:b w:val="0"/>
          <w:bCs/>
          <w:color w:val="000000" w:themeColor="text1"/>
          <w:sz w:val="28"/>
          <w:szCs w:val="28"/>
        </w:rPr>
        <w:t xml:space="preserve"> </w:t>
      </w:r>
      <w:r w:rsidR="00CC3FDF" w:rsidRPr="00FE56E9">
        <w:rPr>
          <w:rStyle w:val="FootnoteReference"/>
          <w:rFonts w:ascii="Arial" w:hAnsi="Arial" w:cs="Arial"/>
          <w:color w:val="000000" w:themeColor="text1"/>
          <w:sz w:val="28"/>
          <w:szCs w:val="28"/>
        </w:rPr>
        <w:footnoteReference w:id="2"/>
      </w:r>
    </w:p>
    <w:p w:rsidR="00CD44E5" w:rsidRPr="00FE56E9" w:rsidRDefault="00CD44E5" w:rsidP="00C06DDF">
      <w:pPr>
        <w:pStyle w:val="Title"/>
        <w:spacing w:before="120" w:after="120"/>
        <w:rPr>
          <w:rFonts w:ascii="Arial" w:hAnsi="Arial" w:cs="Arial"/>
          <w:color w:val="000000" w:themeColor="text1"/>
          <w:sz w:val="28"/>
          <w:szCs w:val="28"/>
        </w:rPr>
      </w:pPr>
    </w:p>
    <w:p w:rsidR="00CC3FDF" w:rsidRPr="00FE56E9" w:rsidRDefault="00CC3FDF" w:rsidP="00C06DDF">
      <w:pPr>
        <w:pStyle w:val="Title"/>
        <w:spacing w:before="120" w:after="120"/>
        <w:rPr>
          <w:rFonts w:ascii="Arial" w:hAnsi="Arial" w:cs="Arial"/>
          <w:color w:val="000000" w:themeColor="text1"/>
          <w:sz w:val="28"/>
          <w:szCs w:val="28"/>
        </w:rPr>
      </w:pPr>
      <w:r w:rsidRPr="00FE56E9">
        <w:rPr>
          <w:rFonts w:ascii="Arial" w:hAnsi="Arial" w:cs="Arial"/>
          <w:color w:val="000000" w:themeColor="text1"/>
          <w:sz w:val="28"/>
          <w:szCs w:val="28"/>
        </w:rPr>
        <w:t>“</w:t>
      </w:r>
      <w:r w:rsidR="009E2616" w:rsidRPr="00FE56E9">
        <w:rPr>
          <w:rFonts w:ascii="Arial" w:hAnsi="Arial" w:cs="Arial"/>
          <w:color w:val="000000" w:themeColor="text1"/>
          <w:sz w:val="28"/>
          <w:szCs w:val="28"/>
        </w:rPr>
        <w:t>March 2016</w:t>
      </w:r>
      <w:r w:rsidRPr="00FE56E9">
        <w:rPr>
          <w:rFonts w:ascii="Arial" w:hAnsi="Arial" w:cs="Arial"/>
          <w:color w:val="000000" w:themeColor="text1"/>
          <w:sz w:val="28"/>
          <w:szCs w:val="28"/>
        </w:rPr>
        <w:t>”</w:t>
      </w:r>
    </w:p>
    <w:p w:rsidR="00C5615B" w:rsidRPr="009E2616" w:rsidRDefault="00C5615B" w:rsidP="00C06DDF">
      <w:pPr>
        <w:pStyle w:val="Title"/>
        <w:spacing w:before="120" w:after="120"/>
        <w:rPr>
          <w:rFonts w:ascii="Arial" w:hAnsi="Arial" w:cs="Arial"/>
          <w:color w:val="FF0000"/>
          <w:sz w:val="28"/>
          <w:szCs w:val="28"/>
        </w:rPr>
      </w:pPr>
    </w:p>
    <w:p w:rsidR="00A12D16" w:rsidRPr="006E49D3" w:rsidRDefault="00BC7B88" w:rsidP="00C06DDF">
      <w:pPr>
        <w:spacing w:before="120" w:after="120"/>
        <w:jc w:val="both"/>
        <w:rPr>
          <w:rFonts w:ascii="Arial" w:hAnsi="Arial" w:cs="Arial"/>
          <w:b/>
          <w:i/>
          <w:sz w:val="22"/>
          <w:szCs w:val="22"/>
          <w:lang w:val="en-US"/>
        </w:rPr>
      </w:pPr>
      <w:r w:rsidRPr="006E49D3">
        <w:rPr>
          <w:rFonts w:ascii="Arial" w:hAnsi="Arial" w:cs="Arial"/>
          <w:b/>
          <w:i/>
          <w:sz w:val="22"/>
          <w:szCs w:val="22"/>
          <w:lang w:val="en-US"/>
        </w:rPr>
        <w:t>In December, after th</w:t>
      </w:r>
      <w:r w:rsidR="00197144">
        <w:rPr>
          <w:rFonts w:ascii="Arial" w:hAnsi="Arial" w:cs="Arial"/>
          <w:b/>
          <w:i/>
          <w:sz w:val="22"/>
          <w:szCs w:val="22"/>
          <w:lang w:val="en-US"/>
        </w:rPr>
        <w:t xml:space="preserve">e US Federal Reserve </w:t>
      </w:r>
      <w:proofErr w:type="gramStart"/>
      <w:r w:rsidR="00197144">
        <w:rPr>
          <w:rFonts w:ascii="Arial" w:hAnsi="Arial" w:cs="Arial"/>
          <w:b/>
          <w:i/>
          <w:sz w:val="22"/>
          <w:szCs w:val="22"/>
          <w:lang w:val="en-US"/>
        </w:rPr>
        <w:t>decision</w:t>
      </w:r>
      <w:proofErr w:type="gramEnd"/>
      <w:r w:rsidR="00197144">
        <w:rPr>
          <w:rFonts w:ascii="Arial" w:hAnsi="Arial" w:cs="Arial"/>
          <w:b/>
          <w:i/>
          <w:sz w:val="22"/>
          <w:szCs w:val="22"/>
          <w:lang w:val="en-US"/>
        </w:rPr>
        <w:t xml:space="preserve"> that increasing the policy rate</w:t>
      </w:r>
      <w:r w:rsidRPr="006E49D3">
        <w:rPr>
          <w:rFonts w:ascii="Arial" w:hAnsi="Arial" w:cs="Arial"/>
          <w:b/>
          <w:i/>
          <w:sz w:val="22"/>
          <w:szCs w:val="22"/>
          <w:lang w:val="en-US"/>
        </w:rPr>
        <w:t xml:space="preserve">, capital inflows to developing countries </w:t>
      </w:r>
      <w:r w:rsidR="009A68BC">
        <w:rPr>
          <w:rFonts w:ascii="Arial" w:hAnsi="Arial" w:cs="Arial"/>
          <w:b/>
          <w:i/>
          <w:sz w:val="22"/>
          <w:szCs w:val="22"/>
          <w:lang w:val="en-US"/>
        </w:rPr>
        <w:t>were</w:t>
      </w:r>
      <w:r w:rsidRPr="006E49D3">
        <w:rPr>
          <w:rFonts w:ascii="Arial" w:hAnsi="Arial" w:cs="Arial"/>
          <w:b/>
          <w:i/>
          <w:sz w:val="22"/>
          <w:szCs w:val="22"/>
          <w:lang w:val="en-US"/>
        </w:rPr>
        <w:t xml:space="preserve"> strong </w:t>
      </w:r>
      <w:r w:rsidR="009A68BC">
        <w:rPr>
          <w:rFonts w:ascii="Arial" w:hAnsi="Arial" w:cs="Arial"/>
          <w:b/>
          <w:i/>
          <w:sz w:val="22"/>
          <w:szCs w:val="22"/>
          <w:lang w:val="en-US"/>
        </w:rPr>
        <w:t>due to</w:t>
      </w:r>
      <w:r w:rsidRPr="006E49D3">
        <w:rPr>
          <w:rFonts w:ascii="Arial" w:hAnsi="Arial" w:cs="Arial"/>
          <w:b/>
          <w:i/>
          <w:sz w:val="22"/>
          <w:szCs w:val="22"/>
          <w:lang w:val="en-US"/>
        </w:rPr>
        <w:t xml:space="preserve"> decreasing uncertainty. While commodity prices remained at low levels</w:t>
      </w:r>
      <w:r w:rsidR="009A68BC">
        <w:rPr>
          <w:rFonts w:ascii="Arial" w:hAnsi="Arial" w:cs="Arial"/>
          <w:b/>
          <w:i/>
          <w:sz w:val="22"/>
          <w:szCs w:val="22"/>
          <w:lang w:val="en-US"/>
        </w:rPr>
        <w:t xml:space="preserve"> in global markets</w:t>
      </w:r>
      <w:r w:rsidRPr="006E49D3">
        <w:rPr>
          <w:rFonts w:ascii="Arial" w:hAnsi="Arial" w:cs="Arial"/>
          <w:b/>
          <w:i/>
          <w:sz w:val="22"/>
          <w:szCs w:val="22"/>
          <w:lang w:val="en-US"/>
        </w:rPr>
        <w:t>, inflation and current account deficit recovered in Turkey. Growth rate of the Turkish economy was above expectations in the first quarter of the year.</w:t>
      </w:r>
      <w:r w:rsidR="006E49D3" w:rsidRPr="006E49D3">
        <w:rPr>
          <w:rFonts w:ascii="Arial" w:hAnsi="Arial" w:cs="Arial"/>
          <w:b/>
          <w:i/>
          <w:sz w:val="22"/>
          <w:szCs w:val="22"/>
          <w:lang w:val="en-US"/>
        </w:rPr>
        <w:t xml:space="preserve"> Slowdown in loan and asset growth continued in the banking sector.</w:t>
      </w:r>
    </w:p>
    <w:p w:rsidR="00E27F76" w:rsidRPr="00FE56E9" w:rsidRDefault="00CC3FDF" w:rsidP="00C06DDF">
      <w:pPr>
        <w:spacing w:before="120" w:after="120"/>
        <w:jc w:val="both"/>
        <w:rPr>
          <w:rFonts w:ascii="Arial" w:hAnsi="Arial" w:cs="Arial"/>
          <w:b/>
          <w:color w:val="000000" w:themeColor="text1"/>
          <w:sz w:val="22"/>
          <w:szCs w:val="22"/>
          <w:lang w:val="en-US"/>
        </w:rPr>
      </w:pPr>
      <w:r w:rsidRPr="00FE56E9">
        <w:rPr>
          <w:rFonts w:ascii="Arial" w:hAnsi="Arial" w:cs="Arial"/>
          <w:b/>
          <w:color w:val="000000" w:themeColor="text1"/>
          <w:sz w:val="22"/>
          <w:szCs w:val="22"/>
          <w:lang w:val="en-US"/>
        </w:rPr>
        <w:t xml:space="preserve">1. </w:t>
      </w:r>
      <w:r w:rsidR="00614E5B" w:rsidRPr="00FE56E9">
        <w:rPr>
          <w:rFonts w:ascii="Arial" w:hAnsi="Arial" w:cs="Arial"/>
          <w:b/>
          <w:color w:val="000000" w:themeColor="text1"/>
          <w:sz w:val="22"/>
          <w:szCs w:val="22"/>
          <w:lang w:val="en-US"/>
        </w:rPr>
        <w:t>General Outlook</w:t>
      </w:r>
    </w:p>
    <w:p w:rsidR="00FE56E9" w:rsidRDefault="00FE56E9" w:rsidP="00FE56E9">
      <w:pPr>
        <w:pStyle w:val="ListParagraph"/>
        <w:numPr>
          <w:ilvl w:val="0"/>
          <w:numId w:val="21"/>
        </w:numPr>
        <w:spacing w:before="120" w:after="120"/>
        <w:ind w:left="426" w:hanging="284"/>
        <w:jc w:val="both"/>
        <w:rPr>
          <w:rFonts w:ascii="Arial" w:hAnsi="Arial" w:cs="Arial"/>
          <w:color w:val="000000" w:themeColor="text1"/>
          <w:sz w:val="22"/>
          <w:szCs w:val="22"/>
          <w:lang w:val="en-US"/>
        </w:rPr>
      </w:pPr>
      <w:r w:rsidRPr="00FE56E9">
        <w:rPr>
          <w:rFonts w:ascii="Arial" w:hAnsi="Arial"/>
          <w:b/>
          <w:color w:val="000000" w:themeColor="text1"/>
          <w:sz w:val="22"/>
          <w:szCs w:val="22"/>
          <w:lang w:val="en-US"/>
        </w:rPr>
        <w:t>Capital inflows to developing countries were</w:t>
      </w:r>
      <w:r w:rsidR="009E2616" w:rsidRPr="00FE56E9">
        <w:rPr>
          <w:rFonts w:ascii="Arial" w:hAnsi="Arial"/>
          <w:b/>
          <w:color w:val="000000" w:themeColor="text1"/>
          <w:sz w:val="22"/>
          <w:szCs w:val="22"/>
          <w:lang w:val="en-US"/>
        </w:rPr>
        <w:t xml:space="preserve"> strong: </w:t>
      </w:r>
      <w:r w:rsidR="005409F7" w:rsidRPr="00FE56E9">
        <w:rPr>
          <w:rFonts w:ascii="Arial" w:hAnsi="Arial"/>
          <w:color w:val="000000" w:themeColor="text1"/>
          <w:sz w:val="22"/>
          <w:szCs w:val="22"/>
          <w:lang w:val="en-US"/>
        </w:rPr>
        <w:t xml:space="preserve">US Federal Reserve increased policy rate by 25 basis points </w:t>
      </w:r>
      <w:r w:rsidR="009A68BC">
        <w:rPr>
          <w:rFonts w:ascii="Arial" w:hAnsi="Arial"/>
          <w:color w:val="000000" w:themeColor="text1"/>
          <w:sz w:val="22"/>
          <w:szCs w:val="22"/>
          <w:lang w:val="en-US"/>
        </w:rPr>
        <w:t>in the December 2015 M</w:t>
      </w:r>
      <w:r w:rsidR="005409F7" w:rsidRPr="00FE56E9">
        <w:rPr>
          <w:rFonts w:ascii="Arial" w:hAnsi="Arial"/>
          <w:color w:val="000000" w:themeColor="text1"/>
          <w:sz w:val="22"/>
          <w:szCs w:val="22"/>
          <w:lang w:val="en-US"/>
        </w:rPr>
        <w:t xml:space="preserve">eeting. </w:t>
      </w:r>
      <w:r w:rsidR="00F316C7">
        <w:rPr>
          <w:rFonts w:ascii="Arial" w:hAnsi="Arial"/>
          <w:color w:val="000000" w:themeColor="text1"/>
          <w:sz w:val="22"/>
          <w:szCs w:val="22"/>
          <w:lang w:val="en-US"/>
        </w:rPr>
        <w:t>Weak growth in Europe and</w:t>
      </w:r>
      <w:r w:rsidR="005409F7" w:rsidRPr="00FE56E9">
        <w:rPr>
          <w:rFonts w:ascii="Arial" w:hAnsi="Arial"/>
          <w:color w:val="000000" w:themeColor="text1"/>
          <w:sz w:val="22"/>
          <w:szCs w:val="22"/>
          <w:lang w:val="en-US"/>
        </w:rPr>
        <w:t xml:space="preserve"> downward trend of oil prices on the global market</w:t>
      </w:r>
      <w:r w:rsidR="009A68BC">
        <w:rPr>
          <w:rFonts w:ascii="Arial" w:hAnsi="Arial"/>
          <w:color w:val="000000" w:themeColor="text1"/>
          <w:sz w:val="22"/>
          <w:szCs w:val="22"/>
          <w:lang w:val="en-US"/>
        </w:rPr>
        <w:t>s</w:t>
      </w:r>
      <w:r w:rsidR="005409F7" w:rsidRPr="00FE56E9">
        <w:rPr>
          <w:rFonts w:ascii="Arial" w:hAnsi="Arial"/>
          <w:color w:val="000000" w:themeColor="text1"/>
          <w:sz w:val="22"/>
          <w:szCs w:val="22"/>
          <w:lang w:val="en-US"/>
        </w:rPr>
        <w:t xml:space="preserve"> </w:t>
      </w:r>
      <w:r w:rsidR="00F316C7">
        <w:rPr>
          <w:rFonts w:ascii="Arial" w:hAnsi="Arial"/>
          <w:color w:val="000000" w:themeColor="text1"/>
          <w:sz w:val="22"/>
          <w:szCs w:val="22"/>
          <w:lang w:val="en-US"/>
        </w:rPr>
        <w:t>c</w:t>
      </w:r>
      <w:r w:rsidR="00F316C7" w:rsidRPr="00FE56E9">
        <w:rPr>
          <w:rFonts w:ascii="Arial" w:hAnsi="Arial"/>
          <w:color w:val="000000" w:themeColor="text1"/>
          <w:sz w:val="22"/>
          <w:szCs w:val="22"/>
          <w:lang w:val="en-US"/>
        </w:rPr>
        <w:t>ontinued</w:t>
      </w:r>
      <w:r w:rsidR="005409F7" w:rsidRPr="00FE56E9">
        <w:rPr>
          <w:rFonts w:ascii="Arial" w:hAnsi="Arial"/>
          <w:color w:val="000000" w:themeColor="text1"/>
          <w:sz w:val="22"/>
          <w:szCs w:val="22"/>
          <w:lang w:val="en-US"/>
        </w:rPr>
        <w:t>.</w:t>
      </w:r>
      <w:r w:rsidRPr="00FE56E9">
        <w:rPr>
          <w:rFonts w:ascii="Arial" w:hAnsi="Arial"/>
          <w:color w:val="000000" w:themeColor="text1"/>
          <w:sz w:val="22"/>
          <w:szCs w:val="22"/>
          <w:lang w:val="en-US"/>
        </w:rPr>
        <w:t xml:space="preserve"> </w:t>
      </w:r>
      <w:r w:rsidRPr="00FE56E9">
        <w:rPr>
          <w:rFonts w:ascii="Arial" w:hAnsi="Arial" w:cs="Arial"/>
          <w:color w:val="000000" w:themeColor="text1"/>
          <w:sz w:val="22"/>
          <w:szCs w:val="22"/>
          <w:lang w:val="en-US"/>
        </w:rPr>
        <w:t>Capital outflows from developing countries occu</w:t>
      </w:r>
      <w:r w:rsidR="00F316C7">
        <w:rPr>
          <w:rFonts w:ascii="Arial" w:hAnsi="Arial" w:cs="Arial"/>
          <w:color w:val="000000" w:themeColor="text1"/>
          <w:sz w:val="22"/>
          <w:szCs w:val="22"/>
          <w:lang w:val="en-US"/>
        </w:rPr>
        <w:t>rred in the second half of 2015</w:t>
      </w:r>
      <w:r w:rsidR="009A68BC">
        <w:rPr>
          <w:rFonts w:ascii="Arial" w:hAnsi="Arial" w:cs="Arial"/>
          <w:color w:val="000000" w:themeColor="text1"/>
          <w:sz w:val="22"/>
          <w:szCs w:val="22"/>
          <w:lang w:val="en-US"/>
        </w:rPr>
        <w:t>,</w:t>
      </w:r>
      <w:r w:rsidRPr="00FE56E9">
        <w:rPr>
          <w:rFonts w:ascii="Arial" w:hAnsi="Arial" w:cs="Arial"/>
          <w:color w:val="000000" w:themeColor="text1"/>
          <w:sz w:val="22"/>
          <w:szCs w:val="22"/>
          <w:lang w:val="en-US"/>
        </w:rPr>
        <w:t xml:space="preserve"> </w:t>
      </w:r>
      <w:r w:rsidR="009A68BC">
        <w:rPr>
          <w:rFonts w:ascii="Arial" w:hAnsi="Arial" w:cs="Arial"/>
          <w:color w:val="000000" w:themeColor="text1"/>
          <w:sz w:val="22"/>
          <w:szCs w:val="22"/>
          <w:lang w:val="en-US"/>
        </w:rPr>
        <w:t>turned to inflows in</w:t>
      </w:r>
      <w:r w:rsidRPr="00FE56E9">
        <w:rPr>
          <w:rFonts w:ascii="Arial" w:hAnsi="Arial" w:cs="Arial"/>
          <w:color w:val="000000" w:themeColor="text1"/>
          <w:sz w:val="22"/>
          <w:szCs w:val="22"/>
          <w:lang w:val="en-US"/>
        </w:rPr>
        <w:t xml:space="preserve"> the first quarter of 2016. Thus, emerging market currencies appreciated and foreign investors’ purchases in the stock and bond markets increased.</w:t>
      </w:r>
    </w:p>
    <w:p w:rsidR="00FE56E9" w:rsidRPr="00401204" w:rsidRDefault="00FE56E9" w:rsidP="00FE56E9">
      <w:pPr>
        <w:pStyle w:val="ListParagraph"/>
        <w:spacing w:before="120" w:after="120"/>
        <w:ind w:left="426"/>
        <w:jc w:val="both"/>
        <w:rPr>
          <w:rFonts w:ascii="Arial" w:hAnsi="Arial" w:cs="Arial"/>
          <w:color w:val="000000" w:themeColor="text1"/>
          <w:sz w:val="12"/>
          <w:szCs w:val="12"/>
          <w:lang w:val="en-US"/>
        </w:rPr>
      </w:pPr>
    </w:p>
    <w:p w:rsidR="00FE56E9" w:rsidRPr="00FE56E9" w:rsidRDefault="00FE56E9" w:rsidP="00CA504D">
      <w:pPr>
        <w:pStyle w:val="ListParagraph"/>
        <w:numPr>
          <w:ilvl w:val="0"/>
          <w:numId w:val="21"/>
        </w:numPr>
        <w:spacing w:before="120" w:after="120"/>
        <w:ind w:left="426" w:hanging="284"/>
        <w:jc w:val="both"/>
        <w:rPr>
          <w:rFonts w:ascii="Arial" w:hAnsi="Arial"/>
          <w:b/>
          <w:color w:val="000000" w:themeColor="text1"/>
          <w:sz w:val="22"/>
          <w:szCs w:val="22"/>
          <w:lang w:val="en-US"/>
        </w:rPr>
      </w:pPr>
      <w:r w:rsidRPr="00FE56E9">
        <w:rPr>
          <w:rFonts w:ascii="Arial" w:hAnsi="Arial"/>
          <w:b/>
          <w:color w:val="000000" w:themeColor="text1"/>
          <w:sz w:val="22"/>
          <w:szCs w:val="22"/>
          <w:lang w:val="en-US"/>
        </w:rPr>
        <w:t xml:space="preserve">Turkey's economy has grown over the expectations: </w:t>
      </w:r>
      <w:r w:rsidRPr="00CA504D">
        <w:rPr>
          <w:rFonts w:ascii="Arial" w:hAnsi="Arial"/>
          <w:color w:val="000000" w:themeColor="text1"/>
          <w:sz w:val="22"/>
          <w:szCs w:val="22"/>
          <w:lang w:val="en-US"/>
        </w:rPr>
        <w:t>Increased household consumption and public expenditure have been effective on strong growth rate which was 4.8 percent on an annual basis in the first quarter of 2016.</w:t>
      </w:r>
      <w:r w:rsidR="00CA504D" w:rsidRPr="00CA504D">
        <w:rPr>
          <w:rFonts w:ascii="Arial" w:hAnsi="Arial"/>
          <w:color w:val="000000" w:themeColor="text1"/>
          <w:sz w:val="22"/>
          <w:szCs w:val="22"/>
          <w:lang w:val="en-US"/>
        </w:rPr>
        <w:t xml:space="preserve"> Annual consumer inflation declined </w:t>
      </w:r>
      <w:r w:rsidR="009A68BC">
        <w:rPr>
          <w:rFonts w:ascii="Arial" w:hAnsi="Arial"/>
          <w:color w:val="000000" w:themeColor="text1"/>
          <w:sz w:val="22"/>
          <w:szCs w:val="22"/>
          <w:lang w:val="en-US"/>
        </w:rPr>
        <w:t xml:space="preserve">to </w:t>
      </w:r>
      <w:r w:rsidR="00CA504D" w:rsidRPr="00CA504D">
        <w:rPr>
          <w:rFonts w:ascii="Arial" w:hAnsi="Arial"/>
          <w:color w:val="000000" w:themeColor="text1"/>
          <w:sz w:val="22"/>
          <w:szCs w:val="22"/>
          <w:lang w:val="en-US"/>
        </w:rPr>
        <w:t>7.5 percent as of March 2016 due to the fall in oil prices and the appreciation of the TL.</w:t>
      </w:r>
      <w:r w:rsidR="00CA504D">
        <w:rPr>
          <w:rFonts w:ascii="Arial" w:hAnsi="Arial"/>
          <w:color w:val="000000" w:themeColor="text1"/>
          <w:sz w:val="22"/>
          <w:szCs w:val="22"/>
          <w:lang w:val="en-US"/>
        </w:rPr>
        <w:t xml:space="preserve"> </w:t>
      </w:r>
      <w:r w:rsidR="00CA504D" w:rsidRPr="00172985">
        <w:rPr>
          <w:rFonts w:ascii="Arial" w:hAnsi="Arial" w:cs="Arial"/>
          <w:sz w:val="22"/>
          <w:szCs w:val="22"/>
          <w:lang w:val="en-US"/>
        </w:rPr>
        <w:t>Low oil prices are supporting the recovery in foreign trade and current account deficit.</w:t>
      </w:r>
    </w:p>
    <w:p w:rsidR="00A63300" w:rsidRPr="006E49D3" w:rsidRDefault="00A63300" w:rsidP="006E49D3">
      <w:pPr>
        <w:pStyle w:val="ListParagraph"/>
        <w:spacing w:before="120" w:after="120"/>
        <w:ind w:left="426"/>
        <w:jc w:val="both"/>
        <w:rPr>
          <w:rFonts w:ascii="Arial" w:hAnsi="Arial"/>
          <w:b/>
          <w:color w:val="000000" w:themeColor="text1"/>
          <w:sz w:val="22"/>
          <w:szCs w:val="22"/>
          <w:lang w:val="en-US"/>
        </w:rPr>
      </w:pPr>
    </w:p>
    <w:p w:rsidR="006E49D3" w:rsidRPr="006E49D3" w:rsidRDefault="006E49D3" w:rsidP="006E49D3">
      <w:pPr>
        <w:pStyle w:val="ListParagraph"/>
        <w:numPr>
          <w:ilvl w:val="0"/>
          <w:numId w:val="21"/>
        </w:numPr>
        <w:spacing w:before="120" w:after="120"/>
        <w:ind w:left="426" w:hanging="284"/>
        <w:jc w:val="both"/>
        <w:rPr>
          <w:rFonts w:ascii="Arial" w:hAnsi="Arial"/>
          <w:b/>
          <w:color w:val="000000" w:themeColor="text1"/>
          <w:sz w:val="22"/>
          <w:szCs w:val="22"/>
          <w:lang w:val="en-US"/>
        </w:rPr>
      </w:pPr>
      <w:r w:rsidRPr="006E49D3">
        <w:rPr>
          <w:rFonts w:ascii="Arial" w:hAnsi="Arial"/>
          <w:b/>
          <w:color w:val="000000" w:themeColor="text1"/>
          <w:sz w:val="22"/>
          <w:szCs w:val="22"/>
          <w:lang w:val="en-US"/>
        </w:rPr>
        <w:t>CBRT lowered the upper band of the interest rate corridor</w:t>
      </w:r>
      <w:r w:rsidR="00DE5855" w:rsidRPr="006E49D3">
        <w:rPr>
          <w:rFonts w:ascii="Arial" w:hAnsi="Arial"/>
          <w:b/>
          <w:color w:val="000000" w:themeColor="text1"/>
          <w:sz w:val="22"/>
          <w:szCs w:val="22"/>
          <w:lang w:val="en-US"/>
        </w:rPr>
        <w:t xml:space="preserve">: </w:t>
      </w:r>
      <w:r w:rsidRPr="006E49D3">
        <w:rPr>
          <w:rFonts w:ascii="Arial" w:hAnsi="Arial"/>
          <w:color w:val="000000" w:themeColor="text1"/>
          <w:sz w:val="22"/>
          <w:szCs w:val="22"/>
          <w:lang w:val="en-US"/>
        </w:rPr>
        <w:t xml:space="preserve">Marginal Funding Rate has been reduced from 10.75 percent to 10.5 percent in The Monetary Policy Committee meeting in March 2016 thanks to of the recovery in the current account deficit and inflation. The weighted average cost of </w:t>
      </w:r>
      <w:r w:rsidR="009A68BC">
        <w:rPr>
          <w:rFonts w:ascii="Arial" w:hAnsi="Arial"/>
          <w:color w:val="000000" w:themeColor="text1"/>
          <w:sz w:val="22"/>
          <w:szCs w:val="22"/>
          <w:lang w:val="en-US"/>
        </w:rPr>
        <w:t xml:space="preserve">funding </w:t>
      </w:r>
      <w:r w:rsidRPr="006E49D3">
        <w:rPr>
          <w:rFonts w:ascii="Arial" w:hAnsi="Arial"/>
          <w:color w:val="000000" w:themeColor="text1"/>
          <w:sz w:val="22"/>
          <w:szCs w:val="22"/>
          <w:lang w:val="en-US"/>
        </w:rPr>
        <w:t>was 8.9 percent as end of the March 2016</w:t>
      </w:r>
      <w:r w:rsidR="00484331">
        <w:rPr>
          <w:rFonts w:ascii="Arial" w:hAnsi="Arial"/>
          <w:color w:val="000000" w:themeColor="text1"/>
          <w:sz w:val="22"/>
          <w:szCs w:val="22"/>
          <w:lang w:val="en-US"/>
        </w:rPr>
        <w:t>.</w:t>
      </w:r>
    </w:p>
    <w:p w:rsidR="006E49D3" w:rsidRPr="00401204" w:rsidRDefault="006E49D3" w:rsidP="006E49D3">
      <w:pPr>
        <w:pStyle w:val="ListParagraph"/>
        <w:rPr>
          <w:rFonts w:ascii="Arial" w:hAnsi="Arial" w:cs="Arial"/>
          <w:color w:val="FF0000"/>
          <w:sz w:val="12"/>
          <w:szCs w:val="12"/>
          <w:lang w:val="en-US"/>
        </w:rPr>
      </w:pPr>
    </w:p>
    <w:p w:rsidR="00CB11EF" w:rsidRPr="00994340" w:rsidRDefault="00641A2F" w:rsidP="00C06DDF">
      <w:pPr>
        <w:spacing w:before="120" w:after="120"/>
        <w:jc w:val="both"/>
        <w:rPr>
          <w:rFonts w:ascii="Arial" w:hAnsi="Arial" w:cs="Arial"/>
          <w:b/>
          <w:color w:val="000000" w:themeColor="text1"/>
          <w:sz w:val="22"/>
          <w:szCs w:val="22"/>
          <w:lang w:val="en-US"/>
        </w:rPr>
      </w:pPr>
      <w:bookmarkStart w:id="1" w:name="OLE_LINK17"/>
      <w:bookmarkStart w:id="2" w:name="OLE_LINK18"/>
      <w:r w:rsidRPr="00994340">
        <w:rPr>
          <w:rFonts w:ascii="Arial" w:hAnsi="Arial" w:cs="Arial"/>
          <w:b/>
          <w:color w:val="000000" w:themeColor="text1"/>
          <w:sz w:val="22"/>
          <w:szCs w:val="22"/>
          <w:lang w:val="en-US"/>
        </w:rPr>
        <w:t>2.</w:t>
      </w:r>
      <w:r w:rsidR="00CB11EF" w:rsidRPr="00994340">
        <w:rPr>
          <w:rFonts w:ascii="Arial" w:hAnsi="Arial" w:cs="Arial"/>
          <w:b/>
          <w:color w:val="000000" w:themeColor="text1"/>
          <w:sz w:val="22"/>
          <w:szCs w:val="22"/>
          <w:lang w:val="en-US"/>
        </w:rPr>
        <w:t xml:space="preserve"> </w:t>
      </w:r>
      <w:r w:rsidR="00A12D16" w:rsidRPr="00994340">
        <w:rPr>
          <w:rFonts w:ascii="Arial" w:hAnsi="Arial" w:cs="Arial"/>
          <w:b/>
          <w:color w:val="000000" w:themeColor="text1"/>
          <w:sz w:val="22"/>
          <w:szCs w:val="22"/>
          <w:lang w:val="en-US"/>
        </w:rPr>
        <w:t>Developments in Banking Sector:</w:t>
      </w:r>
    </w:p>
    <w:p w:rsidR="008C1C09" w:rsidRPr="00994340" w:rsidRDefault="008C1C09" w:rsidP="00614E5B">
      <w:pPr>
        <w:pStyle w:val="ListParagraph"/>
        <w:numPr>
          <w:ilvl w:val="0"/>
          <w:numId w:val="20"/>
        </w:numPr>
        <w:ind w:left="426"/>
        <w:jc w:val="both"/>
        <w:rPr>
          <w:rFonts w:ascii="Arial" w:hAnsi="Arial" w:cs="Arial"/>
          <w:color w:val="000000" w:themeColor="text1"/>
          <w:sz w:val="22"/>
          <w:szCs w:val="22"/>
          <w:lang w:val="en-US"/>
        </w:rPr>
      </w:pPr>
      <w:r w:rsidRPr="00994340">
        <w:rPr>
          <w:rFonts w:ascii="Arial" w:hAnsi="Arial" w:cs="Arial"/>
          <w:color w:val="000000" w:themeColor="text1"/>
          <w:sz w:val="22"/>
          <w:szCs w:val="22"/>
          <w:lang w:val="en-US"/>
        </w:rPr>
        <w:t xml:space="preserve">Total assets increased by </w:t>
      </w:r>
      <w:r w:rsidR="00994340" w:rsidRPr="00994340">
        <w:rPr>
          <w:rFonts w:ascii="Arial" w:hAnsi="Arial" w:cs="Arial"/>
          <w:b/>
          <w:color w:val="000000" w:themeColor="text1"/>
          <w:sz w:val="22"/>
          <w:szCs w:val="22"/>
          <w:lang w:val="en-US"/>
        </w:rPr>
        <w:t>13</w:t>
      </w:r>
      <w:r w:rsidRPr="00994340">
        <w:rPr>
          <w:rFonts w:ascii="Arial" w:hAnsi="Arial" w:cs="Arial"/>
          <w:b/>
          <w:color w:val="000000" w:themeColor="text1"/>
          <w:sz w:val="22"/>
          <w:szCs w:val="22"/>
          <w:lang w:val="en-US"/>
        </w:rPr>
        <w:t xml:space="preserve"> </w:t>
      </w:r>
      <w:r w:rsidRPr="00994340">
        <w:rPr>
          <w:rFonts w:ascii="Arial" w:hAnsi="Arial" w:cs="Arial"/>
          <w:color w:val="000000" w:themeColor="text1"/>
          <w:sz w:val="22"/>
          <w:szCs w:val="22"/>
          <w:lang w:val="en-US"/>
        </w:rPr>
        <w:t xml:space="preserve">percent in TL terms by </w:t>
      </w:r>
      <w:r w:rsidR="00994340" w:rsidRPr="00994340">
        <w:rPr>
          <w:rFonts w:ascii="Arial" w:hAnsi="Arial" w:cs="Arial"/>
          <w:color w:val="000000" w:themeColor="text1"/>
          <w:sz w:val="22"/>
          <w:szCs w:val="22"/>
          <w:lang w:val="en-US"/>
        </w:rPr>
        <w:t>March 2016</w:t>
      </w:r>
      <w:r w:rsidRPr="00994340">
        <w:rPr>
          <w:rFonts w:ascii="Arial" w:hAnsi="Arial" w:cs="Arial"/>
          <w:color w:val="000000" w:themeColor="text1"/>
          <w:sz w:val="22"/>
          <w:szCs w:val="22"/>
          <w:lang w:val="en-US"/>
        </w:rPr>
        <w:t xml:space="preserve"> compared to the same period of 201</w:t>
      </w:r>
      <w:r w:rsidR="00994340" w:rsidRPr="00994340">
        <w:rPr>
          <w:rFonts w:ascii="Arial" w:hAnsi="Arial" w:cs="Arial"/>
          <w:color w:val="000000" w:themeColor="text1"/>
          <w:sz w:val="22"/>
          <w:szCs w:val="22"/>
          <w:lang w:val="en-US"/>
        </w:rPr>
        <w:t>5</w:t>
      </w:r>
      <w:r w:rsidRPr="00994340">
        <w:rPr>
          <w:rFonts w:ascii="Arial" w:hAnsi="Arial" w:cs="Arial"/>
          <w:color w:val="000000" w:themeColor="text1"/>
          <w:sz w:val="22"/>
          <w:szCs w:val="22"/>
          <w:lang w:val="en-US"/>
        </w:rPr>
        <w:t xml:space="preserve"> and reached TL </w:t>
      </w:r>
      <w:r w:rsidR="00994340" w:rsidRPr="00994340">
        <w:rPr>
          <w:rFonts w:ascii="Arial" w:hAnsi="Arial" w:cs="Arial"/>
          <w:b/>
          <w:color w:val="000000" w:themeColor="text1"/>
          <w:sz w:val="22"/>
          <w:szCs w:val="22"/>
          <w:lang w:val="en-US"/>
        </w:rPr>
        <w:t>2,284</w:t>
      </w:r>
      <w:r w:rsidRPr="00994340">
        <w:rPr>
          <w:rFonts w:ascii="Arial" w:hAnsi="Arial" w:cs="Arial"/>
          <w:b/>
          <w:color w:val="000000" w:themeColor="text1"/>
          <w:sz w:val="22"/>
          <w:szCs w:val="22"/>
          <w:lang w:val="en-US"/>
        </w:rPr>
        <w:t xml:space="preserve"> </w:t>
      </w:r>
      <w:r w:rsidRPr="00994340">
        <w:rPr>
          <w:rFonts w:ascii="Arial" w:hAnsi="Arial" w:cs="Arial"/>
          <w:color w:val="000000" w:themeColor="text1"/>
          <w:sz w:val="22"/>
          <w:szCs w:val="22"/>
          <w:lang w:val="en-US"/>
        </w:rPr>
        <w:t xml:space="preserve">billion (USD </w:t>
      </w:r>
      <w:r w:rsidR="00994340" w:rsidRPr="00994340">
        <w:rPr>
          <w:rFonts w:ascii="Arial" w:hAnsi="Arial" w:cs="Arial"/>
          <w:b/>
          <w:color w:val="000000" w:themeColor="text1"/>
          <w:sz w:val="22"/>
          <w:szCs w:val="22"/>
          <w:lang w:val="en-US"/>
        </w:rPr>
        <w:t>809</w:t>
      </w:r>
      <w:r w:rsidRPr="00994340">
        <w:rPr>
          <w:rFonts w:ascii="Arial" w:hAnsi="Arial" w:cs="Arial"/>
          <w:color w:val="000000" w:themeColor="text1"/>
          <w:sz w:val="22"/>
          <w:szCs w:val="22"/>
          <w:lang w:val="en-US"/>
        </w:rPr>
        <w:t xml:space="preserve"> billion).</w:t>
      </w:r>
      <w:r w:rsidR="00614E5B" w:rsidRPr="00994340">
        <w:rPr>
          <w:rFonts w:ascii="Arial" w:hAnsi="Arial" w:cs="Arial"/>
          <w:color w:val="000000" w:themeColor="text1"/>
          <w:sz w:val="22"/>
          <w:szCs w:val="22"/>
          <w:lang w:val="en-US"/>
        </w:rPr>
        <w:t xml:space="preserve"> Total assets </w:t>
      </w:r>
      <w:r w:rsidR="009A68BC">
        <w:rPr>
          <w:rFonts w:ascii="Arial" w:hAnsi="Arial" w:cs="Arial"/>
          <w:color w:val="000000" w:themeColor="text1"/>
          <w:sz w:val="22"/>
          <w:szCs w:val="22"/>
          <w:lang w:val="en-US"/>
        </w:rPr>
        <w:t>grew</w:t>
      </w:r>
      <w:r w:rsidR="00614E5B" w:rsidRPr="00994340">
        <w:rPr>
          <w:rFonts w:ascii="Arial" w:hAnsi="Arial" w:cs="Arial"/>
          <w:color w:val="000000" w:themeColor="text1"/>
          <w:sz w:val="22"/>
          <w:szCs w:val="22"/>
          <w:lang w:val="en-US"/>
        </w:rPr>
        <w:t xml:space="preserve"> by </w:t>
      </w:r>
      <w:r w:rsidR="00994340" w:rsidRPr="00994340">
        <w:rPr>
          <w:rFonts w:ascii="Arial" w:hAnsi="Arial" w:cs="Arial"/>
          <w:b/>
          <w:color w:val="000000" w:themeColor="text1"/>
          <w:sz w:val="22"/>
          <w:szCs w:val="22"/>
          <w:lang w:val="en-US"/>
        </w:rPr>
        <w:t>5</w:t>
      </w:r>
      <w:r w:rsidR="00614E5B" w:rsidRPr="00994340">
        <w:rPr>
          <w:rFonts w:ascii="Arial" w:hAnsi="Arial" w:cs="Arial"/>
          <w:b/>
          <w:color w:val="000000" w:themeColor="text1"/>
          <w:sz w:val="22"/>
          <w:szCs w:val="22"/>
          <w:lang w:val="en-US"/>
        </w:rPr>
        <w:t xml:space="preserve"> </w:t>
      </w:r>
      <w:r w:rsidR="00614E5B" w:rsidRPr="00994340">
        <w:rPr>
          <w:rFonts w:ascii="Arial" w:hAnsi="Arial" w:cs="Arial"/>
          <w:color w:val="000000" w:themeColor="text1"/>
          <w:sz w:val="22"/>
          <w:szCs w:val="22"/>
          <w:lang w:val="en-US"/>
        </w:rPr>
        <w:t>percent in dollar terms</w:t>
      </w:r>
      <w:r w:rsidR="00484331">
        <w:rPr>
          <w:rFonts w:ascii="Arial" w:hAnsi="Arial" w:cs="Arial"/>
          <w:color w:val="000000" w:themeColor="text1"/>
          <w:sz w:val="22"/>
          <w:szCs w:val="22"/>
          <w:lang w:val="en-US"/>
        </w:rPr>
        <w:t>.</w:t>
      </w:r>
      <w:r w:rsidR="00614E5B" w:rsidRPr="00994340">
        <w:rPr>
          <w:rFonts w:ascii="Arial" w:hAnsi="Arial" w:cs="Arial"/>
          <w:color w:val="000000" w:themeColor="text1"/>
          <w:sz w:val="22"/>
          <w:szCs w:val="22"/>
          <w:lang w:val="en-US"/>
        </w:rPr>
        <w:t xml:space="preserve"> </w:t>
      </w:r>
      <w:r w:rsidRPr="00994340">
        <w:rPr>
          <w:rFonts w:ascii="Arial" w:hAnsi="Arial" w:cs="Arial"/>
          <w:color w:val="000000" w:themeColor="text1"/>
          <w:sz w:val="22"/>
          <w:szCs w:val="22"/>
          <w:lang w:val="en-US"/>
        </w:rPr>
        <w:t xml:space="preserve">The ratio of total assets to </w:t>
      </w:r>
      <w:proofErr w:type="spellStart"/>
      <w:r w:rsidRPr="00994340">
        <w:rPr>
          <w:rFonts w:ascii="Arial" w:hAnsi="Arial" w:cs="Arial"/>
          <w:color w:val="000000" w:themeColor="text1"/>
          <w:sz w:val="22"/>
          <w:szCs w:val="22"/>
          <w:lang w:val="en-US"/>
        </w:rPr>
        <w:t>gdp</w:t>
      </w:r>
      <w:proofErr w:type="spellEnd"/>
      <w:r w:rsidRPr="00994340">
        <w:rPr>
          <w:rFonts w:ascii="Arial" w:hAnsi="Arial" w:cs="Arial"/>
          <w:color w:val="000000" w:themeColor="text1"/>
          <w:sz w:val="22"/>
          <w:szCs w:val="22"/>
          <w:lang w:val="en-US"/>
        </w:rPr>
        <w:t xml:space="preserve"> is estimated </w:t>
      </w:r>
      <w:r w:rsidRPr="00994340">
        <w:rPr>
          <w:rFonts w:ascii="Arial" w:hAnsi="Arial" w:cs="Arial"/>
          <w:b/>
          <w:color w:val="000000" w:themeColor="text1"/>
          <w:sz w:val="22"/>
          <w:szCs w:val="22"/>
          <w:lang w:val="en-US"/>
        </w:rPr>
        <w:t>1</w:t>
      </w:r>
      <w:r w:rsidR="00994340" w:rsidRPr="00994340">
        <w:rPr>
          <w:rFonts w:ascii="Arial" w:hAnsi="Arial" w:cs="Arial"/>
          <w:b/>
          <w:color w:val="000000" w:themeColor="text1"/>
          <w:sz w:val="22"/>
          <w:szCs w:val="22"/>
          <w:lang w:val="en-US"/>
        </w:rPr>
        <w:t>14</w:t>
      </w:r>
      <w:r w:rsidRPr="00994340">
        <w:rPr>
          <w:rFonts w:ascii="Arial" w:hAnsi="Arial" w:cs="Arial"/>
          <w:color w:val="000000" w:themeColor="text1"/>
          <w:sz w:val="22"/>
          <w:szCs w:val="22"/>
          <w:lang w:val="en-US"/>
        </w:rPr>
        <w:t xml:space="preserve"> percent as of </w:t>
      </w:r>
      <w:r w:rsidR="00994340" w:rsidRPr="00994340">
        <w:rPr>
          <w:rFonts w:ascii="Arial" w:hAnsi="Arial" w:cs="Arial"/>
          <w:color w:val="000000" w:themeColor="text1"/>
          <w:sz w:val="22"/>
          <w:szCs w:val="22"/>
          <w:lang w:val="en-US"/>
        </w:rPr>
        <w:t>first quarter of 2016</w:t>
      </w:r>
      <w:r w:rsidRPr="00994340">
        <w:rPr>
          <w:rFonts w:ascii="Arial" w:hAnsi="Arial" w:cs="Arial"/>
          <w:color w:val="000000" w:themeColor="text1"/>
          <w:sz w:val="22"/>
          <w:szCs w:val="22"/>
          <w:lang w:val="en-US"/>
        </w:rPr>
        <w:t>.</w:t>
      </w:r>
    </w:p>
    <w:bookmarkEnd w:id="1"/>
    <w:bookmarkEnd w:id="2"/>
    <w:p w:rsidR="00614E5B" w:rsidRPr="009E2616" w:rsidRDefault="00614E5B" w:rsidP="00614E5B">
      <w:pPr>
        <w:pStyle w:val="ListParagraph"/>
        <w:ind w:left="426"/>
        <w:jc w:val="both"/>
        <w:rPr>
          <w:rFonts w:ascii="Arial" w:hAnsi="Arial" w:cs="Arial"/>
          <w:color w:val="FF0000"/>
          <w:sz w:val="22"/>
          <w:szCs w:val="22"/>
          <w:lang w:val="en-US"/>
        </w:rPr>
      </w:pPr>
    </w:p>
    <w:p w:rsidR="00401204" w:rsidRPr="00401204" w:rsidRDefault="00614E5B" w:rsidP="00401204">
      <w:pPr>
        <w:pStyle w:val="ListParagraph"/>
        <w:numPr>
          <w:ilvl w:val="0"/>
          <w:numId w:val="20"/>
        </w:numPr>
        <w:ind w:left="426"/>
        <w:jc w:val="both"/>
        <w:rPr>
          <w:rFonts w:ascii="Arial" w:hAnsi="Arial" w:cs="Arial"/>
          <w:color w:val="000000" w:themeColor="text1"/>
          <w:sz w:val="22"/>
          <w:szCs w:val="22"/>
          <w:lang w:val="en-US"/>
        </w:rPr>
      </w:pPr>
      <w:r w:rsidRPr="00994340">
        <w:rPr>
          <w:rFonts w:ascii="Arial" w:hAnsi="Arial" w:cs="Arial"/>
          <w:color w:val="000000" w:themeColor="text1"/>
          <w:sz w:val="22"/>
          <w:szCs w:val="22"/>
          <w:lang w:val="en-US"/>
        </w:rPr>
        <w:t xml:space="preserve">Total loans increased by </w:t>
      </w:r>
      <w:r w:rsidR="00994340" w:rsidRPr="00401204">
        <w:rPr>
          <w:rFonts w:ascii="Arial" w:hAnsi="Arial" w:cs="Arial"/>
          <w:b/>
          <w:color w:val="000000" w:themeColor="text1"/>
          <w:sz w:val="22"/>
          <w:szCs w:val="22"/>
          <w:lang w:val="en-US"/>
        </w:rPr>
        <w:t>15</w:t>
      </w:r>
      <w:r w:rsidRPr="00994340">
        <w:rPr>
          <w:rFonts w:ascii="Arial" w:hAnsi="Arial" w:cs="Arial"/>
          <w:color w:val="000000" w:themeColor="text1"/>
          <w:sz w:val="22"/>
          <w:szCs w:val="22"/>
          <w:lang w:val="en-US"/>
        </w:rPr>
        <w:t xml:space="preserve"> percent on</w:t>
      </w:r>
      <w:r w:rsidR="00994340" w:rsidRPr="00994340">
        <w:rPr>
          <w:rFonts w:ascii="Arial" w:hAnsi="Arial" w:cs="Arial"/>
          <w:color w:val="000000" w:themeColor="text1"/>
          <w:sz w:val="22"/>
          <w:szCs w:val="22"/>
          <w:lang w:val="en-US"/>
        </w:rPr>
        <w:t xml:space="preserve"> an annual basis and reached TL </w:t>
      </w:r>
      <w:r w:rsidR="00994340" w:rsidRPr="00401204">
        <w:rPr>
          <w:rFonts w:ascii="Arial" w:hAnsi="Arial" w:cs="Arial"/>
          <w:b/>
          <w:color w:val="000000" w:themeColor="text1"/>
          <w:sz w:val="22"/>
          <w:szCs w:val="22"/>
          <w:lang w:val="en-US"/>
        </w:rPr>
        <w:t>1,486</w:t>
      </w:r>
      <w:r w:rsidR="00994340" w:rsidRPr="00994340">
        <w:rPr>
          <w:rFonts w:ascii="Arial" w:hAnsi="Arial" w:cs="Arial"/>
          <w:color w:val="000000" w:themeColor="text1"/>
          <w:sz w:val="22"/>
          <w:szCs w:val="22"/>
          <w:lang w:val="en-US"/>
        </w:rPr>
        <w:t xml:space="preserve"> billion (USD </w:t>
      </w:r>
      <w:r w:rsidR="00994340" w:rsidRPr="00401204">
        <w:rPr>
          <w:rFonts w:ascii="Arial" w:hAnsi="Arial" w:cs="Arial"/>
          <w:b/>
          <w:color w:val="000000" w:themeColor="text1"/>
          <w:sz w:val="22"/>
          <w:szCs w:val="22"/>
          <w:lang w:val="en-US"/>
        </w:rPr>
        <w:t>526</w:t>
      </w:r>
      <w:r w:rsidR="00994340" w:rsidRPr="00994340">
        <w:rPr>
          <w:rFonts w:ascii="Arial" w:hAnsi="Arial" w:cs="Arial"/>
          <w:color w:val="000000" w:themeColor="text1"/>
          <w:sz w:val="22"/>
          <w:szCs w:val="22"/>
          <w:lang w:val="en-US"/>
        </w:rPr>
        <w:t xml:space="preserve"> billion) as of March</w:t>
      </w:r>
      <w:r w:rsidRPr="00994340">
        <w:rPr>
          <w:rFonts w:ascii="Arial" w:hAnsi="Arial" w:cs="Arial"/>
          <w:color w:val="000000" w:themeColor="text1"/>
          <w:sz w:val="22"/>
          <w:szCs w:val="22"/>
          <w:lang w:val="en-US"/>
        </w:rPr>
        <w:t xml:space="preserve"> 201</w:t>
      </w:r>
      <w:r w:rsidR="00994340" w:rsidRPr="00994340">
        <w:rPr>
          <w:rFonts w:ascii="Arial" w:hAnsi="Arial" w:cs="Arial"/>
          <w:color w:val="000000" w:themeColor="text1"/>
          <w:sz w:val="22"/>
          <w:szCs w:val="22"/>
          <w:lang w:val="en-US"/>
        </w:rPr>
        <w:t>6</w:t>
      </w:r>
      <w:r w:rsidRPr="00994340">
        <w:rPr>
          <w:rFonts w:ascii="Arial" w:hAnsi="Arial" w:cs="Arial"/>
          <w:color w:val="000000" w:themeColor="text1"/>
          <w:sz w:val="22"/>
          <w:szCs w:val="22"/>
          <w:lang w:val="en-US"/>
        </w:rPr>
        <w:t xml:space="preserve">. The annual growth of loans was </w:t>
      </w:r>
      <w:r w:rsidR="00994340" w:rsidRPr="00994340">
        <w:rPr>
          <w:rFonts w:ascii="Arial" w:hAnsi="Arial" w:cs="Arial"/>
          <w:color w:val="000000" w:themeColor="text1"/>
          <w:sz w:val="22"/>
          <w:szCs w:val="22"/>
          <w:lang w:val="en-US"/>
        </w:rPr>
        <w:t>6</w:t>
      </w:r>
      <w:r w:rsidR="002B232B">
        <w:rPr>
          <w:rFonts w:ascii="Arial" w:hAnsi="Arial" w:cs="Arial"/>
          <w:color w:val="000000" w:themeColor="text1"/>
          <w:sz w:val="22"/>
          <w:szCs w:val="22"/>
          <w:lang w:val="en-US"/>
        </w:rPr>
        <w:t xml:space="preserve"> percent</w:t>
      </w:r>
      <w:r w:rsidRPr="00994340">
        <w:rPr>
          <w:rFonts w:ascii="Arial" w:hAnsi="Arial" w:cs="Arial"/>
          <w:color w:val="000000" w:themeColor="text1"/>
          <w:sz w:val="22"/>
          <w:szCs w:val="22"/>
          <w:lang w:val="en-US"/>
        </w:rPr>
        <w:t xml:space="preserve"> </w:t>
      </w:r>
      <w:r w:rsidR="00994340" w:rsidRPr="00994340">
        <w:rPr>
          <w:rFonts w:ascii="Arial" w:hAnsi="Arial" w:cs="Arial"/>
          <w:color w:val="000000" w:themeColor="text1"/>
          <w:sz w:val="22"/>
          <w:szCs w:val="22"/>
          <w:lang w:val="en-US"/>
        </w:rPr>
        <w:t>in dollar terms</w:t>
      </w:r>
      <w:r w:rsidRPr="00994340">
        <w:rPr>
          <w:rFonts w:ascii="Arial" w:hAnsi="Arial" w:cs="Arial"/>
          <w:color w:val="000000" w:themeColor="text1"/>
          <w:sz w:val="22"/>
          <w:szCs w:val="22"/>
          <w:lang w:val="en-US"/>
        </w:rPr>
        <w:t xml:space="preserve">. </w:t>
      </w:r>
      <w:r w:rsidR="00994340" w:rsidRPr="00994340">
        <w:rPr>
          <w:rFonts w:ascii="Arial" w:hAnsi="Arial" w:cs="Arial"/>
          <w:color w:val="000000" w:themeColor="text1"/>
          <w:sz w:val="22"/>
          <w:szCs w:val="22"/>
          <w:lang w:val="en-US"/>
        </w:rPr>
        <w:t xml:space="preserve">Slowdown in retail loans has continued in the first quarter of 2016. </w:t>
      </w:r>
      <w:r w:rsidRPr="00994340">
        <w:rPr>
          <w:rFonts w:ascii="Arial" w:hAnsi="Arial" w:cs="Arial"/>
          <w:color w:val="000000" w:themeColor="text1"/>
          <w:sz w:val="22"/>
          <w:szCs w:val="22"/>
          <w:lang w:val="en-US"/>
        </w:rPr>
        <w:t xml:space="preserve">As of </w:t>
      </w:r>
      <w:r w:rsidR="00994340" w:rsidRPr="00994340">
        <w:rPr>
          <w:rFonts w:ascii="Arial" w:hAnsi="Arial" w:cs="Arial"/>
          <w:color w:val="000000" w:themeColor="text1"/>
          <w:sz w:val="22"/>
          <w:szCs w:val="22"/>
          <w:lang w:val="en-US"/>
        </w:rPr>
        <w:t>March</w:t>
      </w:r>
      <w:r w:rsidRPr="00994340">
        <w:rPr>
          <w:rFonts w:ascii="Arial" w:hAnsi="Arial" w:cs="Arial"/>
          <w:color w:val="000000" w:themeColor="text1"/>
          <w:sz w:val="22"/>
          <w:szCs w:val="22"/>
          <w:lang w:val="en-US"/>
        </w:rPr>
        <w:t>, the annual growth of retail loans was</w:t>
      </w:r>
      <w:r w:rsidRPr="00401204">
        <w:rPr>
          <w:rFonts w:ascii="Arial" w:hAnsi="Arial" w:cs="Arial"/>
          <w:b/>
          <w:color w:val="000000" w:themeColor="text1"/>
          <w:sz w:val="22"/>
          <w:szCs w:val="22"/>
          <w:lang w:val="en-US"/>
        </w:rPr>
        <w:t xml:space="preserve"> </w:t>
      </w:r>
      <w:r w:rsidR="00994340" w:rsidRPr="00401204">
        <w:rPr>
          <w:rFonts w:ascii="Arial" w:hAnsi="Arial" w:cs="Arial"/>
          <w:b/>
          <w:color w:val="000000" w:themeColor="text1"/>
          <w:sz w:val="22"/>
          <w:szCs w:val="22"/>
          <w:lang w:val="en-US"/>
        </w:rPr>
        <w:t>8</w:t>
      </w:r>
      <w:r w:rsidRPr="00994340">
        <w:rPr>
          <w:rFonts w:ascii="Arial" w:hAnsi="Arial" w:cs="Arial"/>
          <w:color w:val="000000" w:themeColor="text1"/>
          <w:sz w:val="22"/>
          <w:szCs w:val="22"/>
          <w:lang w:val="en-US"/>
        </w:rPr>
        <w:t xml:space="preserve"> percent</w:t>
      </w:r>
      <w:r w:rsidR="00994340" w:rsidRPr="00994340">
        <w:rPr>
          <w:rFonts w:ascii="Arial" w:hAnsi="Arial" w:cs="Arial"/>
          <w:color w:val="000000" w:themeColor="text1"/>
          <w:sz w:val="22"/>
          <w:szCs w:val="22"/>
          <w:lang w:val="en-US"/>
        </w:rPr>
        <w:t xml:space="preserve">. The decline in retail loans was driven by </w:t>
      </w:r>
      <w:r w:rsidR="009A68BC">
        <w:rPr>
          <w:rFonts w:ascii="Arial" w:hAnsi="Arial" w:cs="Arial"/>
          <w:color w:val="000000" w:themeColor="text1"/>
          <w:sz w:val="22"/>
          <w:szCs w:val="22"/>
          <w:lang w:val="en-US"/>
        </w:rPr>
        <w:t>decrease</w:t>
      </w:r>
      <w:r w:rsidR="00994340" w:rsidRPr="00994340">
        <w:rPr>
          <w:rFonts w:ascii="Arial" w:hAnsi="Arial" w:cs="Arial"/>
          <w:color w:val="000000" w:themeColor="text1"/>
          <w:sz w:val="22"/>
          <w:szCs w:val="22"/>
          <w:lang w:val="en-US"/>
        </w:rPr>
        <w:t xml:space="preserve"> in consumer loans. </w:t>
      </w:r>
      <w:r w:rsidR="00401204" w:rsidRPr="00401204">
        <w:rPr>
          <w:rFonts w:ascii="Arial" w:hAnsi="Arial" w:cs="Arial"/>
          <w:color w:val="000000" w:themeColor="text1"/>
          <w:sz w:val="22"/>
          <w:szCs w:val="22"/>
          <w:lang w:val="en-US"/>
        </w:rPr>
        <w:t xml:space="preserve">Because of high NPL ratio in credit card which was </w:t>
      </w:r>
      <w:r w:rsidR="00401204" w:rsidRPr="00401204">
        <w:rPr>
          <w:rFonts w:ascii="Arial" w:hAnsi="Arial" w:cs="Arial"/>
          <w:b/>
          <w:color w:val="000000" w:themeColor="text1"/>
          <w:sz w:val="22"/>
          <w:szCs w:val="22"/>
          <w:lang w:val="en-US"/>
        </w:rPr>
        <w:t>8.2</w:t>
      </w:r>
      <w:r w:rsidR="00401204" w:rsidRPr="00401204">
        <w:rPr>
          <w:rFonts w:ascii="Arial" w:hAnsi="Arial" w:cs="Arial"/>
          <w:color w:val="000000" w:themeColor="text1"/>
          <w:sz w:val="22"/>
          <w:szCs w:val="22"/>
          <w:lang w:val="en-US"/>
        </w:rPr>
        <w:t xml:space="preserve"> percent, NPL ratio in retail loans was </w:t>
      </w:r>
      <w:r w:rsidR="00401204" w:rsidRPr="00401204">
        <w:rPr>
          <w:rFonts w:ascii="Arial" w:hAnsi="Arial" w:cs="Arial"/>
          <w:b/>
          <w:color w:val="000000" w:themeColor="text1"/>
          <w:sz w:val="22"/>
          <w:szCs w:val="22"/>
          <w:lang w:val="en-US"/>
        </w:rPr>
        <w:t>4.6</w:t>
      </w:r>
      <w:r w:rsidR="00401204" w:rsidRPr="00401204">
        <w:rPr>
          <w:rFonts w:ascii="Arial" w:hAnsi="Arial" w:cs="Arial"/>
          <w:color w:val="000000" w:themeColor="text1"/>
          <w:sz w:val="22"/>
          <w:szCs w:val="22"/>
          <w:lang w:val="en-US"/>
        </w:rPr>
        <w:t xml:space="preserve"> percent and surpassed the total credit</w:t>
      </w:r>
      <w:r w:rsidR="009A68BC">
        <w:rPr>
          <w:rFonts w:ascii="Arial" w:hAnsi="Arial" w:cs="Arial"/>
          <w:color w:val="000000" w:themeColor="text1"/>
          <w:sz w:val="22"/>
          <w:szCs w:val="22"/>
          <w:lang w:val="en-US"/>
        </w:rPr>
        <w:t>.</w:t>
      </w:r>
    </w:p>
    <w:p w:rsidR="00D62A7F" w:rsidRPr="00740331" w:rsidRDefault="00D62A7F" w:rsidP="00D62A7F">
      <w:pPr>
        <w:pStyle w:val="ListParagraph"/>
        <w:numPr>
          <w:ilvl w:val="0"/>
          <w:numId w:val="20"/>
        </w:numPr>
        <w:ind w:left="426"/>
        <w:jc w:val="both"/>
        <w:rPr>
          <w:rFonts w:ascii="Arial" w:hAnsi="Arial" w:cs="Arial"/>
          <w:color w:val="000000" w:themeColor="text1"/>
          <w:sz w:val="22"/>
          <w:szCs w:val="22"/>
          <w:lang w:val="en-US"/>
        </w:rPr>
      </w:pPr>
      <w:r w:rsidRPr="00740331">
        <w:rPr>
          <w:rFonts w:ascii="Arial" w:hAnsi="Arial" w:cs="Arial"/>
          <w:color w:val="000000" w:themeColor="text1"/>
          <w:sz w:val="22"/>
          <w:szCs w:val="22"/>
          <w:lang w:val="en-US"/>
        </w:rPr>
        <w:lastRenderedPageBreak/>
        <w:t xml:space="preserve">Loans to deposits ratio was </w:t>
      </w:r>
      <w:r w:rsidRPr="00740331">
        <w:rPr>
          <w:rFonts w:ascii="Arial" w:hAnsi="Arial" w:cs="Arial"/>
          <w:b/>
          <w:color w:val="000000" w:themeColor="text1"/>
          <w:sz w:val="22"/>
          <w:szCs w:val="22"/>
          <w:lang w:val="en-US"/>
        </w:rPr>
        <w:t>11</w:t>
      </w:r>
      <w:r w:rsidR="00740331" w:rsidRPr="00740331">
        <w:rPr>
          <w:rFonts w:ascii="Arial" w:hAnsi="Arial" w:cs="Arial"/>
          <w:b/>
          <w:color w:val="000000" w:themeColor="text1"/>
          <w:sz w:val="22"/>
          <w:szCs w:val="22"/>
          <w:lang w:val="en-US"/>
        </w:rPr>
        <w:t>5</w:t>
      </w:r>
      <w:r w:rsidRPr="00740331">
        <w:rPr>
          <w:rFonts w:ascii="Arial" w:hAnsi="Arial" w:cs="Arial"/>
          <w:color w:val="000000" w:themeColor="text1"/>
          <w:sz w:val="22"/>
          <w:szCs w:val="22"/>
          <w:lang w:val="en-US"/>
        </w:rPr>
        <w:t xml:space="preserve"> percent by </w:t>
      </w:r>
      <w:r w:rsidR="00740331" w:rsidRPr="00740331">
        <w:rPr>
          <w:rFonts w:ascii="Arial" w:hAnsi="Arial" w:cs="Arial"/>
          <w:color w:val="000000" w:themeColor="text1"/>
          <w:sz w:val="22"/>
          <w:szCs w:val="22"/>
          <w:lang w:val="en-US"/>
        </w:rPr>
        <w:t>decreasing 1.5</w:t>
      </w:r>
      <w:r w:rsidRPr="00740331">
        <w:rPr>
          <w:rFonts w:ascii="Arial" w:hAnsi="Arial" w:cs="Arial"/>
          <w:color w:val="000000" w:themeColor="text1"/>
          <w:sz w:val="22"/>
          <w:szCs w:val="22"/>
          <w:lang w:val="en-US"/>
        </w:rPr>
        <w:t xml:space="preserve"> points compared to the same period of last year. The same ratio was </w:t>
      </w:r>
      <w:r w:rsidRPr="00740331">
        <w:rPr>
          <w:rFonts w:ascii="Arial" w:hAnsi="Arial" w:cs="Arial"/>
          <w:b/>
          <w:color w:val="000000" w:themeColor="text1"/>
          <w:sz w:val="22"/>
          <w:szCs w:val="22"/>
          <w:lang w:val="en-US"/>
        </w:rPr>
        <w:t>10</w:t>
      </w:r>
      <w:r w:rsidR="00740331" w:rsidRPr="00740331">
        <w:rPr>
          <w:rFonts w:ascii="Arial" w:hAnsi="Arial" w:cs="Arial"/>
          <w:b/>
          <w:color w:val="000000" w:themeColor="text1"/>
          <w:sz w:val="22"/>
          <w:szCs w:val="22"/>
          <w:lang w:val="en-US"/>
        </w:rPr>
        <w:t>4</w:t>
      </w:r>
      <w:r w:rsidRPr="00740331">
        <w:rPr>
          <w:rFonts w:ascii="Arial" w:hAnsi="Arial" w:cs="Arial"/>
          <w:color w:val="000000" w:themeColor="text1"/>
          <w:sz w:val="22"/>
          <w:szCs w:val="22"/>
          <w:lang w:val="en-US"/>
        </w:rPr>
        <w:t xml:space="preserve"> percent in state-owned banks, </w:t>
      </w:r>
      <w:r w:rsidRPr="00740331">
        <w:rPr>
          <w:rFonts w:ascii="Arial" w:hAnsi="Arial" w:cs="Arial"/>
          <w:b/>
          <w:color w:val="000000" w:themeColor="text1"/>
          <w:sz w:val="22"/>
          <w:szCs w:val="22"/>
          <w:lang w:val="en-US"/>
        </w:rPr>
        <w:t xml:space="preserve">110 </w:t>
      </w:r>
      <w:r w:rsidRPr="00740331">
        <w:rPr>
          <w:rFonts w:ascii="Arial" w:hAnsi="Arial" w:cs="Arial"/>
          <w:color w:val="000000" w:themeColor="text1"/>
          <w:sz w:val="22"/>
          <w:szCs w:val="22"/>
          <w:lang w:val="en-US"/>
        </w:rPr>
        <w:t xml:space="preserve">percent in private banks and </w:t>
      </w:r>
      <w:r w:rsidRPr="00740331">
        <w:rPr>
          <w:rFonts w:ascii="Arial" w:hAnsi="Arial" w:cs="Arial"/>
          <w:b/>
          <w:color w:val="000000" w:themeColor="text1"/>
          <w:sz w:val="22"/>
          <w:szCs w:val="22"/>
          <w:lang w:val="en-US"/>
        </w:rPr>
        <w:t>11</w:t>
      </w:r>
      <w:r w:rsidR="00740331" w:rsidRPr="00740331">
        <w:rPr>
          <w:rFonts w:ascii="Arial" w:hAnsi="Arial" w:cs="Arial"/>
          <w:b/>
          <w:color w:val="000000" w:themeColor="text1"/>
          <w:sz w:val="22"/>
          <w:szCs w:val="22"/>
          <w:lang w:val="en-US"/>
        </w:rPr>
        <w:t>2</w:t>
      </w:r>
      <w:r w:rsidRPr="00740331">
        <w:rPr>
          <w:rFonts w:ascii="Arial" w:hAnsi="Arial" w:cs="Arial"/>
          <w:color w:val="000000" w:themeColor="text1"/>
          <w:sz w:val="22"/>
          <w:szCs w:val="22"/>
          <w:lang w:val="en-US"/>
        </w:rPr>
        <w:t xml:space="preserve"> per</w:t>
      </w:r>
      <w:r w:rsidR="00740331" w:rsidRPr="00740331">
        <w:rPr>
          <w:rFonts w:ascii="Arial" w:hAnsi="Arial" w:cs="Arial"/>
          <w:color w:val="000000" w:themeColor="text1"/>
          <w:sz w:val="22"/>
          <w:szCs w:val="22"/>
          <w:lang w:val="en-US"/>
        </w:rPr>
        <w:t>cent in foreign banks as of March</w:t>
      </w:r>
      <w:r w:rsidRPr="00740331">
        <w:rPr>
          <w:rFonts w:ascii="Arial" w:hAnsi="Arial" w:cs="Arial"/>
          <w:color w:val="000000" w:themeColor="text1"/>
          <w:sz w:val="22"/>
          <w:szCs w:val="22"/>
          <w:lang w:val="en-US"/>
        </w:rPr>
        <w:t xml:space="preserve"> 201</w:t>
      </w:r>
      <w:r w:rsidR="00740331" w:rsidRPr="00740331">
        <w:rPr>
          <w:rFonts w:ascii="Arial" w:hAnsi="Arial" w:cs="Arial"/>
          <w:color w:val="000000" w:themeColor="text1"/>
          <w:sz w:val="22"/>
          <w:szCs w:val="22"/>
          <w:lang w:val="en-US"/>
        </w:rPr>
        <w:t>6</w:t>
      </w:r>
      <w:r w:rsidRPr="00740331">
        <w:rPr>
          <w:rFonts w:ascii="Arial" w:hAnsi="Arial" w:cs="Arial"/>
          <w:color w:val="000000" w:themeColor="text1"/>
          <w:sz w:val="22"/>
          <w:szCs w:val="22"/>
          <w:lang w:val="en-US"/>
        </w:rPr>
        <w:t>.</w:t>
      </w:r>
      <w:r w:rsidR="00484331" w:rsidRPr="00484331">
        <w:rPr>
          <w:rStyle w:val="FootnoteReference"/>
          <w:rFonts w:ascii="Arial" w:hAnsi="Arial" w:cs="Arial"/>
          <w:color w:val="000000" w:themeColor="text1"/>
          <w:sz w:val="28"/>
          <w:szCs w:val="28"/>
        </w:rPr>
        <w:t xml:space="preserve"> </w:t>
      </w:r>
      <w:r w:rsidR="00484331" w:rsidRPr="00484331">
        <w:rPr>
          <w:rStyle w:val="FootnoteReference"/>
          <w:rFonts w:ascii="Arial" w:hAnsi="Arial" w:cs="Arial"/>
          <w:color w:val="000000" w:themeColor="text1"/>
          <w:sz w:val="22"/>
          <w:szCs w:val="22"/>
        </w:rPr>
        <w:footnoteReference w:id="3"/>
      </w:r>
      <w:r w:rsidRPr="00740331">
        <w:rPr>
          <w:rFonts w:ascii="Arial" w:hAnsi="Arial" w:cs="Arial"/>
          <w:color w:val="000000" w:themeColor="text1"/>
          <w:sz w:val="22"/>
          <w:szCs w:val="22"/>
          <w:lang w:val="en-US"/>
        </w:rPr>
        <w:t xml:space="preserve"> </w:t>
      </w:r>
    </w:p>
    <w:p w:rsidR="00740331" w:rsidRPr="00740331" w:rsidRDefault="00740331" w:rsidP="00740331">
      <w:pPr>
        <w:pStyle w:val="ListParagraph"/>
        <w:rPr>
          <w:rFonts w:ascii="Arial" w:hAnsi="Arial" w:cs="Arial"/>
          <w:color w:val="FF0000"/>
          <w:sz w:val="22"/>
          <w:szCs w:val="22"/>
          <w:lang w:val="en-US"/>
        </w:rPr>
      </w:pPr>
    </w:p>
    <w:p w:rsidR="00D62A7F" w:rsidRPr="00B3421A" w:rsidRDefault="00D62A7F" w:rsidP="00D62A7F">
      <w:pPr>
        <w:pStyle w:val="ListParagraph"/>
        <w:numPr>
          <w:ilvl w:val="0"/>
          <w:numId w:val="23"/>
        </w:numPr>
        <w:spacing w:before="120" w:after="120"/>
        <w:ind w:left="426"/>
        <w:jc w:val="both"/>
        <w:rPr>
          <w:rFonts w:ascii="Arial" w:hAnsi="Arial" w:cs="Arial"/>
          <w:color w:val="000000" w:themeColor="text1"/>
          <w:sz w:val="22"/>
          <w:szCs w:val="22"/>
          <w:lang w:val="en-US"/>
        </w:rPr>
      </w:pPr>
      <w:r w:rsidRPr="00B3421A">
        <w:rPr>
          <w:rFonts w:ascii="Arial" w:hAnsi="Arial" w:cs="Arial"/>
          <w:color w:val="000000" w:themeColor="text1"/>
          <w:sz w:val="22"/>
          <w:szCs w:val="22"/>
          <w:lang w:val="en-US"/>
        </w:rPr>
        <w:t xml:space="preserve">Non-performing loans increased annually by </w:t>
      </w:r>
      <w:r w:rsidRPr="00B3421A">
        <w:rPr>
          <w:rFonts w:ascii="Arial" w:hAnsi="Arial" w:cs="Arial"/>
          <w:b/>
          <w:color w:val="000000" w:themeColor="text1"/>
          <w:sz w:val="22"/>
          <w:szCs w:val="22"/>
          <w:lang w:val="en-US"/>
        </w:rPr>
        <w:t>2</w:t>
      </w:r>
      <w:r w:rsidR="00B3421A" w:rsidRPr="00B3421A">
        <w:rPr>
          <w:rFonts w:ascii="Arial" w:hAnsi="Arial" w:cs="Arial"/>
          <w:b/>
          <w:color w:val="000000" w:themeColor="text1"/>
          <w:sz w:val="22"/>
          <w:szCs w:val="22"/>
          <w:lang w:val="en-US"/>
        </w:rPr>
        <w:t>1</w:t>
      </w:r>
      <w:r w:rsidR="00B3421A" w:rsidRPr="00B3421A">
        <w:rPr>
          <w:rFonts w:ascii="Arial" w:hAnsi="Arial" w:cs="Arial"/>
          <w:color w:val="000000" w:themeColor="text1"/>
          <w:sz w:val="22"/>
          <w:szCs w:val="22"/>
          <w:lang w:val="en-US"/>
        </w:rPr>
        <w:t xml:space="preserve"> percent as of March</w:t>
      </w:r>
      <w:r w:rsidRPr="00B3421A">
        <w:rPr>
          <w:rFonts w:ascii="Arial" w:hAnsi="Arial" w:cs="Arial"/>
          <w:color w:val="000000" w:themeColor="text1"/>
          <w:sz w:val="22"/>
          <w:szCs w:val="22"/>
          <w:lang w:val="en-US"/>
        </w:rPr>
        <w:t xml:space="preserve"> 201</w:t>
      </w:r>
      <w:r w:rsidR="00B3421A" w:rsidRPr="00B3421A">
        <w:rPr>
          <w:rFonts w:ascii="Arial" w:hAnsi="Arial" w:cs="Arial"/>
          <w:color w:val="000000" w:themeColor="text1"/>
          <w:sz w:val="22"/>
          <w:szCs w:val="22"/>
          <w:lang w:val="en-US"/>
        </w:rPr>
        <w:t>6</w:t>
      </w:r>
      <w:r w:rsidRPr="00B3421A">
        <w:rPr>
          <w:rFonts w:ascii="Arial" w:hAnsi="Arial" w:cs="Arial"/>
          <w:color w:val="000000" w:themeColor="text1"/>
          <w:sz w:val="22"/>
          <w:szCs w:val="22"/>
          <w:lang w:val="en-US"/>
        </w:rPr>
        <w:t xml:space="preserve">.  The ratio of non-performing loans (NPLs, gross) to loan stock </w:t>
      </w:r>
      <w:r w:rsidR="008C7959">
        <w:rPr>
          <w:rFonts w:ascii="Arial" w:hAnsi="Arial" w:cs="Arial"/>
          <w:color w:val="000000" w:themeColor="text1"/>
          <w:sz w:val="22"/>
          <w:szCs w:val="22"/>
          <w:lang w:val="en-US"/>
        </w:rPr>
        <w:t>increased b</w:t>
      </w:r>
      <w:r w:rsidR="00B3421A" w:rsidRPr="00B3421A">
        <w:rPr>
          <w:rFonts w:ascii="Arial" w:hAnsi="Arial" w:cs="Arial"/>
          <w:color w:val="000000" w:themeColor="text1"/>
          <w:sz w:val="22"/>
          <w:szCs w:val="22"/>
          <w:lang w:val="en-US"/>
        </w:rPr>
        <w:t xml:space="preserve">y 0.4 point and reached to </w:t>
      </w:r>
      <w:r w:rsidR="00B3421A" w:rsidRPr="00B3421A">
        <w:rPr>
          <w:rFonts w:ascii="Arial" w:hAnsi="Arial" w:cs="Arial"/>
          <w:b/>
          <w:color w:val="000000" w:themeColor="text1"/>
          <w:sz w:val="22"/>
          <w:szCs w:val="22"/>
          <w:lang w:val="en-US"/>
        </w:rPr>
        <w:t>3.1</w:t>
      </w:r>
      <w:r w:rsidRPr="00B3421A">
        <w:rPr>
          <w:rFonts w:ascii="Arial" w:hAnsi="Arial" w:cs="Arial"/>
          <w:b/>
          <w:color w:val="000000" w:themeColor="text1"/>
          <w:sz w:val="22"/>
          <w:szCs w:val="22"/>
          <w:lang w:val="en-US"/>
        </w:rPr>
        <w:t xml:space="preserve"> percent</w:t>
      </w:r>
      <w:r w:rsidRPr="00B3421A">
        <w:rPr>
          <w:rFonts w:ascii="Arial" w:hAnsi="Arial" w:cs="Arial"/>
          <w:color w:val="000000" w:themeColor="text1"/>
          <w:sz w:val="22"/>
          <w:szCs w:val="22"/>
          <w:lang w:val="en-US"/>
        </w:rPr>
        <w:t xml:space="preserve">. Notably, provisions set aside for the NPLs were at the level of </w:t>
      </w:r>
      <w:r w:rsidRPr="00B3421A">
        <w:rPr>
          <w:rFonts w:ascii="Arial" w:hAnsi="Arial" w:cs="Arial"/>
          <w:b/>
          <w:color w:val="000000" w:themeColor="text1"/>
          <w:sz w:val="22"/>
          <w:szCs w:val="22"/>
          <w:lang w:val="en-US"/>
        </w:rPr>
        <w:t>7</w:t>
      </w:r>
      <w:r w:rsidR="00B3421A" w:rsidRPr="00B3421A">
        <w:rPr>
          <w:rFonts w:ascii="Arial" w:hAnsi="Arial" w:cs="Arial"/>
          <w:b/>
          <w:color w:val="000000" w:themeColor="text1"/>
          <w:sz w:val="22"/>
          <w:szCs w:val="22"/>
          <w:lang w:val="en-US"/>
        </w:rPr>
        <w:t>7</w:t>
      </w:r>
      <w:r w:rsidRPr="00B3421A">
        <w:rPr>
          <w:rFonts w:ascii="Arial" w:hAnsi="Arial" w:cs="Arial"/>
          <w:color w:val="000000" w:themeColor="text1"/>
          <w:sz w:val="22"/>
          <w:szCs w:val="22"/>
          <w:lang w:val="en-US"/>
        </w:rPr>
        <w:t xml:space="preserve"> percent. </w:t>
      </w:r>
    </w:p>
    <w:p w:rsidR="00C5615B" w:rsidRPr="009E2616" w:rsidRDefault="00C5615B" w:rsidP="00C5615B">
      <w:pPr>
        <w:pStyle w:val="ListParagraph"/>
        <w:ind w:left="426"/>
        <w:rPr>
          <w:rFonts w:ascii="Arial" w:hAnsi="Arial" w:cs="Arial"/>
          <w:color w:val="FF0000"/>
          <w:sz w:val="10"/>
          <w:szCs w:val="10"/>
          <w:lang w:val="en-US"/>
        </w:rPr>
      </w:pPr>
    </w:p>
    <w:p w:rsidR="00935A8A" w:rsidRPr="002B232B" w:rsidRDefault="00D62A7F" w:rsidP="00935A8A">
      <w:pPr>
        <w:pStyle w:val="ListParagraph"/>
        <w:numPr>
          <w:ilvl w:val="0"/>
          <w:numId w:val="23"/>
        </w:numPr>
        <w:spacing w:before="120" w:after="120"/>
        <w:ind w:left="426"/>
        <w:jc w:val="both"/>
        <w:rPr>
          <w:rFonts w:ascii="Arial" w:hAnsi="Arial" w:cs="Arial"/>
          <w:color w:val="000000" w:themeColor="text1"/>
          <w:sz w:val="22"/>
          <w:szCs w:val="22"/>
          <w:lang w:val="en-US"/>
        </w:rPr>
      </w:pPr>
      <w:r w:rsidRPr="002B232B">
        <w:rPr>
          <w:rFonts w:ascii="Arial" w:hAnsi="Arial" w:cs="Arial"/>
          <w:color w:val="000000" w:themeColor="text1"/>
          <w:sz w:val="22"/>
          <w:szCs w:val="22"/>
          <w:lang w:val="en-US"/>
        </w:rPr>
        <w:t xml:space="preserve">Total deposits was TL </w:t>
      </w:r>
      <w:r w:rsidRPr="002B232B">
        <w:rPr>
          <w:rFonts w:ascii="Arial" w:hAnsi="Arial" w:cs="Arial"/>
          <w:b/>
          <w:color w:val="000000" w:themeColor="text1"/>
          <w:sz w:val="22"/>
          <w:szCs w:val="22"/>
          <w:lang w:val="en-US"/>
        </w:rPr>
        <w:t>1,2</w:t>
      </w:r>
      <w:r w:rsidR="002B232B" w:rsidRPr="002B232B">
        <w:rPr>
          <w:rFonts w:ascii="Arial" w:hAnsi="Arial" w:cs="Arial"/>
          <w:b/>
          <w:color w:val="000000" w:themeColor="text1"/>
          <w:sz w:val="22"/>
          <w:szCs w:val="22"/>
          <w:lang w:val="en-US"/>
        </w:rPr>
        <w:t xml:space="preserve">91 </w:t>
      </w:r>
      <w:r w:rsidRPr="002B232B">
        <w:rPr>
          <w:rFonts w:ascii="Arial" w:hAnsi="Arial" w:cs="Arial"/>
          <w:color w:val="000000" w:themeColor="text1"/>
          <w:sz w:val="22"/>
          <w:szCs w:val="22"/>
          <w:lang w:val="en-US"/>
        </w:rPr>
        <w:t xml:space="preserve">billion (USD </w:t>
      </w:r>
      <w:r w:rsidR="002B232B" w:rsidRPr="002B232B">
        <w:rPr>
          <w:rFonts w:ascii="Arial" w:hAnsi="Arial" w:cs="Arial"/>
          <w:b/>
          <w:color w:val="000000" w:themeColor="text1"/>
          <w:sz w:val="22"/>
          <w:szCs w:val="22"/>
          <w:lang w:val="en-US"/>
        </w:rPr>
        <w:t>457</w:t>
      </w:r>
      <w:r w:rsidRPr="002B232B">
        <w:rPr>
          <w:rFonts w:ascii="Arial" w:hAnsi="Arial" w:cs="Arial"/>
          <w:b/>
          <w:color w:val="000000" w:themeColor="text1"/>
          <w:sz w:val="22"/>
          <w:szCs w:val="22"/>
          <w:lang w:val="en-US"/>
        </w:rPr>
        <w:t xml:space="preserve"> </w:t>
      </w:r>
      <w:r w:rsidR="002B232B" w:rsidRPr="002B232B">
        <w:rPr>
          <w:rFonts w:ascii="Arial" w:hAnsi="Arial" w:cs="Arial"/>
          <w:color w:val="000000" w:themeColor="text1"/>
          <w:sz w:val="22"/>
          <w:szCs w:val="22"/>
          <w:lang w:val="en-US"/>
        </w:rPr>
        <w:t>billion) as of March 2016</w:t>
      </w:r>
      <w:r w:rsidRPr="002B232B">
        <w:rPr>
          <w:rFonts w:ascii="Arial" w:hAnsi="Arial" w:cs="Arial"/>
          <w:color w:val="000000" w:themeColor="text1"/>
          <w:sz w:val="22"/>
          <w:szCs w:val="22"/>
          <w:lang w:val="en-US"/>
        </w:rPr>
        <w:t xml:space="preserve"> with an increase of </w:t>
      </w:r>
      <w:r w:rsidR="002B232B" w:rsidRPr="002B232B">
        <w:rPr>
          <w:rFonts w:ascii="Arial" w:hAnsi="Arial" w:cs="Arial"/>
          <w:b/>
          <w:color w:val="000000" w:themeColor="text1"/>
          <w:sz w:val="22"/>
          <w:szCs w:val="22"/>
          <w:lang w:val="en-US"/>
        </w:rPr>
        <w:t>15</w:t>
      </w:r>
      <w:r w:rsidRPr="002B232B">
        <w:rPr>
          <w:rFonts w:ascii="Arial" w:hAnsi="Arial" w:cs="Arial"/>
          <w:color w:val="000000" w:themeColor="text1"/>
          <w:sz w:val="22"/>
          <w:szCs w:val="22"/>
          <w:lang w:val="en-US"/>
        </w:rPr>
        <w:t xml:space="preserve"> pe</w:t>
      </w:r>
      <w:r w:rsidR="002B232B" w:rsidRPr="002B232B">
        <w:rPr>
          <w:rFonts w:ascii="Arial" w:hAnsi="Arial" w:cs="Arial"/>
          <w:color w:val="000000" w:themeColor="text1"/>
          <w:sz w:val="22"/>
          <w:szCs w:val="22"/>
          <w:lang w:val="en-US"/>
        </w:rPr>
        <w:t>rcent compared to March 2015</w:t>
      </w:r>
      <w:r w:rsidRPr="002B232B">
        <w:rPr>
          <w:rFonts w:ascii="Arial" w:hAnsi="Arial" w:cs="Arial"/>
          <w:color w:val="000000" w:themeColor="text1"/>
          <w:sz w:val="22"/>
          <w:szCs w:val="22"/>
          <w:lang w:val="en-US"/>
        </w:rPr>
        <w:t xml:space="preserve">. Annual growth in deposits was </w:t>
      </w:r>
      <w:r w:rsidR="002B232B" w:rsidRPr="002B232B">
        <w:rPr>
          <w:rFonts w:ascii="Arial" w:hAnsi="Arial" w:cs="Arial"/>
          <w:b/>
          <w:color w:val="000000" w:themeColor="text1"/>
          <w:sz w:val="22"/>
          <w:szCs w:val="22"/>
          <w:lang w:val="en-US"/>
        </w:rPr>
        <w:t>6</w:t>
      </w:r>
      <w:r w:rsidRPr="002B232B">
        <w:rPr>
          <w:rFonts w:ascii="Arial" w:hAnsi="Arial" w:cs="Arial"/>
          <w:color w:val="000000" w:themeColor="text1"/>
          <w:sz w:val="22"/>
          <w:szCs w:val="22"/>
          <w:lang w:val="en-US"/>
        </w:rPr>
        <w:t xml:space="preserve"> percent</w:t>
      </w:r>
      <w:r w:rsidR="002B232B" w:rsidRPr="002B232B">
        <w:rPr>
          <w:rFonts w:ascii="Arial" w:hAnsi="Arial" w:cs="Arial"/>
          <w:color w:val="000000" w:themeColor="text1"/>
          <w:sz w:val="22"/>
          <w:szCs w:val="22"/>
          <w:lang w:val="en-US"/>
        </w:rPr>
        <w:t xml:space="preserve"> in dollar terms</w:t>
      </w:r>
      <w:r w:rsidR="00935A8A" w:rsidRPr="002B232B">
        <w:rPr>
          <w:rFonts w:ascii="Arial" w:hAnsi="Arial" w:cs="Arial"/>
          <w:color w:val="000000" w:themeColor="text1"/>
          <w:sz w:val="22"/>
          <w:szCs w:val="22"/>
          <w:lang w:val="en-US"/>
        </w:rPr>
        <w:t xml:space="preserve">. FX deposits increased by </w:t>
      </w:r>
      <w:r w:rsidR="002B232B" w:rsidRPr="002B232B">
        <w:rPr>
          <w:rFonts w:ascii="Arial" w:hAnsi="Arial" w:cs="Arial"/>
          <w:b/>
          <w:color w:val="000000" w:themeColor="text1"/>
          <w:sz w:val="22"/>
          <w:szCs w:val="22"/>
          <w:lang w:val="en-US"/>
        </w:rPr>
        <w:t>13</w:t>
      </w:r>
      <w:r w:rsidR="00935A8A" w:rsidRPr="002B232B">
        <w:rPr>
          <w:rFonts w:ascii="Arial" w:hAnsi="Arial" w:cs="Arial"/>
          <w:color w:val="000000" w:themeColor="text1"/>
          <w:sz w:val="22"/>
          <w:szCs w:val="22"/>
          <w:lang w:val="en-US"/>
        </w:rPr>
        <w:t xml:space="preserve"> percent in dolla</w:t>
      </w:r>
      <w:r w:rsidR="008C7959">
        <w:rPr>
          <w:rFonts w:ascii="Arial" w:hAnsi="Arial" w:cs="Arial"/>
          <w:color w:val="000000" w:themeColor="text1"/>
          <w:sz w:val="22"/>
          <w:szCs w:val="22"/>
          <w:lang w:val="en-US"/>
        </w:rPr>
        <w:t>r terms. The share of TL saving</w:t>
      </w:r>
      <w:r w:rsidR="00935A8A" w:rsidRPr="002B232B">
        <w:rPr>
          <w:rFonts w:ascii="Arial" w:hAnsi="Arial" w:cs="Arial"/>
          <w:color w:val="000000" w:themeColor="text1"/>
          <w:sz w:val="22"/>
          <w:szCs w:val="22"/>
          <w:lang w:val="en-US"/>
        </w:rPr>
        <w:t xml:space="preserve"> deposits in total deposits fell by </w:t>
      </w:r>
      <w:r w:rsidR="002B232B" w:rsidRPr="002B232B">
        <w:rPr>
          <w:rFonts w:ascii="Arial" w:hAnsi="Arial" w:cs="Arial"/>
          <w:color w:val="000000" w:themeColor="text1"/>
          <w:sz w:val="22"/>
          <w:szCs w:val="22"/>
          <w:lang w:val="en-US"/>
        </w:rPr>
        <w:t>2</w:t>
      </w:r>
      <w:r w:rsidR="00935A8A" w:rsidRPr="002B232B">
        <w:rPr>
          <w:rFonts w:ascii="Arial" w:hAnsi="Arial" w:cs="Arial"/>
          <w:color w:val="000000" w:themeColor="text1"/>
          <w:sz w:val="22"/>
          <w:szCs w:val="22"/>
          <w:lang w:val="en-US"/>
        </w:rPr>
        <w:t xml:space="preserve"> point to </w:t>
      </w:r>
      <w:r w:rsidR="00935A8A" w:rsidRPr="002B232B">
        <w:rPr>
          <w:rFonts w:ascii="Arial" w:hAnsi="Arial" w:cs="Arial"/>
          <w:b/>
          <w:color w:val="000000" w:themeColor="text1"/>
          <w:sz w:val="22"/>
          <w:szCs w:val="22"/>
          <w:lang w:val="en-US"/>
        </w:rPr>
        <w:t>5</w:t>
      </w:r>
      <w:r w:rsidR="002B232B" w:rsidRPr="002B232B">
        <w:rPr>
          <w:rFonts w:ascii="Arial" w:hAnsi="Arial" w:cs="Arial"/>
          <w:b/>
          <w:color w:val="000000" w:themeColor="text1"/>
          <w:sz w:val="22"/>
          <w:szCs w:val="22"/>
          <w:lang w:val="en-US"/>
        </w:rPr>
        <w:t>6</w:t>
      </w:r>
      <w:r w:rsidR="00935A8A" w:rsidRPr="002B232B">
        <w:rPr>
          <w:rFonts w:ascii="Arial" w:hAnsi="Arial" w:cs="Arial"/>
          <w:color w:val="000000" w:themeColor="text1"/>
          <w:sz w:val="22"/>
          <w:szCs w:val="22"/>
          <w:lang w:val="en-US"/>
        </w:rPr>
        <w:t xml:space="preserve"> percent compared to the same month of the previous year.</w:t>
      </w:r>
    </w:p>
    <w:p w:rsidR="00D62A7F" w:rsidRPr="00AC35F2" w:rsidRDefault="00D62A7F" w:rsidP="00C5615B">
      <w:pPr>
        <w:pStyle w:val="ListParagraph"/>
        <w:ind w:left="426"/>
        <w:rPr>
          <w:rFonts w:ascii="Arial" w:hAnsi="Arial" w:cs="Arial"/>
          <w:sz w:val="10"/>
          <w:szCs w:val="10"/>
          <w:lang w:val="en-US"/>
        </w:rPr>
      </w:pPr>
    </w:p>
    <w:p w:rsidR="00935A8A" w:rsidRPr="00AC35F2" w:rsidRDefault="00935A8A" w:rsidP="00935A8A">
      <w:pPr>
        <w:pStyle w:val="ListParagraph"/>
        <w:numPr>
          <w:ilvl w:val="0"/>
          <w:numId w:val="23"/>
        </w:numPr>
        <w:spacing w:before="120" w:after="120"/>
        <w:ind w:left="426"/>
        <w:jc w:val="both"/>
        <w:rPr>
          <w:rFonts w:ascii="Arial" w:hAnsi="Arial" w:cs="Arial"/>
          <w:sz w:val="22"/>
          <w:szCs w:val="22"/>
          <w:lang w:val="en-US"/>
        </w:rPr>
      </w:pPr>
      <w:r w:rsidRPr="00AC35F2">
        <w:rPr>
          <w:rFonts w:ascii="Arial" w:hAnsi="Arial" w:cs="Arial"/>
          <w:sz w:val="22"/>
          <w:szCs w:val="22"/>
          <w:lang w:val="en-US"/>
        </w:rPr>
        <w:t xml:space="preserve">Non-deposit funds increased by </w:t>
      </w:r>
      <w:r w:rsidRPr="00AC35F2">
        <w:rPr>
          <w:rFonts w:ascii="Arial" w:hAnsi="Arial" w:cs="Arial"/>
          <w:b/>
          <w:sz w:val="22"/>
          <w:szCs w:val="22"/>
          <w:lang w:val="en-US"/>
        </w:rPr>
        <w:t>9</w:t>
      </w:r>
      <w:r w:rsidRPr="00AC35F2">
        <w:rPr>
          <w:rFonts w:ascii="Arial" w:hAnsi="Arial" w:cs="Arial"/>
          <w:sz w:val="22"/>
          <w:szCs w:val="22"/>
          <w:lang w:val="en-US"/>
        </w:rPr>
        <w:t xml:space="preserve"> percent annually. The share of non-deposit funds in total liabilities </w:t>
      </w:r>
      <w:r w:rsidR="00AC35F2" w:rsidRPr="00AC35F2">
        <w:rPr>
          <w:rFonts w:ascii="Arial" w:hAnsi="Arial" w:cs="Arial"/>
          <w:sz w:val="22"/>
          <w:szCs w:val="22"/>
          <w:lang w:val="en-US"/>
        </w:rPr>
        <w:t>de</w:t>
      </w:r>
      <w:r w:rsidRPr="00AC35F2">
        <w:rPr>
          <w:rFonts w:ascii="Arial" w:hAnsi="Arial" w:cs="Arial"/>
          <w:sz w:val="22"/>
          <w:szCs w:val="22"/>
          <w:lang w:val="en-US"/>
        </w:rPr>
        <w:t xml:space="preserve">creased by 1 point to </w:t>
      </w:r>
      <w:r w:rsidRPr="00AC35F2">
        <w:rPr>
          <w:rFonts w:ascii="Arial" w:hAnsi="Arial" w:cs="Arial"/>
          <w:b/>
          <w:sz w:val="22"/>
          <w:szCs w:val="22"/>
          <w:lang w:val="en-US"/>
        </w:rPr>
        <w:t>2</w:t>
      </w:r>
      <w:r w:rsidR="00AC35F2" w:rsidRPr="00AC35F2">
        <w:rPr>
          <w:rFonts w:ascii="Arial" w:hAnsi="Arial" w:cs="Arial"/>
          <w:b/>
          <w:sz w:val="22"/>
          <w:szCs w:val="22"/>
          <w:lang w:val="en-US"/>
        </w:rPr>
        <w:t>5</w:t>
      </w:r>
      <w:r w:rsidRPr="00AC35F2">
        <w:rPr>
          <w:rFonts w:ascii="Arial" w:hAnsi="Arial" w:cs="Arial"/>
          <w:b/>
          <w:sz w:val="22"/>
          <w:szCs w:val="22"/>
          <w:lang w:val="en-US"/>
        </w:rPr>
        <w:t xml:space="preserve"> </w:t>
      </w:r>
      <w:r w:rsidRPr="00AC35F2">
        <w:rPr>
          <w:rFonts w:ascii="Arial" w:hAnsi="Arial" w:cs="Arial"/>
          <w:sz w:val="22"/>
          <w:szCs w:val="22"/>
          <w:lang w:val="en-US"/>
        </w:rPr>
        <w:t xml:space="preserve">percent </w:t>
      </w:r>
      <w:r w:rsidR="00BA7BF3" w:rsidRPr="00AC35F2">
        <w:rPr>
          <w:rFonts w:ascii="Arial" w:hAnsi="Arial" w:cs="Arial"/>
          <w:sz w:val="22"/>
          <w:szCs w:val="22"/>
          <w:lang w:val="en-US"/>
        </w:rPr>
        <w:t>compared to the previous year. S</w:t>
      </w:r>
      <w:r w:rsidRPr="00AC35F2">
        <w:rPr>
          <w:rFonts w:ascii="Arial" w:hAnsi="Arial" w:cs="Arial"/>
          <w:sz w:val="22"/>
          <w:szCs w:val="22"/>
          <w:lang w:val="en-US"/>
        </w:rPr>
        <w:t xml:space="preserve">yndication loans from foreign banks and issued securities had important role in the </w:t>
      </w:r>
      <w:r w:rsidR="00AC35F2" w:rsidRPr="00AC35F2">
        <w:rPr>
          <w:rFonts w:ascii="Arial" w:hAnsi="Arial" w:cs="Arial"/>
          <w:sz w:val="22"/>
          <w:szCs w:val="22"/>
          <w:lang w:val="en-US"/>
        </w:rPr>
        <w:t>slowdown</w:t>
      </w:r>
      <w:r w:rsidRPr="00AC35F2">
        <w:rPr>
          <w:rFonts w:ascii="Arial" w:hAnsi="Arial" w:cs="Arial"/>
          <w:sz w:val="22"/>
          <w:szCs w:val="22"/>
          <w:lang w:val="en-US"/>
        </w:rPr>
        <w:t xml:space="preserve"> in non-deposit funds</w:t>
      </w:r>
      <w:r w:rsidR="0050330B">
        <w:rPr>
          <w:rFonts w:ascii="Arial" w:hAnsi="Arial" w:cs="Arial"/>
          <w:sz w:val="22"/>
          <w:szCs w:val="22"/>
          <w:lang w:val="en-US"/>
        </w:rPr>
        <w:t>.</w:t>
      </w:r>
    </w:p>
    <w:p w:rsidR="00AC35F2" w:rsidRPr="00AC35F2" w:rsidRDefault="00AC35F2" w:rsidP="00AC35F2">
      <w:pPr>
        <w:pStyle w:val="ListParagraph"/>
        <w:rPr>
          <w:rFonts w:ascii="Arial" w:hAnsi="Arial" w:cs="Arial"/>
          <w:color w:val="FF0000"/>
          <w:sz w:val="22"/>
          <w:szCs w:val="22"/>
          <w:lang w:val="en-US"/>
        </w:rPr>
      </w:pPr>
    </w:p>
    <w:p w:rsidR="00935A8A" w:rsidRPr="00AC35F2" w:rsidRDefault="00935A8A" w:rsidP="00827823">
      <w:pPr>
        <w:pStyle w:val="ListParagraph"/>
        <w:numPr>
          <w:ilvl w:val="0"/>
          <w:numId w:val="23"/>
        </w:numPr>
        <w:spacing w:before="120" w:after="120"/>
        <w:ind w:left="426"/>
        <w:jc w:val="both"/>
        <w:rPr>
          <w:rFonts w:ascii="Arial" w:hAnsi="Arial" w:cs="Arial"/>
          <w:sz w:val="22"/>
          <w:szCs w:val="22"/>
          <w:lang w:val="en-US"/>
        </w:rPr>
      </w:pPr>
      <w:r w:rsidRPr="00AC35F2">
        <w:rPr>
          <w:rFonts w:ascii="Arial" w:hAnsi="Arial" w:cs="Arial"/>
          <w:sz w:val="22"/>
          <w:szCs w:val="22"/>
          <w:lang w:val="en-US"/>
        </w:rPr>
        <w:t xml:space="preserve">The annual growth rate </w:t>
      </w:r>
      <w:r w:rsidR="00BA7BF3" w:rsidRPr="00AC35F2">
        <w:rPr>
          <w:rFonts w:ascii="Arial" w:hAnsi="Arial" w:cs="Arial"/>
          <w:sz w:val="22"/>
          <w:szCs w:val="22"/>
          <w:lang w:val="en-US"/>
        </w:rPr>
        <w:t xml:space="preserve">of </w:t>
      </w:r>
      <w:r w:rsidRPr="00AC35F2">
        <w:rPr>
          <w:rFonts w:ascii="Arial" w:hAnsi="Arial" w:cs="Arial"/>
          <w:sz w:val="22"/>
          <w:szCs w:val="22"/>
          <w:lang w:val="en-US"/>
        </w:rPr>
        <w:t xml:space="preserve">shareholders' equity continued to </w:t>
      </w:r>
      <w:r w:rsidR="00AC35F2" w:rsidRPr="00AC35F2">
        <w:rPr>
          <w:rFonts w:ascii="Arial" w:hAnsi="Arial" w:cs="Arial"/>
          <w:sz w:val="22"/>
          <w:szCs w:val="22"/>
          <w:lang w:val="en-US"/>
        </w:rPr>
        <w:t>accelerate</w:t>
      </w:r>
      <w:r w:rsidRPr="00AC35F2">
        <w:rPr>
          <w:rFonts w:ascii="Arial" w:hAnsi="Arial" w:cs="Arial"/>
          <w:sz w:val="22"/>
          <w:szCs w:val="22"/>
          <w:lang w:val="en-US"/>
        </w:rPr>
        <w:t xml:space="preserve"> to </w:t>
      </w:r>
      <w:r w:rsidRPr="00AC35F2">
        <w:rPr>
          <w:rFonts w:ascii="Arial" w:hAnsi="Arial" w:cs="Arial"/>
          <w:b/>
          <w:sz w:val="22"/>
          <w:szCs w:val="22"/>
          <w:lang w:val="en-US"/>
        </w:rPr>
        <w:t>1</w:t>
      </w:r>
      <w:r w:rsidR="00AC35F2" w:rsidRPr="00AC35F2">
        <w:rPr>
          <w:rFonts w:ascii="Arial" w:hAnsi="Arial" w:cs="Arial"/>
          <w:b/>
          <w:sz w:val="22"/>
          <w:szCs w:val="22"/>
          <w:lang w:val="en-US"/>
        </w:rPr>
        <w:t>6</w:t>
      </w:r>
      <w:r w:rsidR="00BA7BF3" w:rsidRPr="00AC35F2">
        <w:rPr>
          <w:rFonts w:ascii="Arial" w:hAnsi="Arial" w:cs="Arial"/>
          <w:sz w:val="22"/>
          <w:szCs w:val="22"/>
          <w:lang w:val="en-US"/>
        </w:rPr>
        <w:t xml:space="preserve"> per</w:t>
      </w:r>
      <w:r w:rsidRPr="00AC35F2">
        <w:rPr>
          <w:rFonts w:ascii="Arial" w:hAnsi="Arial" w:cs="Arial"/>
          <w:sz w:val="22"/>
          <w:szCs w:val="22"/>
          <w:lang w:val="en-US"/>
        </w:rPr>
        <w:t xml:space="preserve">cent and </w:t>
      </w:r>
      <w:r w:rsidR="00AC35F2" w:rsidRPr="00AC35F2">
        <w:rPr>
          <w:rFonts w:ascii="Arial" w:hAnsi="Arial" w:cs="Arial"/>
          <w:sz w:val="22"/>
          <w:szCs w:val="22"/>
          <w:lang w:val="en-US"/>
        </w:rPr>
        <w:t>exceeded</w:t>
      </w:r>
      <w:r w:rsidRPr="00AC35F2">
        <w:rPr>
          <w:rFonts w:ascii="Arial" w:hAnsi="Arial" w:cs="Arial"/>
          <w:sz w:val="22"/>
          <w:szCs w:val="22"/>
          <w:lang w:val="en-US"/>
        </w:rPr>
        <w:t xml:space="preserve"> </w:t>
      </w:r>
      <w:r w:rsidR="00AC35F2" w:rsidRPr="00AC35F2">
        <w:rPr>
          <w:rFonts w:ascii="Arial" w:hAnsi="Arial" w:cs="Arial"/>
          <w:sz w:val="22"/>
          <w:szCs w:val="22"/>
          <w:lang w:val="en-US"/>
        </w:rPr>
        <w:t xml:space="preserve">to </w:t>
      </w:r>
      <w:r w:rsidRPr="00AC35F2">
        <w:rPr>
          <w:rFonts w:ascii="Arial" w:hAnsi="Arial" w:cs="Arial"/>
          <w:sz w:val="22"/>
          <w:szCs w:val="22"/>
          <w:lang w:val="en-US"/>
        </w:rPr>
        <w:t>the growth rate of the balance sheet</w:t>
      </w:r>
      <w:r w:rsidR="00827823" w:rsidRPr="00AC35F2">
        <w:rPr>
          <w:rFonts w:ascii="Arial" w:hAnsi="Arial" w:cs="Arial"/>
          <w:sz w:val="22"/>
          <w:szCs w:val="22"/>
          <w:lang w:val="en-US"/>
        </w:rPr>
        <w:t xml:space="preserve">. As of </w:t>
      </w:r>
      <w:r w:rsidR="00AC35F2" w:rsidRPr="00AC35F2">
        <w:rPr>
          <w:rFonts w:ascii="Arial" w:hAnsi="Arial" w:cs="Arial"/>
          <w:sz w:val="22"/>
          <w:szCs w:val="22"/>
          <w:lang w:val="en-US"/>
        </w:rPr>
        <w:t>March 2016</w:t>
      </w:r>
      <w:r w:rsidR="00827823" w:rsidRPr="00AC35F2">
        <w:rPr>
          <w:rFonts w:ascii="Arial" w:hAnsi="Arial" w:cs="Arial"/>
          <w:sz w:val="22"/>
          <w:szCs w:val="22"/>
          <w:lang w:val="en-US"/>
        </w:rPr>
        <w:t xml:space="preserve"> shareholders' equity was TL </w:t>
      </w:r>
      <w:r w:rsidR="00827823" w:rsidRPr="00AC35F2">
        <w:rPr>
          <w:rFonts w:ascii="Arial" w:hAnsi="Arial" w:cs="Arial"/>
          <w:b/>
          <w:sz w:val="22"/>
          <w:szCs w:val="22"/>
          <w:lang w:val="en-US"/>
        </w:rPr>
        <w:t>2</w:t>
      </w:r>
      <w:r w:rsidR="00AC35F2" w:rsidRPr="00AC35F2">
        <w:rPr>
          <w:rFonts w:ascii="Arial" w:hAnsi="Arial" w:cs="Arial"/>
          <w:b/>
          <w:sz w:val="22"/>
          <w:szCs w:val="22"/>
          <w:lang w:val="en-US"/>
        </w:rPr>
        <w:t>62</w:t>
      </w:r>
      <w:r w:rsidR="00827823" w:rsidRPr="00AC35F2">
        <w:rPr>
          <w:rFonts w:ascii="Arial" w:hAnsi="Arial" w:cs="Arial"/>
          <w:b/>
          <w:sz w:val="22"/>
          <w:szCs w:val="22"/>
          <w:lang w:val="en-US"/>
        </w:rPr>
        <w:t xml:space="preserve"> </w:t>
      </w:r>
      <w:r w:rsidR="00827823" w:rsidRPr="00AC35F2">
        <w:rPr>
          <w:rFonts w:ascii="Arial" w:hAnsi="Arial" w:cs="Arial"/>
          <w:sz w:val="22"/>
          <w:szCs w:val="22"/>
          <w:lang w:val="en-US"/>
        </w:rPr>
        <w:t xml:space="preserve">billion (USD </w:t>
      </w:r>
      <w:r w:rsidR="00AC35F2" w:rsidRPr="00AC35F2">
        <w:rPr>
          <w:rFonts w:ascii="Arial" w:hAnsi="Arial" w:cs="Arial"/>
          <w:b/>
          <w:sz w:val="22"/>
          <w:szCs w:val="22"/>
          <w:lang w:val="en-US"/>
        </w:rPr>
        <w:t>93</w:t>
      </w:r>
      <w:r w:rsidR="00827823" w:rsidRPr="00AC35F2">
        <w:rPr>
          <w:rFonts w:ascii="Arial" w:hAnsi="Arial" w:cs="Arial"/>
          <w:sz w:val="22"/>
          <w:szCs w:val="22"/>
          <w:lang w:val="en-US"/>
        </w:rPr>
        <w:t xml:space="preserve"> billion). Thus, the share of the shareholders' equity in total liabilities was </w:t>
      </w:r>
      <w:r w:rsidR="00AC35F2" w:rsidRPr="00AC35F2">
        <w:rPr>
          <w:rFonts w:ascii="Arial" w:hAnsi="Arial" w:cs="Arial"/>
          <w:b/>
          <w:sz w:val="22"/>
          <w:szCs w:val="22"/>
          <w:lang w:val="en-US"/>
        </w:rPr>
        <w:t>11</w:t>
      </w:r>
      <w:r w:rsidR="00827823" w:rsidRPr="00AC35F2">
        <w:rPr>
          <w:rFonts w:ascii="Arial" w:hAnsi="Arial" w:cs="Arial"/>
          <w:b/>
          <w:sz w:val="22"/>
          <w:szCs w:val="22"/>
          <w:lang w:val="en-US"/>
        </w:rPr>
        <w:t xml:space="preserve">.4 </w:t>
      </w:r>
      <w:r w:rsidR="00827823" w:rsidRPr="00AC35F2">
        <w:rPr>
          <w:rFonts w:ascii="Arial" w:hAnsi="Arial" w:cs="Arial"/>
          <w:sz w:val="22"/>
          <w:szCs w:val="22"/>
          <w:lang w:val="en-US"/>
        </w:rPr>
        <w:t>percent</w:t>
      </w:r>
      <w:r w:rsidR="0050330B">
        <w:rPr>
          <w:rFonts w:ascii="Arial" w:hAnsi="Arial" w:cs="Arial"/>
          <w:sz w:val="22"/>
          <w:szCs w:val="22"/>
          <w:lang w:val="en-US"/>
        </w:rPr>
        <w:t>.</w:t>
      </w:r>
    </w:p>
    <w:p w:rsidR="00C5615B" w:rsidRPr="009E2616" w:rsidRDefault="00C5615B" w:rsidP="00C5615B">
      <w:pPr>
        <w:pStyle w:val="ListParagraph"/>
        <w:ind w:left="426"/>
        <w:rPr>
          <w:rFonts w:ascii="Arial" w:hAnsi="Arial" w:cs="Arial"/>
          <w:color w:val="FF0000"/>
          <w:sz w:val="10"/>
          <w:szCs w:val="10"/>
          <w:lang w:val="en-US"/>
        </w:rPr>
      </w:pPr>
    </w:p>
    <w:p w:rsidR="00827823" w:rsidRPr="00AC35F2" w:rsidRDefault="00827823" w:rsidP="00827823">
      <w:pPr>
        <w:pStyle w:val="ListParagraph"/>
        <w:numPr>
          <w:ilvl w:val="0"/>
          <w:numId w:val="23"/>
        </w:numPr>
        <w:spacing w:before="120" w:after="120"/>
        <w:ind w:left="426"/>
        <w:jc w:val="both"/>
        <w:rPr>
          <w:rFonts w:ascii="Arial" w:hAnsi="Arial" w:cs="Arial"/>
          <w:sz w:val="22"/>
          <w:szCs w:val="22"/>
          <w:lang w:val="en-US"/>
        </w:rPr>
      </w:pPr>
      <w:r w:rsidRPr="00AC35F2">
        <w:rPr>
          <w:rFonts w:ascii="Arial" w:hAnsi="Arial" w:cs="Arial"/>
          <w:sz w:val="22"/>
          <w:szCs w:val="22"/>
          <w:lang w:val="en-US"/>
        </w:rPr>
        <w:t xml:space="preserve">In the first </w:t>
      </w:r>
      <w:r w:rsidR="00AC35F2" w:rsidRPr="00AC35F2">
        <w:rPr>
          <w:rFonts w:ascii="Arial" w:hAnsi="Arial" w:cs="Arial"/>
          <w:sz w:val="22"/>
          <w:szCs w:val="22"/>
          <w:lang w:val="en-US"/>
        </w:rPr>
        <w:t>three</w:t>
      </w:r>
      <w:r w:rsidRPr="00AC35F2">
        <w:rPr>
          <w:rFonts w:ascii="Arial" w:hAnsi="Arial" w:cs="Arial"/>
          <w:sz w:val="22"/>
          <w:szCs w:val="22"/>
          <w:lang w:val="en-US"/>
        </w:rPr>
        <w:t xml:space="preserve"> months of the year, interest income and interest expenses of the sector increased by </w:t>
      </w:r>
      <w:r w:rsidR="00AC35F2" w:rsidRPr="00AC35F2">
        <w:rPr>
          <w:rFonts w:ascii="Arial" w:hAnsi="Arial" w:cs="Arial"/>
          <w:b/>
          <w:sz w:val="22"/>
          <w:szCs w:val="22"/>
          <w:lang w:val="en-US"/>
        </w:rPr>
        <w:t>25</w:t>
      </w:r>
      <w:r w:rsidRPr="00AC35F2">
        <w:rPr>
          <w:rFonts w:ascii="Arial" w:hAnsi="Arial" w:cs="Arial"/>
          <w:sz w:val="22"/>
          <w:szCs w:val="22"/>
          <w:lang w:val="en-US"/>
        </w:rPr>
        <w:t xml:space="preserve"> and </w:t>
      </w:r>
      <w:r w:rsidR="00AC35F2" w:rsidRPr="00AC35F2">
        <w:rPr>
          <w:rFonts w:ascii="Arial" w:hAnsi="Arial" w:cs="Arial"/>
          <w:b/>
          <w:sz w:val="22"/>
          <w:szCs w:val="22"/>
          <w:lang w:val="en-US"/>
        </w:rPr>
        <w:t>28</w:t>
      </w:r>
      <w:r w:rsidRPr="00AC35F2">
        <w:rPr>
          <w:rFonts w:ascii="Arial" w:hAnsi="Arial" w:cs="Arial"/>
          <w:sz w:val="22"/>
          <w:szCs w:val="22"/>
          <w:lang w:val="en-US"/>
        </w:rPr>
        <w:t xml:space="preserve"> percent. Thus, net interest income increased by </w:t>
      </w:r>
      <w:r w:rsidR="00AC35F2" w:rsidRPr="00AC35F2">
        <w:rPr>
          <w:rFonts w:ascii="Arial" w:hAnsi="Arial" w:cs="Arial"/>
          <w:b/>
          <w:sz w:val="22"/>
          <w:szCs w:val="22"/>
          <w:lang w:val="en-US"/>
        </w:rPr>
        <w:t>22</w:t>
      </w:r>
      <w:r w:rsidRPr="00AC35F2">
        <w:rPr>
          <w:rFonts w:ascii="Arial" w:hAnsi="Arial" w:cs="Arial"/>
          <w:sz w:val="22"/>
          <w:szCs w:val="22"/>
          <w:lang w:val="en-US"/>
        </w:rPr>
        <w:t xml:space="preserve"> percent com</w:t>
      </w:r>
      <w:r w:rsidR="00AC35F2" w:rsidRPr="00AC35F2">
        <w:rPr>
          <w:rFonts w:ascii="Arial" w:hAnsi="Arial" w:cs="Arial"/>
          <w:sz w:val="22"/>
          <w:szCs w:val="22"/>
          <w:lang w:val="en-US"/>
        </w:rPr>
        <w:t>pared to the same period of 2015 in TL terms and</w:t>
      </w:r>
      <w:r w:rsidRPr="00AC35F2">
        <w:rPr>
          <w:rFonts w:ascii="Arial" w:hAnsi="Arial" w:cs="Arial"/>
          <w:sz w:val="22"/>
          <w:szCs w:val="22"/>
          <w:lang w:val="en-US"/>
        </w:rPr>
        <w:t xml:space="preserve"> </w:t>
      </w:r>
      <w:r w:rsidRPr="00AC35F2">
        <w:rPr>
          <w:rFonts w:ascii="Arial" w:hAnsi="Arial" w:cs="Arial"/>
          <w:b/>
          <w:sz w:val="22"/>
          <w:szCs w:val="22"/>
          <w:lang w:val="en-US"/>
        </w:rPr>
        <w:t>1</w:t>
      </w:r>
      <w:r w:rsidR="00AC35F2" w:rsidRPr="00AC35F2">
        <w:rPr>
          <w:rFonts w:ascii="Arial" w:hAnsi="Arial" w:cs="Arial"/>
          <w:b/>
          <w:sz w:val="22"/>
          <w:szCs w:val="22"/>
          <w:lang w:val="en-US"/>
        </w:rPr>
        <w:t>3</w:t>
      </w:r>
      <w:r w:rsidRPr="00AC35F2">
        <w:rPr>
          <w:rFonts w:ascii="Arial" w:hAnsi="Arial" w:cs="Arial"/>
          <w:b/>
          <w:sz w:val="22"/>
          <w:szCs w:val="22"/>
          <w:lang w:val="en-US"/>
        </w:rPr>
        <w:t xml:space="preserve"> </w:t>
      </w:r>
      <w:r w:rsidRPr="00AC35F2">
        <w:rPr>
          <w:rFonts w:ascii="Arial" w:hAnsi="Arial" w:cs="Arial"/>
          <w:sz w:val="22"/>
          <w:szCs w:val="22"/>
          <w:lang w:val="en-US"/>
        </w:rPr>
        <w:t xml:space="preserve">percent in </w:t>
      </w:r>
      <w:r w:rsidR="00AC35F2" w:rsidRPr="00AC35F2">
        <w:rPr>
          <w:rFonts w:ascii="Arial" w:hAnsi="Arial" w:cs="Arial"/>
          <w:sz w:val="22"/>
          <w:szCs w:val="22"/>
          <w:lang w:val="en-US"/>
        </w:rPr>
        <w:t xml:space="preserve">dollar </w:t>
      </w:r>
      <w:r w:rsidRPr="00AC35F2">
        <w:rPr>
          <w:rFonts w:ascii="Arial" w:hAnsi="Arial" w:cs="Arial"/>
          <w:sz w:val="22"/>
          <w:szCs w:val="22"/>
          <w:lang w:val="en-US"/>
        </w:rPr>
        <w:t xml:space="preserve">terms. </w:t>
      </w:r>
    </w:p>
    <w:p w:rsidR="00AC35F2" w:rsidRPr="00AC35F2" w:rsidRDefault="00AC35F2" w:rsidP="00AC35F2">
      <w:pPr>
        <w:pStyle w:val="ListParagraph"/>
        <w:spacing w:before="120" w:after="120"/>
        <w:ind w:left="426"/>
        <w:jc w:val="both"/>
        <w:rPr>
          <w:rFonts w:ascii="Arial" w:hAnsi="Arial" w:cs="Arial"/>
          <w:sz w:val="22"/>
          <w:szCs w:val="22"/>
          <w:lang w:val="en-US"/>
        </w:rPr>
      </w:pPr>
    </w:p>
    <w:p w:rsidR="00081186" w:rsidRPr="00AC35F2" w:rsidRDefault="00081186" w:rsidP="00AC35F2">
      <w:pPr>
        <w:pStyle w:val="ListParagraph"/>
        <w:numPr>
          <w:ilvl w:val="0"/>
          <w:numId w:val="23"/>
        </w:numPr>
        <w:spacing w:before="120" w:after="120"/>
        <w:ind w:left="426"/>
        <w:jc w:val="both"/>
        <w:rPr>
          <w:rFonts w:ascii="Arial" w:hAnsi="Arial" w:cs="Arial"/>
          <w:sz w:val="22"/>
          <w:szCs w:val="22"/>
          <w:lang w:val="en-US"/>
        </w:rPr>
      </w:pPr>
      <w:r w:rsidRPr="00AC35F2">
        <w:rPr>
          <w:rFonts w:ascii="Arial" w:hAnsi="Arial" w:cs="Arial"/>
          <w:sz w:val="22"/>
          <w:szCs w:val="22"/>
          <w:lang w:val="en-US"/>
        </w:rPr>
        <w:t xml:space="preserve">By </w:t>
      </w:r>
      <w:r w:rsidR="00AC35F2" w:rsidRPr="00AC35F2">
        <w:rPr>
          <w:rFonts w:ascii="Arial" w:hAnsi="Arial" w:cs="Arial"/>
          <w:sz w:val="22"/>
          <w:szCs w:val="22"/>
          <w:lang w:val="en-US"/>
        </w:rPr>
        <w:t>March 2016</w:t>
      </w:r>
      <w:r w:rsidRPr="00AC35F2">
        <w:rPr>
          <w:rFonts w:ascii="Arial" w:hAnsi="Arial" w:cs="Arial"/>
          <w:sz w:val="22"/>
          <w:szCs w:val="22"/>
          <w:lang w:val="en-US"/>
        </w:rPr>
        <w:t xml:space="preserve"> the total profit volume of the sector </w:t>
      </w:r>
      <w:r w:rsidR="00AC35F2" w:rsidRPr="00AC35F2">
        <w:rPr>
          <w:rFonts w:ascii="Arial" w:hAnsi="Arial" w:cs="Arial"/>
          <w:sz w:val="22"/>
          <w:szCs w:val="22"/>
          <w:lang w:val="en-US"/>
        </w:rPr>
        <w:t xml:space="preserve">rose by </w:t>
      </w:r>
      <w:r w:rsidR="00AC35F2" w:rsidRPr="00AC35F2">
        <w:rPr>
          <w:rFonts w:ascii="Arial" w:hAnsi="Arial" w:cs="Arial"/>
          <w:b/>
          <w:sz w:val="22"/>
          <w:szCs w:val="22"/>
          <w:lang w:val="en-US"/>
        </w:rPr>
        <w:t>26</w:t>
      </w:r>
      <w:r w:rsidR="00AC35F2" w:rsidRPr="00AC35F2">
        <w:rPr>
          <w:rFonts w:ascii="Arial" w:hAnsi="Arial" w:cs="Arial"/>
          <w:sz w:val="22"/>
          <w:szCs w:val="22"/>
          <w:lang w:val="en-US"/>
        </w:rPr>
        <w:t xml:space="preserve"> percent</w:t>
      </w:r>
      <w:r w:rsidRPr="00AC35F2">
        <w:rPr>
          <w:rFonts w:ascii="Arial" w:hAnsi="Arial" w:cs="Arial"/>
          <w:sz w:val="22"/>
          <w:szCs w:val="22"/>
          <w:lang w:val="en-US"/>
        </w:rPr>
        <w:t xml:space="preserve"> compared to the same period of the last year and realized as </w:t>
      </w:r>
      <w:r w:rsidRPr="00AC35F2">
        <w:rPr>
          <w:rFonts w:ascii="Arial" w:hAnsi="Arial" w:cs="Arial"/>
          <w:b/>
          <w:sz w:val="22"/>
          <w:szCs w:val="22"/>
          <w:lang w:val="en-US"/>
        </w:rPr>
        <w:t xml:space="preserve">TL </w:t>
      </w:r>
      <w:r w:rsidR="00AC35F2" w:rsidRPr="00AC35F2">
        <w:rPr>
          <w:rFonts w:ascii="Arial" w:hAnsi="Arial" w:cs="Arial"/>
          <w:b/>
          <w:sz w:val="22"/>
          <w:szCs w:val="22"/>
          <w:lang w:val="en-US"/>
        </w:rPr>
        <w:t>8</w:t>
      </w:r>
      <w:r w:rsidRPr="00AC35F2">
        <w:rPr>
          <w:rFonts w:ascii="Arial" w:hAnsi="Arial" w:cs="Arial"/>
          <w:b/>
          <w:sz w:val="22"/>
          <w:szCs w:val="22"/>
          <w:lang w:val="en-US"/>
        </w:rPr>
        <w:t>.</w:t>
      </w:r>
      <w:r w:rsidR="00AC35F2" w:rsidRPr="00AC35F2">
        <w:rPr>
          <w:rFonts w:ascii="Arial" w:hAnsi="Arial" w:cs="Arial"/>
          <w:b/>
          <w:sz w:val="22"/>
          <w:szCs w:val="22"/>
          <w:lang w:val="en-US"/>
        </w:rPr>
        <w:t>1</w:t>
      </w:r>
      <w:r w:rsidRPr="00AC35F2">
        <w:rPr>
          <w:rFonts w:ascii="Arial" w:hAnsi="Arial" w:cs="Arial"/>
          <w:b/>
          <w:sz w:val="22"/>
          <w:szCs w:val="22"/>
          <w:lang w:val="en-US"/>
        </w:rPr>
        <w:t xml:space="preserve"> billion</w:t>
      </w:r>
      <w:r w:rsidRPr="00AC35F2">
        <w:rPr>
          <w:rFonts w:ascii="Arial" w:hAnsi="Arial" w:cs="Arial"/>
          <w:sz w:val="22"/>
          <w:szCs w:val="22"/>
          <w:lang w:val="en-US"/>
        </w:rPr>
        <w:t>.</w:t>
      </w:r>
      <w:r w:rsidR="004724A9" w:rsidRPr="00AC35F2">
        <w:rPr>
          <w:rFonts w:ascii="Arial" w:hAnsi="Arial" w:cs="Arial"/>
          <w:sz w:val="22"/>
          <w:szCs w:val="22"/>
          <w:lang w:val="en-US"/>
        </w:rPr>
        <w:t xml:space="preserve"> Thus, the average return on equity was </w:t>
      </w:r>
      <w:r w:rsidR="004724A9" w:rsidRPr="00AC35F2">
        <w:rPr>
          <w:rFonts w:ascii="Arial" w:hAnsi="Arial" w:cs="Arial"/>
          <w:b/>
          <w:sz w:val="22"/>
          <w:szCs w:val="22"/>
          <w:lang w:val="en-US"/>
        </w:rPr>
        <w:t>11</w:t>
      </w:r>
      <w:r w:rsidR="00AC35F2" w:rsidRPr="00AC35F2">
        <w:rPr>
          <w:rFonts w:ascii="Arial" w:hAnsi="Arial" w:cs="Arial"/>
          <w:b/>
          <w:sz w:val="22"/>
          <w:szCs w:val="22"/>
          <w:lang w:val="en-US"/>
        </w:rPr>
        <w:t>.2</w:t>
      </w:r>
      <w:r w:rsidR="004724A9" w:rsidRPr="00AC35F2">
        <w:rPr>
          <w:rFonts w:ascii="Arial" w:hAnsi="Arial" w:cs="Arial"/>
          <w:sz w:val="22"/>
          <w:szCs w:val="22"/>
          <w:lang w:val="en-US"/>
        </w:rPr>
        <w:t xml:space="preserve"> percent, and the average return on assets was </w:t>
      </w:r>
      <w:r w:rsidR="004724A9" w:rsidRPr="00AC35F2">
        <w:rPr>
          <w:rFonts w:ascii="Arial" w:hAnsi="Arial" w:cs="Arial"/>
          <w:b/>
          <w:sz w:val="22"/>
          <w:szCs w:val="22"/>
          <w:lang w:val="en-US"/>
        </w:rPr>
        <w:t>1.</w:t>
      </w:r>
      <w:r w:rsidR="00AC35F2" w:rsidRPr="00AC35F2">
        <w:rPr>
          <w:rFonts w:ascii="Arial" w:hAnsi="Arial" w:cs="Arial"/>
          <w:b/>
          <w:sz w:val="22"/>
          <w:szCs w:val="22"/>
          <w:lang w:val="en-US"/>
        </w:rPr>
        <w:t>3</w:t>
      </w:r>
      <w:r w:rsidR="004724A9" w:rsidRPr="00AC35F2">
        <w:rPr>
          <w:rFonts w:ascii="Arial" w:hAnsi="Arial" w:cs="Arial"/>
          <w:sz w:val="22"/>
          <w:szCs w:val="22"/>
          <w:lang w:val="en-US"/>
        </w:rPr>
        <w:t xml:space="preserve"> percent.</w:t>
      </w:r>
      <w:r w:rsidR="00AC35F2" w:rsidRPr="00AC35F2">
        <w:rPr>
          <w:rFonts w:ascii="Arial" w:hAnsi="Arial" w:cs="Arial"/>
          <w:sz w:val="22"/>
          <w:szCs w:val="22"/>
          <w:lang w:val="en-US"/>
        </w:rPr>
        <w:t xml:space="preserve"> Improvement in int</w:t>
      </w:r>
      <w:r w:rsidR="008C7959">
        <w:rPr>
          <w:rFonts w:ascii="Arial" w:hAnsi="Arial" w:cs="Arial"/>
          <w:sz w:val="22"/>
          <w:szCs w:val="22"/>
          <w:lang w:val="en-US"/>
        </w:rPr>
        <w:t>erest margin was the main factor of relatively higher</w:t>
      </w:r>
      <w:r w:rsidR="00AC35F2" w:rsidRPr="00AC35F2">
        <w:rPr>
          <w:rFonts w:ascii="Arial" w:hAnsi="Arial" w:cs="Arial"/>
          <w:sz w:val="22"/>
          <w:szCs w:val="22"/>
          <w:lang w:val="en-US"/>
        </w:rPr>
        <w:t xml:space="preserve"> profitability</w:t>
      </w:r>
      <w:r w:rsidR="008C7959">
        <w:rPr>
          <w:rFonts w:ascii="Arial" w:hAnsi="Arial" w:cs="Arial"/>
          <w:sz w:val="22"/>
          <w:szCs w:val="22"/>
          <w:lang w:val="en-US"/>
        </w:rPr>
        <w:t>.</w:t>
      </w:r>
    </w:p>
    <w:p w:rsidR="00AC35F2" w:rsidRPr="00AC35F2" w:rsidRDefault="00AC35F2" w:rsidP="00AC35F2">
      <w:pPr>
        <w:pStyle w:val="ListParagraph"/>
        <w:rPr>
          <w:rFonts w:ascii="Arial" w:hAnsi="Arial" w:cs="Arial"/>
          <w:color w:val="FF0000"/>
          <w:sz w:val="22"/>
          <w:szCs w:val="22"/>
          <w:lang w:val="en-US"/>
        </w:rPr>
      </w:pPr>
    </w:p>
    <w:p w:rsidR="00614E5B" w:rsidRPr="00731044" w:rsidRDefault="004724A9" w:rsidP="00614E5B">
      <w:pPr>
        <w:pStyle w:val="ListParagraph"/>
        <w:numPr>
          <w:ilvl w:val="0"/>
          <w:numId w:val="23"/>
        </w:numPr>
        <w:spacing w:before="120" w:after="120"/>
        <w:ind w:left="426"/>
        <w:jc w:val="both"/>
        <w:rPr>
          <w:rFonts w:ascii="Arial" w:hAnsi="Arial" w:cs="Arial"/>
          <w:sz w:val="22"/>
          <w:szCs w:val="22"/>
          <w:lang w:val="en-US"/>
        </w:rPr>
      </w:pPr>
      <w:r w:rsidRPr="00424DF3">
        <w:rPr>
          <w:rFonts w:ascii="Arial" w:hAnsi="Arial" w:cs="Arial"/>
          <w:sz w:val="22"/>
          <w:szCs w:val="22"/>
          <w:lang w:val="en-US"/>
        </w:rPr>
        <w:t xml:space="preserve">Net FX short position of the banking sector realized as </w:t>
      </w:r>
      <w:r w:rsidR="00424DF3" w:rsidRPr="00424DF3">
        <w:rPr>
          <w:rFonts w:ascii="Arial" w:hAnsi="Arial" w:cs="Arial"/>
          <w:b/>
          <w:sz w:val="22"/>
          <w:szCs w:val="22"/>
          <w:lang w:val="en-US"/>
        </w:rPr>
        <w:t>TL</w:t>
      </w:r>
      <w:r w:rsidRPr="00424DF3">
        <w:rPr>
          <w:rFonts w:ascii="Arial" w:hAnsi="Arial" w:cs="Arial"/>
          <w:b/>
          <w:sz w:val="22"/>
          <w:szCs w:val="22"/>
          <w:lang w:val="en-US"/>
        </w:rPr>
        <w:t xml:space="preserve"> </w:t>
      </w:r>
      <w:r w:rsidR="00424DF3" w:rsidRPr="00424DF3">
        <w:rPr>
          <w:rFonts w:ascii="Arial" w:hAnsi="Arial" w:cs="Arial"/>
          <w:b/>
          <w:sz w:val="22"/>
          <w:szCs w:val="22"/>
          <w:lang w:val="en-US"/>
        </w:rPr>
        <w:t>-1</w:t>
      </w:r>
      <w:r w:rsidR="00731044">
        <w:rPr>
          <w:rFonts w:ascii="Arial" w:hAnsi="Arial" w:cs="Arial"/>
          <w:b/>
          <w:sz w:val="22"/>
          <w:szCs w:val="22"/>
          <w:lang w:val="en-US"/>
        </w:rPr>
        <w:t>.</w:t>
      </w:r>
      <w:r w:rsidR="00424DF3" w:rsidRPr="00424DF3">
        <w:rPr>
          <w:rFonts w:ascii="Arial" w:hAnsi="Arial" w:cs="Arial"/>
          <w:b/>
          <w:sz w:val="22"/>
          <w:szCs w:val="22"/>
          <w:lang w:val="en-US"/>
        </w:rPr>
        <w:t>9</w:t>
      </w:r>
      <w:r w:rsidRPr="00424DF3">
        <w:rPr>
          <w:rFonts w:ascii="Arial" w:hAnsi="Arial" w:cs="Arial"/>
          <w:b/>
          <w:sz w:val="22"/>
          <w:szCs w:val="22"/>
          <w:lang w:val="en-US"/>
        </w:rPr>
        <w:t xml:space="preserve"> billion</w:t>
      </w:r>
      <w:r w:rsidRPr="00424DF3">
        <w:rPr>
          <w:rFonts w:ascii="Arial" w:hAnsi="Arial" w:cs="Arial"/>
          <w:sz w:val="22"/>
          <w:szCs w:val="22"/>
          <w:lang w:val="en-US"/>
        </w:rPr>
        <w:t xml:space="preserve">. The ratio of net </w:t>
      </w:r>
      <w:r w:rsidRPr="00731044">
        <w:rPr>
          <w:rFonts w:ascii="Arial" w:hAnsi="Arial" w:cs="Arial"/>
          <w:sz w:val="22"/>
          <w:szCs w:val="22"/>
          <w:lang w:val="en-US"/>
        </w:rPr>
        <w:t>FX position to shareholders</w:t>
      </w:r>
      <w:r w:rsidR="00424DF3" w:rsidRPr="00731044">
        <w:rPr>
          <w:rFonts w:ascii="Arial" w:hAnsi="Arial" w:cs="Arial"/>
          <w:sz w:val="22"/>
          <w:szCs w:val="22"/>
          <w:lang w:val="en-US"/>
        </w:rPr>
        <w:t>’</w:t>
      </w:r>
      <w:r w:rsidRPr="00731044">
        <w:rPr>
          <w:rFonts w:ascii="Arial" w:hAnsi="Arial" w:cs="Arial"/>
          <w:sz w:val="22"/>
          <w:szCs w:val="22"/>
          <w:lang w:val="en-US"/>
        </w:rPr>
        <w:t xml:space="preserve"> equity is </w:t>
      </w:r>
      <w:r w:rsidR="00424DF3" w:rsidRPr="00731044">
        <w:rPr>
          <w:rFonts w:ascii="Arial" w:hAnsi="Arial" w:cs="Arial"/>
          <w:b/>
          <w:sz w:val="22"/>
          <w:szCs w:val="22"/>
          <w:lang w:val="en-US"/>
        </w:rPr>
        <w:t>0</w:t>
      </w:r>
      <w:r w:rsidR="00731044">
        <w:rPr>
          <w:rFonts w:ascii="Arial" w:hAnsi="Arial" w:cs="Arial"/>
          <w:b/>
          <w:sz w:val="22"/>
          <w:szCs w:val="22"/>
          <w:lang w:val="en-US"/>
        </w:rPr>
        <w:t>.6</w:t>
      </w:r>
      <w:r w:rsidRPr="00731044">
        <w:rPr>
          <w:rFonts w:ascii="Arial" w:hAnsi="Arial" w:cs="Arial"/>
          <w:b/>
          <w:sz w:val="22"/>
          <w:szCs w:val="22"/>
          <w:lang w:val="en-US"/>
        </w:rPr>
        <w:t xml:space="preserve"> </w:t>
      </w:r>
      <w:r w:rsidRPr="00731044">
        <w:rPr>
          <w:rFonts w:ascii="Arial" w:hAnsi="Arial" w:cs="Arial"/>
          <w:sz w:val="22"/>
          <w:szCs w:val="22"/>
          <w:lang w:val="en-US"/>
        </w:rPr>
        <w:t>percent</w:t>
      </w:r>
      <w:r w:rsidR="00424DF3" w:rsidRPr="00731044">
        <w:rPr>
          <w:rFonts w:ascii="Arial" w:hAnsi="Arial" w:cs="Arial"/>
          <w:sz w:val="22"/>
          <w:szCs w:val="22"/>
          <w:lang w:val="en-US"/>
        </w:rPr>
        <w:t xml:space="preserve"> as of March 2016</w:t>
      </w:r>
      <w:r w:rsidRPr="00731044">
        <w:rPr>
          <w:rFonts w:ascii="Arial" w:hAnsi="Arial" w:cs="Arial"/>
          <w:sz w:val="22"/>
          <w:szCs w:val="22"/>
          <w:lang w:val="en-US"/>
        </w:rPr>
        <w:t>.</w:t>
      </w:r>
    </w:p>
    <w:p w:rsidR="00614E5B" w:rsidRPr="00731044" w:rsidRDefault="00614E5B" w:rsidP="00614E5B">
      <w:pPr>
        <w:pStyle w:val="ListParagraph"/>
        <w:rPr>
          <w:rFonts w:ascii="Arial" w:hAnsi="Arial" w:cs="Arial"/>
          <w:sz w:val="22"/>
          <w:szCs w:val="22"/>
          <w:lang w:val="en-US"/>
        </w:rPr>
      </w:pPr>
    </w:p>
    <w:p w:rsidR="00614E5B" w:rsidRPr="00731044" w:rsidRDefault="00614E5B" w:rsidP="00614E5B">
      <w:pPr>
        <w:pStyle w:val="ListParagraph"/>
        <w:numPr>
          <w:ilvl w:val="0"/>
          <w:numId w:val="23"/>
        </w:numPr>
        <w:spacing w:before="120" w:after="120"/>
        <w:ind w:left="426"/>
        <w:jc w:val="both"/>
        <w:rPr>
          <w:rFonts w:ascii="Arial" w:hAnsi="Arial" w:cs="Arial"/>
          <w:sz w:val="22"/>
          <w:szCs w:val="22"/>
          <w:lang w:val="en-US"/>
        </w:rPr>
      </w:pPr>
      <w:r w:rsidRPr="00731044">
        <w:rPr>
          <w:rFonts w:ascii="Arial" w:hAnsi="Arial" w:cs="Arial"/>
          <w:sz w:val="22"/>
          <w:szCs w:val="22"/>
          <w:lang w:val="en-US"/>
        </w:rPr>
        <w:t xml:space="preserve">Considering maturity, </w:t>
      </w:r>
      <w:r w:rsidRPr="00731044">
        <w:rPr>
          <w:rFonts w:ascii="Arial" w:hAnsi="Arial" w:cs="Arial"/>
          <w:b/>
          <w:sz w:val="22"/>
          <w:szCs w:val="22"/>
          <w:lang w:val="en-US"/>
        </w:rPr>
        <w:t>5</w:t>
      </w:r>
      <w:r w:rsidR="00731044" w:rsidRPr="00731044">
        <w:rPr>
          <w:rFonts w:ascii="Arial" w:hAnsi="Arial" w:cs="Arial"/>
          <w:b/>
          <w:sz w:val="22"/>
          <w:szCs w:val="22"/>
          <w:lang w:val="en-US"/>
        </w:rPr>
        <w:t>0</w:t>
      </w:r>
      <w:r w:rsidRPr="00731044">
        <w:rPr>
          <w:rFonts w:ascii="Arial" w:hAnsi="Arial" w:cs="Arial"/>
          <w:sz w:val="22"/>
          <w:szCs w:val="22"/>
          <w:lang w:val="en-US"/>
        </w:rPr>
        <w:t xml:space="preserve"> percent of total assets and </w:t>
      </w:r>
      <w:r w:rsidRPr="00731044">
        <w:rPr>
          <w:rFonts w:ascii="Arial" w:hAnsi="Arial" w:cs="Arial"/>
          <w:b/>
          <w:sz w:val="22"/>
          <w:szCs w:val="22"/>
          <w:lang w:val="en-US"/>
        </w:rPr>
        <w:t>7</w:t>
      </w:r>
      <w:r w:rsidR="00731044" w:rsidRPr="00731044">
        <w:rPr>
          <w:rFonts w:ascii="Arial" w:hAnsi="Arial" w:cs="Arial"/>
          <w:b/>
          <w:sz w:val="22"/>
          <w:szCs w:val="22"/>
          <w:lang w:val="en-US"/>
        </w:rPr>
        <w:t>6</w:t>
      </w:r>
      <w:r w:rsidRPr="00731044">
        <w:rPr>
          <w:rFonts w:ascii="Arial" w:hAnsi="Arial" w:cs="Arial"/>
          <w:sz w:val="22"/>
          <w:szCs w:val="22"/>
          <w:lang w:val="en-US"/>
        </w:rPr>
        <w:t xml:space="preserve"> percent of total liabilities had </w:t>
      </w:r>
      <w:r w:rsidR="00BA7BF3" w:rsidRPr="00731044">
        <w:rPr>
          <w:rFonts w:ascii="Arial" w:hAnsi="Arial" w:cs="Arial"/>
          <w:sz w:val="22"/>
          <w:szCs w:val="22"/>
          <w:lang w:val="en-US"/>
        </w:rPr>
        <w:t>a maturity of less than 1 year.</w:t>
      </w:r>
      <w:r w:rsidRPr="00731044">
        <w:rPr>
          <w:rFonts w:ascii="Arial" w:hAnsi="Arial" w:cs="Arial"/>
          <w:sz w:val="22"/>
          <w:szCs w:val="22"/>
          <w:lang w:val="en-US"/>
        </w:rPr>
        <w:t xml:space="preserve"> The assets and liabilities with a more than 5 year maturity have a </w:t>
      </w:r>
      <w:r w:rsidRPr="00731044">
        <w:rPr>
          <w:rFonts w:ascii="Arial" w:hAnsi="Arial" w:cs="Arial"/>
          <w:b/>
          <w:sz w:val="22"/>
          <w:szCs w:val="22"/>
          <w:lang w:val="en-US"/>
        </w:rPr>
        <w:t>1</w:t>
      </w:r>
      <w:r w:rsidR="00731044" w:rsidRPr="00731044">
        <w:rPr>
          <w:rFonts w:ascii="Arial" w:hAnsi="Arial" w:cs="Arial"/>
          <w:b/>
          <w:sz w:val="22"/>
          <w:szCs w:val="22"/>
          <w:lang w:val="en-US"/>
        </w:rPr>
        <w:t>5</w:t>
      </w:r>
      <w:r w:rsidRPr="00731044">
        <w:rPr>
          <w:rFonts w:ascii="Arial" w:hAnsi="Arial" w:cs="Arial"/>
          <w:sz w:val="22"/>
          <w:szCs w:val="22"/>
          <w:lang w:val="en-US"/>
        </w:rPr>
        <w:t xml:space="preserve"> percent and </w:t>
      </w:r>
      <w:r w:rsidRPr="00731044">
        <w:rPr>
          <w:rFonts w:ascii="Arial" w:hAnsi="Arial" w:cs="Arial"/>
          <w:b/>
          <w:sz w:val="22"/>
          <w:szCs w:val="22"/>
          <w:lang w:val="en-US"/>
        </w:rPr>
        <w:t>4</w:t>
      </w:r>
      <w:r w:rsidRPr="00731044">
        <w:rPr>
          <w:rFonts w:ascii="Arial" w:hAnsi="Arial" w:cs="Arial"/>
          <w:sz w:val="22"/>
          <w:szCs w:val="22"/>
          <w:lang w:val="en-US"/>
        </w:rPr>
        <w:t xml:space="preserve"> percent shares in total assets and in total liabilities, respectively. </w:t>
      </w:r>
    </w:p>
    <w:p w:rsidR="00424DF3" w:rsidRPr="00424DF3" w:rsidRDefault="00424DF3" w:rsidP="00424DF3">
      <w:pPr>
        <w:pStyle w:val="ListParagraph"/>
        <w:rPr>
          <w:rFonts w:ascii="Arial" w:hAnsi="Arial" w:cs="Arial"/>
          <w:color w:val="FF0000"/>
          <w:sz w:val="22"/>
          <w:szCs w:val="22"/>
          <w:lang w:val="en-US"/>
        </w:rPr>
      </w:pPr>
    </w:p>
    <w:p w:rsidR="000E2381" w:rsidRPr="002B232B" w:rsidRDefault="00D25884" w:rsidP="00C06DDF">
      <w:pPr>
        <w:spacing w:before="120" w:after="120"/>
        <w:jc w:val="both"/>
        <w:rPr>
          <w:rFonts w:ascii="Arial" w:hAnsi="Arial" w:cs="Arial"/>
          <w:b/>
          <w:color w:val="000000" w:themeColor="text1"/>
          <w:sz w:val="22"/>
          <w:szCs w:val="22"/>
          <w:lang w:val="en-US"/>
        </w:rPr>
      </w:pPr>
      <w:r w:rsidRPr="002B232B">
        <w:rPr>
          <w:rFonts w:ascii="Arial" w:hAnsi="Arial" w:cs="Arial"/>
          <w:b/>
          <w:color w:val="000000" w:themeColor="text1"/>
          <w:sz w:val="22"/>
          <w:szCs w:val="22"/>
          <w:lang w:val="en-US"/>
        </w:rPr>
        <w:t>3</w:t>
      </w:r>
      <w:r w:rsidR="000E2381" w:rsidRPr="002B232B">
        <w:rPr>
          <w:rFonts w:ascii="Arial" w:hAnsi="Arial" w:cs="Arial"/>
          <w:b/>
          <w:color w:val="000000" w:themeColor="text1"/>
          <w:sz w:val="22"/>
          <w:szCs w:val="22"/>
          <w:lang w:val="en-US"/>
        </w:rPr>
        <w:t xml:space="preserve">. </w:t>
      </w:r>
      <w:r w:rsidR="00614E5B" w:rsidRPr="002B232B">
        <w:rPr>
          <w:rFonts w:ascii="Arial" w:hAnsi="Arial" w:cs="Arial"/>
          <w:b/>
          <w:color w:val="000000" w:themeColor="text1"/>
          <w:sz w:val="22"/>
          <w:szCs w:val="22"/>
          <w:lang w:val="en-US"/>
        </w:rPr>
        <w:t>Selected Issues</w:t>
      </w:r>
    </w:p>
    <w:p w:rsidR="00614E5B" w:rsidRPr="002B232B" w:rsidRDefault="00614E5B" w:rsidP="00C5615B">
      <w:pPr>
        <w:pStyle w:val="ListParagraph"/>
        <w:spacing w:before="120" w:after="120"/>
        <w:ind w:left="426"/>
        <w:jc w:val="both"/>
        <w:rPr>
          <w:rFonts w:ascii="Arial" w:hAnsi="Arial" w:cs="Arial"/>
          <w:color w:val="000000" w:themeColor="text1"/>
          <w:sz w:val="10"/>
          <w:szCs w:val="10"/>
          <w:lang w:val="en-US"/>
        </w:rPr>
      </w:pPr>
    </w:p>
    <w:p w:rsidR="00614E5B" w:rsidRPr="002B232B" w:rsidRDefault="00614E5B" w:rsidP="00614E5B">
      <w:pPr>
        <w:pStyle w:val="ListParagraph"/>
        <w:numPr>
          <w:ilvl w:val="0"/>
          <w:numId w:val="23"/>
        </w:numPr>
        <w:spacing w:before="120" w:after="120"/>
        <w:ind w:left="426"/>
        <w:jc w:val="both"/>
        <w:rPr>
          <w:rFonts w:ascii="Arial" w:hAnsi="Arial" w:cs="Arial"/>
          <w:color w:val="000000" w:themeColor="text1"/>
          <w:sz w:val="22"/>
          <w:szCs w:val="22"/>
          <w:lang w:val="en-US"/>
        </w:rPr>
      </w:pPr>
      <w:r w:rsidRPr="002B232B">
        <w:rPr>
          <w:rFonts w:ascii="Arial" w:hAnsi="Arial" w:cs="Arial"/>
          <w:color w:val="000000" w:themeColor="text1"/>
          <w:sz w:val="22"/>
          <w:szCs w:val="22"/>
          <w:lang w:val="en-US"/>
        </w:rPr>
        <w:t xml:space="preserve">As of </w:t>
      </w:r>
      <w:r w:rsidR="002B232B" w:rsidRPr="002B232B">
        <w:rPr>
          <w:rFonts w:ascii="Arial" w:hAnsi="Arial" w:cs="Arial"/>
          <w:color w:val="000000" w:themeColor="text1"/>
          <w:sz w:val="22"/>
          <w:szCs w:val="22"/>
          <w:lang w:val="en-US"/>
        </w:rPr>
        <w:t>March 2016</w:t>
      </w:r>
      <w:r w:rsidRPr="002B232B">
        <w:rPr>
          <w:rFonts w:ascii="Arial" w:hAnsi="Arial" w:cs="Arial"/>
          <w:color w:val="000000" w:themeColor="text1"/>
          <w:sz w:val="22"/>
          <w:szCs w:val="22"/>
          <w:lang w:val="en-US"/>
        </w:rPr>
        <w:t xml:space="preserve">, 47 banks were operating in Turkey. The number of branches </w:t>
      </w:r>
      <w:r w:rsidR="002B232B" w:rsidRPr="002B232B">
        <w:rPr>
          <w:rFonts w:ascii="Arial" w:hAnsi="Arial" w:cs="Arial"/>
          <w:color w:val="000000" w:themeColor="text1"/>
          <w:sz w:val="22"/>
          <w:szCs w:val="22"/>
          <w:lang w:val="en-US"/>
        </w:rPr>
        <w:t>de</w:t>
      </w:r>
      <w:r w:rsidRPr="002B232B">
        <w:rPr>
          <w:rFonts w:ascii="Arial" w:hAnsi="Arial" w:cs="Arial"/>
          <w:color w:val="000000" w:themeColor="text1"/>
          <w:sz w:val="22"/>
          <w:szCs w:val="22"/>
          <w:lang w:val="en-US"/>
        </w:rPr>
        <w:t xml:space="preserve">creased by </w:t>
      </w:r>
      <w:r w:rsidR="002B232B" w:rsidRPr="002B232B">
        <w:rPr>
          <w:rFonts w:ascii="Arial" w:hAnsi="Arial" w:cs="Arial"/>
          <w:color w:val="000000" w:themeColor="text1"/>
          <w:sz w:val="22"/>
          <w:szCs w:val="22"/>
          <w:lang w:val="en-US"/>
        </w:rPr>
        <w:t>52</w:t>
      </w:r>
      <w:r w:rsidRPr="002B232B">
        <w:rPr>
          <w:rFonts w:ascii="Arial" w:hAnsi="Arial" w:cs="Arial"/>
          <w:color w:val="000000" w:themeColor="text1"/>
          <w:sz w:val="22"/>
          <w:szCs w:val="22"/>
          <w:lang w:val="en-US"/>
        </w:rPr>
        <w:t xml:space="preserve"> to </w:t>
      </w:r>
      <w:r w:rsidRPr="002B232B">
        <w:rPr>
          <w:rFonts w:ascii="Arial" w:hAnsi="Arial" w:cs="Arial"/>
          <w:b/>
          <w:color w:val="000000" w:themeColor="text1"/>
          <w:sz w:val="22"/>
          <w:szCs w:val="22"/>
          <w:lang w:val="en-US"/>
        </w:rPr>
        <w:t>11,</w:t>
      </w:r>
      <w:r w:rsidR="002B232B" w:rsidRPr="002B232B">
        <w:rPr>
          <w:rFonts w:ascii="Arial" w:hAnsi="Arial" w:cs="Arial"/>
          <w:b/>
          <w:color w:val="000000" w:themeColor="text1"/>
          <w:sz w:val="22"/>
          <w:szCs w:val="22"/>
          <w:lang w:val="en-US"/>
        </w:rPr>
        <w:t>181</w:t>
      </w:r>
      <w:r w:rsidRPr="002B232B">
        <w:rPr>
          <w:rFonts w:ascii="Arial" w:hAnsi="Arial" w:cs="Arial"/>
          <w:color w:val="000000" w:themeColor="text1"/>
          <w:sz w:val="22"/>
          <w:szCs w:val="22"/>
          <w:lang w:val="en-US"/>
        </w:rPr>
        <w:t xml:space="preserve"> and the number of employees </w:t>
      </w:r>
      <w:r w:rsidR="002B232B" w:rsidRPr="002B232B">
        <w:rPr>
          <w:rFonts w:ascii="Arial" w:hAnsi="Arial" w:cs="Arial"/>
          <w:color w:val="000000" w:themeColor="text1"/>
          <w:sz w:val="22"/>
          <w:szCs w:val="22"/>
          <w:lang w:val="en-US"/>
        </w:rPr>
        <w:t>de</w:t>
      </w:r>
      <w:r w:rsidRPr="002B232B">
        <w:rPr>
          <w:rFonts w:ascii="Arial" w:hAnsi="Arial" w:cs="Arial"/>
          <w:color w:val="000000" w:themeColor="text1"/>
          <w:sz w:val="22"/>
          <w:szCs w:val="22"/>
          <w:lang w:val="en-US"/>
        </w:rPr>
        <w:t xml:space="preserve">creased by </w:t>
      </w:r>
      <w:r w:rsidR="002B232B" w:rsidRPr="002B232B">
        <w:rPr>
          <w:rFonts w:ascii="Arial" w:hAnsi="Arial" w:cs="Arial"/>
          <w:color w:val="000000" w:themeColor="text1"/>
          <w:sz w:val="22"/>
          <w:szCs w:val="22"/>
          <w:lang w:val="en-US"/>
        </w:rPr>
        <w:t>836</w:t>
      </w:r>
      <w:r w:rsidRPr="002B232B">
        <w:rPr>
          <w:rFonts w:ascii="Arial" w:hAnsi="Arial" w:cs="Arial"/>
          <w:color w:val="000000" w:themeColor="text1"/>
          <w:sz w:val="22"/>
          <w:szCs w:val="22"/>
          <w:lang w:val="en-US"/>
        </w:rPr>
        <w:t xml:space="preserve"> to </w:t>
      </w:r>
      <w:r w:rsidRPr="002B232B">
        <w:rPr>
          <w:rFonts w:ascii="Arial" w:hAnsi="Arial" w:cs="Arial"/>
          <w:b/>
          <w:color w:val="000000" w:themeColor="text1"/>
          <w:sz w:val="22"/>
          <w:szCs w:val="22"/>
          <w:lang w:val="en-US"/>
        </w:rPr>
        <w:t>20</w:t>
      </w:r>
      <w:r w:rsidR="002B232B" w:rsidRPr="002B232B">
        <w:rPr>
          <w:rFonts w:ascii="Arial" w:hAnsi="Arial" w:cs="Arial"/>
          <w:b/>
          <w:color w:val="000000" w:themeColor="text1"/>
          <w:sz w:val="22"/>
          <w:szCs w:val="22"/>
          <w:lang w:val="en-US"/>
        </w:rPr>
        <w:t>0</w:t>
      </w:r>
      <w:r w:rsidR="008C7959">
        <w:rPr>
          <w:rFonts w:ascii="Arial" w:hAnsi="Arial" w:cs="Arial"/>
          <w:b/>
          <w:color w:val="000000" w:themeColor="text1"/>
          <w:sz w:val="22"/>
          <w:szCs w:val="22"/>
          <w:lang w:val="en-US"/>
        </w:rPr>
        <w:t>,</w:t>
      </w:r>
      <w:r w:rsidR="002B232B" w:rsidRPr="002B232B">
        <w:rPr>
          <w:rFonts w:ascii="Arial" w:hAnsi="Arial" w:cs="Arial"/>
          <w:b/>
          <w:color w:val="000000" w:themeColor="text1"/>
          <w:sz w:val="22"/>
          <w:szCs w:val="22"/>
          <w:lang w:val="en-US"/>
        </w:rPr>
        <w:t>381</w:t>
      </w:r>
      <w:r w:rsidRPr="002B232B">
        <w:rPr>
          <w:rFonts w:ascii="Arial" w:hAnsi="Arial" w:cs="Arial"/>
          <w:color w:val="000000" w:themeColor="text1"/>
          <w:sz w:val="22"/>
          <w:szCs w:val="22"/>
          <w:lang w:val="en-US"/>
        </w:rPr>
        <w:t xml:space="preserve"> respectively in the same period.</w:t>
      </w:r>
    </w:p>
    <w:p w:rsidR="00A12D16" w:rsidRPr="002B232B" w:rsidRDefault="00A12D16" w:rsidP="00A12D16">
      <w:pPr>
        <w:pStyle w:val="ListParagraph"/>
        <w:spacing w:before="120" w:after="120"/>
        <w:ind w:left="426"/>
        <w:jc w:val="both"/>
        <w:rPr>
          <w:rFonts w:ascii="Arial" w:hAnsi="Arial" w:cs="Arial"/>
          <w:color w:val="000000" w:themeColor="text1"/>
          <w:sz w:val="22"/>
          <w:szCs w:val="22"/>
          <w:lang w:val="en-US"/>
        </w:rPr>
      </w:pPr>
    </w:p>
    <w:p w:rsidR="00C26146" w:rsidRPr="002B232B" w:rsidRDefault="00614E5B" w:rsidP="00614E5B">
      <w:pPr>
        <w:pStyle w:val="ListParagraph"/>
        <w:numPr>
          <w:ilvl w:val="0"/>
          <w:numId w:val="23"/>
        </w:numPr>
        <w:spacing w:before="120" w:after="120"/>
        <w:ind w:left="426"/>
        <w:jc w:val="both"/>
        <w:rPr>
          <w:rFonts w:ascii="Arial" w:hAnsi="Arial" w:cs="Arial"/>
          <w:color w:val="000000" w:themeColor="text1"/>
          <w:sz w:val="22"/>
          <w:szCs w:val="22"/>
          <w:lang w:val="en-US"/>
        </w:rPr>
      </w:pPr>
      <w:r w:rsidRPr="002B232B">
        <w:rPr>
          <w:rFonts w:ascii="Arial" w:hAnsi="Arial" w:cs="Arial"/>
          <w:color w:val="000000" w:themeColor="text1"/>
          <w:sz w:val="22"/>
          <w:szCs w:val="22"/>
          <w:lang w:val="en-US"/>
        </w:rPr>
        <w:t xml:space="preserve">Also there are </w:t>
      </w:r>
      <w:r w:rsidR="002B232B" w:rsidRPr="002B232B">
        <w:rPr>
          <w:rFonts w:ascii="Arial" w:hAnsi="Arial" w:cs="Arial"/>
          <w:color w:val="000000" w:themeColor="text1"/>
          <w:sz w:val="22"/>
          <w:szCs w:val="22"/>
          <w:lang w:val="en-US"/>
        </w:rPr>
        <w:t>6</w:t>
      </w:r>
      <w:r w:rsidRPr="002B232B">
        <w:rPr>
          <w:rFonts w:ascii="Arial" w:hAnsi="Arial" w:cs="Arial"/>
          <w:color w:val="000000" w:themeColor="text1"/>
          <w:sz w:val="22"/>
          <w:szCs w:val="22"/>
          <w:lang w:val="en-US"/>
        </w:rPr>
        <w:t xml:space="preserve"> participation banks in Turkey. The detailed information about participation banks is available http://www.tkbb.org.tr/homepage on The Participation Banks Association of Turkey.  </w:t>
      </w:r>
    </w:p>
    <w:sectPr w:rsidR="00C26146" w:rsidRPr="002B232B" w:rsidSect="004D1071">
      <w:headerReference w:type="even" r:id="rId12"/>
      <w:headerReference w:type="default" r:id="rId13"/>
      <w:footerReference w:type="even" r:id="rId14"/>
      <w:footerReference w:type="default" r:id="rId15"/>
      <w:headerReference w:type="first" r:id="rId16"/>
      <w:footerReference w:type="first" r:id="rId17"/>
      <w:pgSz w:w="11909" w:h="16834" w:code="9"/>
      <w:pgMar w:top="2381" w:right="1277" w:bottom="1276" w:left="1814" w:header="1151" w:footer="431" w:gutter="0"/>
      <w:pgNumType w:fmt="lowerRoman"/>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96" w:rsidRDefault="004C0996">
      <w:r>
        <w:separator/>
      </w:r>
    </w:p>
  </w:endnote>
  <w:endnote w:type="continuationSeparator" w:id="0">
    <w:p w:rsidR="004C0996" w:rsidRDefault="004C0996">
      <w:r>
        <w:continuationSeparator/>
      </w:r>
    </w:p>
  </w:endnote>
  <w:endnote w:type="continuationNotice" w:id="1">
    <w:p w:rsidR="004C0996" w:rsidRDefault="004C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4D1071">
      <w:rPr>
        <w:rStyle w:val="PageNumber"/>
        <w:rFonts w:ascii="Arial" w:hAnsi="Arial" w:cs="Arial"/>
        <w:noProof/>
        <w:sz w:val="18"/>
        <w:szCs w:val="18"/>
      </w:rPr>
      <w:t>iii</w:t>
    </w:r>
    <w:r w:rsidRPr="00150A4B">
      <w:rPr>
        <w:rStyle w:val="PageNumber"/>
        <w:rFonts w:ascii="Arial" w:hAnsi="Arial" w:cs="Arial"/>
        <w:sz w:val="18"/>
        <w:szCs w:val="18"/>
      </w:rPr>
      <w:fldChar w:fldCharType="end"/>
    </w:r>
  </w:p>
  <w:p w:rsidR="00EC25A2" w:rsidRPr="005A781C" w:rsidRDefault="005A781C" w:rsidP="005A781C">
    <w:pPr>
      <w:pStyle w:val="Footer"/>
      <w:rPr>
        <w:rFonts w:ascii="Arial" w:hAnsi="Arial" w:cs="Arial"/>
        <w:sz w:val="18"/>
        <w:szCs w:val="18"/>
        <w:lang w:val="en-US"/>
      </w:rPr>
    </w:pPr>
    <w:r w:rsidRPr="00946A44">
      <w:rPr>
        <w:rFonts w:ascii="Arial" w:hAnsi="Arial" w:cs="Arial"/>
        <w:sz w:val="18"/>
        <w:szCs w:val="18"/>
        <w:lang w:val="en-US"/>
      </w:rPr>
      <w:t>The Banks Association of Turkey</w:t>
    </w:r>
    <w:r>
      <w:rPr>
        <w:rFonts w:ascii="Arial" w:hAnsi="Arial" w:cs="Arial"/>
        <w:sz w:val="18"/>
        <w:szCs w:val="18"/>
        <w:lang w:val="en-US"/>
      </w:rPr>
      <w:t>/Statistical Reports/</w:t>
    </w:r>
    <w:r w:rsidR="009E2616">
      <w:rPr>
        <w:rFonts w:ascii="Arial" w:hAnsi="Arial" w:cs="Arial"/>
        <w:sz w:val="18"/>
        <w:szCs w:val="18"/>
        <w:lang w:val="en-US"/>
      </w:rPr>
      <w:t>March 2016</w:t>
    </w:r>
    <w:r w:rsidRPr="00946A44">
      <w:rPr>
        <w:rFonts w:ascii="Arial" w:hAnsi="Arial" w:cs="Arial"/>
        <w:sz w:val="18"/>
        <w:szCs w:val="18"/>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04" w:rsidRDefault="00401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96" w:rsidRDefault="004C0996">
      <w:r>
        <w:separator/>
      </w:r>
    </w:p>
  </w:footnote>
  <w:footnote w:type="continuationSeparator" w:id="0">
    <w:p w:rsidR="004C0996" w:rsidRDefault="004C0996">
      <w:r>
        <w:continuationSeparator/>
      </w:r>
    </w:p>
  </w:footnote>
  <w:footnote w:type="continuationNotice" w:id="1">
    <w:p w:rsidR="004C0996" w:rsidRDefault="004C0996"/>
  </w:footnote>
  <w:footnote w:id="2">
    <w:p w:rsidR="00EC25A2" w:rsidRPr="005A781C" w:rsidRDefault="00EC25A2" w:rsidP="00F56C32">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sidR="005A781C" w:rsidRPr="00946A44">
        <w:rPr>
          <w:rFonts w:ascii="Arial" w:hAnsi="Arial" w:cs="Arial"/>
          <w:sz w:val="18"/>
          <w:szCs w:val="18"/>
          <w:lang w:val="en-US"/>
        </w:rPr>
        <w:t>Deposit banks and development and investment banks are included.</w:t>
      </w:r>
    </w:p>
  </w:footnote>
  <w:footnote w:id="3">
    <w:p w:rsidR="00484331" w:rsidRPr="005A781C" w:rsidRDefault="00484331" w:rsidP="00484331">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proofErr w:type="gramStart"/>
      <w:r w:rsidR="00B441E9">
        <w:rPr>
          <w:rFonts w:ascii="Arial" w:hAnsi="Arial" w:cs="Arial"/>
          <w:sz w:val="18"/>
          <w:szCs w:val="18"/>
          <w:lang w:val="en-US"/>
        </w:rPr>
        <w:t>The differences between the average ratio and subgroups ratios stemming from the development and investment banks</w:t>
      </w:r>
      <w:r w:rsidRPr="00946A44">
        <w:rPr>
          <w:rFonts w:ascii="Arial" w:hAnsi="Arial" w:cs="Arial"/>
          <w:sz w:val="18"/>
          <w:szCs w:val="18"/>
          <w:lang w:val="en-US"/>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04" w:rsidRDefault="00401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1" behindDoc="0" locked="0" layoutInCell="1" allowOverlap="1" wp14:anchorId="1D56C5FE" wp14:editId="24F6514E">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0" behindDoc="0" locked="0" layoutInCell="1" allowOverlap="1" wp14:anchorId="1899E160" wp14:editId="6267D0A7">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63030C5"/>
    <w:multiLevelType w:val="hybridMultilevel"/>
    <w:tmpl w:val="6B6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FA4806"/>
    <w:multiLevelType w:val="hybridMultilevel"/>
    <w:tmpl w:val="922E73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11">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25708B8"/>
    <w:multiLevelType w:val="multilevel"/>
    <w:tmpl w:val="700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5">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7">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abstractNum w:abstractNumId="21">
    <w:nsid w:val="78EF3B42"/>
    <w:multiLevelType w:val="hybridMultilevel"/>
    <w:tmpl w:val="40ECF70A"/>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9353FD0"/>
    <w:multiLevelType w:val="hybridMultilevel"/>
    <w:tmpl w:val="964C59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5"/>
  </w:num>
  <w:num w:numId="5">
    <w:abstractNumId w:val="6"/>
  </w:num>
  <w:num w:numId="6">
    <w:abstractNumId w:val="8"/>
  </w:num>
  <w:num w:numId="7">
    <w:abstractNumId w:val="18"/>
  </w:num>
  <w:num w:numId="8">
    <w:abstractNumId w:val="3"/>
  </w:num>
  <w:num w:numId="9">
    <w:abstractNumId w:val="17"/>
  </w:num>
  <w:num w:numId="10">
    <w:abstractNumId w:val="19"/>
  </w:num>
  <w:num w:numId="11">
    <w:abstractNumId w:val="20"/>
  </w:num>
  <w:num w:numId="12">
    <w:abstractNumId w:val="10"/>
  </w:num>
  <w:num w:numId="13">
    <w:abstractNumId w:val="2"/>
  </w:num>
  <w:num w:numId="14">
    <w:abstractNumId w:val="14"/>
  </w:num>
  <w:num w:numId="15">
    <w:abstractNumId w:val="15"/>
  </w:num>
  <w:num w:numId="16">
    <w:abstractNumId w:val="16"/>
  </w:num>
  <w:num w:numId="17">
    <w:abstractNumId w:val="0"/>
  </w:num>
  <w:num w:numId="18">
    <w:abstractNumId w:val="4"/>
  </w:num>
  <w:num w:numId="19">
    <w:abstractNumId w:val="13"/>
  </w:num>
  <w:num w:numId="20">
    <w:abstractNumId w:val="21"/>
  </w:num>
  <w:num w:numId="21">
    <w:abstractNumId w:val="9"/>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1E0C"/>
    <w:rsid w:val="00022197"/>
    <w:rsid w:val="0002321F"/>
    <w:rsid w:val="00024B85"/>
    <w:rsid w:val="0002551A"/>
    <w:rsid w:val="000259D4"/>
    <w:rsid w:val="000278CF"/>
    <w:rsid w:val="0003002A"/>
    <w:rsid w:val="000305F2"/>
    <w:rsid w:val="00031835"/>
    <w:rsid w:val="00031E5A"/>
    <w:rsid w:val="00032C99"/>
    <w:rsid w:val="00032FBF"/>
    <w:rsid w:val="00033D63"/>
    <w:rsid w:val="00034CC3"/>
    <w:rsid w:val="000370A9"/>
    <w:rsid w:val="0004120D"/>
    <w:rsid w:val="000445E2"/>
    <w:rsid w:val="000463F7"/>
    <w:rsid w:val="00046765"/>
    <w:rsid w:val="00050BEE"/>
    <w:rsid w:val="00050DA0"/>
    <w:rsid w:val="0005252A"/>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86"/>
    <w:rsid w:val="000811AE"/>
    <w:rsid w:val="00081CCD"/>
    <w:rsid w:val="00083580"/>
    <w:rsid w:val="00085D08"/>
    <w:rsid w:val="00086B44"/>
    <w:rsid w:val="0008765B"/>
    <w:rsid w:val="000879F2"/>
    <w:rsid w:val="000908AB"/>
    <w:rsid w:val="0009324A"/>
    <w:rsid w:val="000936F4"/>
    <w:rsid w:val="000937FD"/>
    <w:rsid w:val="00093E05"/>
    <w:rsid w:val="00093E66"/>
    <w:rsid w:val="0009420C"/>
    <w:rsid w:val="00095DF9"/>
    <w:rsid w:val="0009603C"/>
    <w:rsid w:val="000967DD"/>
    <w:rsid w:val="00097274"/>
    <w:rsid w:val="000A0291"/>
    <w:rsid w:val="000A2627"/>
    <w:rsid w:val="000A4894"/>
    <w:rsid w:val="000A4F94"/>
    <w:rsid w:val="000A70E6"/>
    <w:rsid w:val="000B01DA"/>
    <w:rsid w:val="000B34A0"/>
    <w:rsid w:val="000B4601"/>
    <w:rsid w:val="000B5928"/>
    <w:rsid w:val="000B6BA1"/>
    <w:rsid w:val="000C0B54"/>
    <w:rsid w:val="000C1903"/>
    <w:rsid w:val="000C1C7E"/>
    <w:rsid w:val="000C1F53"/>
    <w:rsid w:val="000C2C6E"/>
    <w:rsid w:val="000C2D9B"/>
    <w:rsid w:val="000C3218"/>
    <w:rsid w:val="000C58F6"/>
    <w:rsid w:val="000C6167"/>
    <w:rsid w:val="000C6FD5"/>
    <w:rsid w:val="000C7475"/>
    <w:rsid w:val="000D3587"/>
    <w:rsid w:val="000D471E"/>
    <w:rsid w:val="000D6B38"/>
    <w:rsid w:val="000E02E7"/>
    <w:rsid w:val="000E1602"/>
    <w:rsid w:val="000E2381"/>
    <w:rsid w:val="000E31DB"/>
    <w:rsid w:val="000E35C0"/>
    <w:rsid w:val="000E4B10"/>
    <w:rsid w:val="000E509C"/>
    <w:rsid w:val="000E51E4"/>
    <w:rsid w:val="000F2296"/>
    <w:rsid w:val="000F4EEE"/>
    <w:rsid w:val="000F5A8D"/>
    <w:rsid w:val="000F5CEC"/>
    <w:rsid w:val="000F7A76"/>
    <w:rsid w:val="00101F06"/>
    <w:rsid w:val="00103A86"/>
    <w:rsid w:val="00103AB5"/>
    <w:rsid w:val="001057A3"/>
    <w:rsid w:val="0010596C"/>
    <w:rsid w:val="00106D99"/>
    <w:rsid w:val="00111013"/>
    <w:rsid w:val="0011286C"/>
    <w:rsid w:val="00112CE3"/>
    <w:rsid w:val="00122327"/>
    <w:rsid w:val="00122E2E"/>
    <w:rsid w:val="0012491B"/>
    <w:rsid w:val="00125017"/>
    <w:rsid w:val="00125443"/>
    <w:rsid w:val="00131823"/>
    <w:rsid w:val="00136B7D"/>
    <w:rsid w:val="00136CB6"/>
    <w:rsid w:val="001442CF"/>
    <w:rsid w:val="001447FF"/>
    <w:rsid w:val="001450BA"/>
    <w:rsid w:val="00147144"/>
    <w:rsid w:val="001471EC"/>
    <w:rsid w:val="00150A4B"/>
    <w:rsid w:val="001514D2"/>
    <w:rsid w:val="00151DB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985"/>
    <w:rsid w:val="00172BAC"/>
    <w:rsid w:val="0018089A"/>
    <w:rsid w:val="00180DAB"/>
    <w:rsid w:val="001828AC"/>
    <w:rsid w:val="001835B2"/>
    <w:rsid w:val="00191F07"/>
    <w:rsid w:val="00194709"/>
    <w:rsid w:val="00195E9D"/>
    <w:rsid w:val="00197144"/>
    <w:rsid w:val="001A100A"/>
    <w:rsid w:val="001A3625"/>
    <w:rsid w:val="001A3896"/>
    <w:rsid w:val="001A3B73"/>
    <w:rsid w:val="001A421F"/>
    <w:rsid w:val="001A5AA7"/>
    <w:rsid w:val="001A794A"/>
    <w:rsid w:val="001B0C6F"/>
    <w:rsid w:val="001B38FD"/>
    <w:rsid w:val="001B7295"/>
    <w:rsid w:val="001B7576"/>
    <w:rsid w:val="001C04BB"/>
    <w:rsid w:val="001C2CFD"/>
    <w:rsid w:val="001C42E9"/>
    <w:rsid w:val="001C6255"/>
    <w:rsid w:val="001C74EA"/>
    <w:rsid w:val="001C7B29"/>
    <w:rsid w:val="001D051F"/>
    <w:rsid w:val="001D05D0"/>
    <w:rsid w:val="001D13FD"/>
    <w:rsid w:val="001D2E7D"/>
    <w:rsid w:val="001D7D3E"/>
    <w:rsid w:val="001E228E"/>
    <w:rsid w:val="001E73D9"/>
    <w:rsid w:val="001F16BE"/>
    <w:rsid w:val="001F2AB3"/>
    <w:rsid w:val="001F4A5C"/>
    <w:rsid w:val="001F4C7F"/>
    <w:rsid w:val="001F5F13"/>
    <w:rsid w:val="0020333F"/>
    <w:rsid w:val="00203C7D"/>
    <w:rsid w:val="00206936"/>
    <w:rsid w:val="00207DB5"/>
    <w:rsid w:val="00211742"/>
    <w:rsid w:val="00211C89"/>
    <w:rsid w:val="00212541"/>
    <w:rsid w:val="0021772C"/>
    <w:rsid w:val="00217832"/>
    <w:rsid w:val="0022175F"/>
    <w:rsid w:val="00222299"/>
    <w:rsid w:val="002224FB"/>
    <w:rsid w:val="00224A0A"/>
    <w:rsid w:val="00225997"/>
    <w:rsid w:val="00230002"/>
    <w:rsid w:val="00230DCA"/>
    <w:rsid w:val="0023180D"/>
    <w:rsid w:val="00232A50"/>
    <w:rsid w:val="0023445A"/>
    <w:rsid w:val="00237497"/>
    <w:rsid w:val="0024522A"/>
    <w:rsid w:val="0024544F"/>
    <w:rsid w:val="00245C28"/>
    <w:rsid w:val="002503E1"/>
    <w:rsid w:val="00251274"/>
    <w:rsid w:val="00254778"/>
    <w:rsid w:val="0025486A"/>
    <w:rsid w:val="00254A3B"/>
    <w:rsid w:val="0025628B"/>
    <w:rsid w:val="00260664"/>
    <w:rsid w:val="00260B58"/>
    <w:rsid w:val="00260E00"/>
    <w:rsid w:val="00261591"/>
    <w:rsid w:val="00261CF1"/>
    <w:rsid w:val="002659B2"/>
    <w:rsid w:val="00266803"/>
    <w:rsid w:val="002749B5"/>
    <w:rsid w:val="002754BE"/>
    <w:rsid w:val="002755B6"/>
    <w:rsid w:val="00275616"/>
    <w:rsid w:val="00276405"/>
    <w:rsid w:val="00285C69"/>
    <w:rsid w:val="00290664"/>
    <w:rsid w:val="002910A9"/>
    <w:rsid w:val="002918BD"/>
    <w:rsid w:val="00295A20"/>
    <w:rsid w:val="00295C0D"/>
    <w:rsid w:val="0029648F"/>
    <w:rsid w:val="0029736E"/>
    <w:rsid w:val="002A1921"/>
    <w:rsid w:val="002A3055"/>
    <w:rsid w:val="002A3392"/>
    <w:rsid w:val="002A395D"/>
    <w:rsid w:val="002A411A"/>
    <w:rsid w:val="002A436F"/>
    <w:rsid w:val="002A5130"/>
    <w:rsid w:val="002A522A"/>
    <w:rsid w:val="002A6850"/>
    <w:rsid w:val="002B1970"/>
    <w:rsid w:val="002B197B"/>
    <w:rsid w:val="002B232B"/>
    <w:rsid w:val="002C20BB"/>
    <w:rsid w:val="002C21F3"/>
    <w:rsid w:val="002C3712"/>
    <w:rsid w:val="002C3ED8"/>
    <w:rsid w:val="002C7DDB"/>
    <w:rsid w:val="002D0DE5"/>
    <w:rsid w:val="002D130A"/>
    <w:rsid w:val="002D2756"/>
    <w:rsid w:val="002D3980"/>
    <w:rsid w:val="002D3AFC"/>
    <w:rsid w:val="002D5069"/>
    <w:rsid w:val="002D7A9D"/>
    <w:rsid w:val="002E2194"/>
    <w:rsid w:val="002E37C4"/>
    <w:rsid w:val="002E6204"/>
    <w:rsid w:val="002E6743"/>
    <w:rsid w:val="002E729A"/>
    <w:rsid w:val="002F34E9"/>
    <w:rsid w:val="002F4CD8"/>
    <w:rsid w:val="003006EF"/>
    <w:rsid w:val="0030136D"/>
    <w:rsid w:val="003014E8"/>
    <w:rsid w:val="00305753"/>
    <w:rsid w:val="00305757"/>
    <w:rsid w:val="00306747"/>
    <w:rsid w:val="00312173"/>
    <w:rsid w:val="003163D5"/>
    <w:rsid w:val="00326ED8"/>
    <w:rsid w:val="00330FE3"/>
    <w:rsid w:val="003323C1"/>
    <w:rsid w:val="003330C4"/>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39"/>
    <w:rsid w:val="00390DC0"/>
    <w:rsid w:val="0039275A"/>
    <w:rsid w:val="0039426B"/>
    <w:rsid w:val="003A387A"/>
    <w:rsid w:val="003A5525"/>
    <w:rsid w:val="003A56FF"/>
    <w:rsid w:val="003A6266"/>
    <w:rsid w:val="003B13E1"/>
    <w:rsid w:val="003B19BC"/>
    <w:rsid w:val="003B1F64"/>
    <w:rsid w:val="003B339D"/>
    <w:rsid w:val="003B386B"/>
    <w:rsid w:val="003B4419"/>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571"/>
    <w:rsid w:val="003F6D0B"/>
    <w:rsid w:val="00400B5C"/>
    <w:rsid w:val="00401204"/>
    <w:rsid w:val="004017C3"/>
    <w:rsid w:val="0040486F"/>
    <w:rsid w:val="004102AE"/>
    <w:rsid w:val="004105D3"/>
    <w:rsid w:val="00412035"/>
    <w:rsid w:val="004127D7"/>
    <w:rsid w:val="00414B9F"/>
    <w:rsid w:val="00416474"/>
    <w:rsid w:val="00416F67"/>
    <w:rsid w:val="00420C40"/>
    <w:rsid w:val="00421689"/>
    <w:rsid w:val="0042259E"/>
    <w:rsid w:val="00423136"/>
    <w:rsid w:val="00424298"/>
    <w:rsid w:val="004247CC"/>
    <w:rsid w:val="00424DF3"/>
    <w:rsid w:val="00427CE0"/>
    <w:rsid w:val="00430A11"/>
    <w:rsid w:val="00430E8D"/>
    <w:rsid w:val="004322BD"/>
    <w:rsid w:val="004331D5"/>
    <w:rsid w:val="0043620B"/>
    <w:rsid w:val="00437F86"/>
    <w:rsid w:val="00441B54"/>
    <w:rsid w:val="00442F96"/>
    <w:rsid w:val="004434AA"/>
    <w:rsid w:val="004505A8"/>
    <w:rsid w:val="004506A2"/>
    <w:rsid w:val="00454B5F"/>
    <w:rsid w:val="00455529"/>
    <w:rsid w:val="00456A62"/>
    <w:rsid w:val="00460D62"/>
    <w:rsid w:val="0046177E"/>
    <w:rsid w:val="00462089"/>
    <w:rsid w:val="00463568"/>
    <w:rsid w:val="004654B5"/>
    <w:rsid w:val="00466055"/>
    <w:rsid w:val="00470F99"/>
    <w:rsid w:val="00471727"/>
    <w:rsid w:val="004724A9"/>
    <w:rsid w:val="00473AB2"/>
    <w:rsid w:val="00477332"/>
    <w:rsid w:val="00477356"/>
    <w:rsid w:val="004774B6"/>
    <w:rsid w:val="00477DA6"/>
    <w:rsid w:val="004801BE"/>
    <w:rsid w:val="00480730"/>
    <w:rsid w:val="00480EDA"/>
    <w:rsid w:val="00481874"/>
    <w:rsid w:val="00482B3B"/>
    <w:rsid w:val="00482B60"/>
    <w:rsid w:val="00484331"/>
    <w:rsid w:val="00485FDC"/>
    <w:rsid w:val="00486730"/>
    <w:rsid w:val="00486C4D"/>
    <w:rsid w:val="00494876"/>
    <w:rsid w:val="00497A10"/>
    <w:rsid w:val="00497A9E"/>
    <w:rsid w:val="004A0A64"/>
    <w:rsid w:val="004A1F60"/>
    <w:rsid w:val="004A33DD"/>
    <w:rsid w:val="004A3FB3"/>
    <w:rsid w:val="004A4178"/>
    <w:rsid w:val="004A4B10"/>
    <w:rsid w:val="004A555F"/>
    <w:rsid w:val="004A7C1A"/>
    <w:rsid w:val="004B1643"/>
    <w:rsid w:val="004B1C3D"/>
    <w:rsid w:val="004B1FC3"/>
    <w:rsid w:val="004B2791"/>
    <w:rsid w:val="004B4BF8"/>
    <w:rsid w:val="004B5590"/>
    <w:rsid w:val="004C02B9"/>
    <w:rsid w:val="004C0996"/>
    <w:rsid w:val="004C1703"/>
    <w:rsid w:val="004C7609"/>
    <w:rsid w:val="004C7C41"/>
    <w:rsid w:val="004D05CD"/>
    <w:rsid w:val="004D1071"/>
    <w:rsid w:val="004D3AC4"/>
    <w:rsid w:val="004D403E"/>
    <w:rsid w:val="004D4232"/>
    <w:rsid w:val="004D5CF1"/>
    <w:rsid w:val="004D787D"/>
    <w:rsid w:val="004D7B77"/>
    <w:rsid w:val="004E14E4"/>
    <w:rsid w:val="004E2606"/>
    <w:rsid w:val="004E396B"/>
    <w:rsid w:val="004E4338"/>
    <w:rsid w:val="004E5DFF"/>
    <w:rsid w:val="004E6E67"/>
    <w:rsid w:val="004E7CE0"/>
    <w:rsid w:val="004E7D5B"/>
    <w:rsid w:val="004E7FE8"/>
    <w:rsid w:val="004F1D3D"/>
    <w:rsid w:val="004F301A"/>
    <w:rsid w:val="004F3B96"/>
    <w:rsid w:val="004F44E5"/>
    <w:rsid w:val="004F4A02"/>
    <w:rsid w:val="004F5487"/>
    <w:rsid w:val="004F5921"/>
    <w:rsid w:val="004F712D"/>
    <w:rsid w:val="005018EA"/>
    <w:rsid w:val="0050330B"/>
    <w:rsid w:val="00505221"/>
    <w:rsid w:val="0050684C"/>
    <w:rsid w:val="00506B8D"/>
    <w:rsid w:val="00507BB0"/>
    <w:rsid w:val="00507EA6"/>
    <w:rsid w:val="005122F3"/>
    <w:rsid w:val="005148BF"/>
    <w:rsid w:val="00516ECA"/>
    <w:rsid w:val="00525553"/>
    <w:rsid w:val="005256F8"/>
    <w:rsid w:val="0052593D"/>
    <w:rsid w:val="00525CA5"/>
    <w:rsid w:val="00531E64"/>
    <w:rsid w:val="005330C7"/>
    <w:rsid w:val="005346AE"/>
    <w:rsid w:val="00536AD5"/>
    <w:rsid w:val="00537C3F"/>
    <w:rsid w:val="00537E7E"/>
    <w:rsid w:val="005409F7"/>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757"/>
    <w:rsid w:val="00574B76"/>
    <w:rsid w:val="00575870"/>
    <w:rsid w:val="00575D4D"/>
    <w:rsid w:val="005762DD"/>
    <w:rsid w:val="00577367"/>
    <w:rsid w:val="00584963"/>
    <w:rsid w:val="00585338"/>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A781C"/>
    <w:rsid w:val="005B0140"/>
    <w:rsid w:val="005B05D6"/>
    <w:rsid w:val="005B1C8E"/>
    <w:rsid w:val="005B214D"/>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192F"/>
    <w:rsid w:val="00613233"/>
    <w:rsid w:val="00614B08"/>
    <w:rsid w:val="00614B29"/>
    <w:rsid w:val="00614E5B"/>
    <w:rsid w:val="00615431"/>
    <w:rsid w:val="0062193F"/>
    <w:rsid w:val="00622182"/>
    <w:rsid w:val="006240A8"/>
    <w:rsid w:val="0062478F"/>
    <w:rsid w:val="00624C34"/>
    <w:rsid w:val="0062500F"/>
    <w:rsid w:val="0062616B"/>
    <w:rsid w:val="006262B5"/>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61190"/>
    <w:rsid w:val="006627DB"/>
    <w:rsid w:val="00665004"/>
    <w:rsid w:val="006666E6"/>
    <w:rsid w:val="00666EB4"/>
    <w:rsid w:val="0066712B"/>
    <w:rsid w:val="00667D87"/>
    <w:rsid w:val="006700E1"/>
    <w:rsid w:val="00671675"/>
    <w:rsid w:val="00673368"/>
    <w:rsid w:val="006772EF"/>
    <w:rsid w:val="006774D2"/>
    <w:rsid w:val="006775AB"/>
    <w:rsid w:val="00682012"/>
    <w:rsid w:val="006820F1"/>
    <w:rsid w:val="00682B26"/>
    <w:rsid w:val="00683217"/>
    <w:rsid w:val="00686DCE"/>
    <w:rsid w:val="00687560"/>
    <w:rsid w:val="00687966"/>
    <w:rsid w:val="006914FC"/>
    <w:rsid w:val="00693430"/>
    <w:rsid w:val="00693B87"/>
    <w:rsid w:val="0069507F"/>
    <w:rsid w:val="006954A3"/>
    <w:rsid w:val="00696A6F"/>
    <w:rsid w:val="006972CF"/>
    <w:rsid w:val="006A0114"/>
    <w:rsid w:val="006A0315"/>
    <w:rsid w:val="006A2F97"/>
    <w:rsid w:val="006A4559"/>
    <w:rsid w:val="006A6942"/>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D5AB7"/>
    <w:rsid w:val="006D6920"/>
    <w:rsid w:val="006E2E9F"/>
    <w:rsid w:val="006E49D3"/>
    <w:rsid w:val="006E6098"/>
    <w:rsid w:val="006E6362"/>
    <w:rsid w:val="006F6C26"/>
    <w:rsid w:val="007007E5"/>
    <w:rsid w:val="00700D37"/>
    <w:rsid w:val="00700F36"/>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044"/>
    <w:rsid w:val="00731499"/>
    <w:rsid w:val="007345F2"/>
    <w:rsid w:val="00735AF8"/>
    <w:rsid w:val="00736644"/>
    <w:rsid w:val="00736ED1"/>
    <w:rsid w:val="00737D21"/>
    <w:rsid w:val="00737DCB"/>
    <w:rsid w:val="00740331"/>
    <w:rsid w:val="007406A6"/>
    <w:rsid w:val="007419B4"/>
    <w:rsid w:val="00742F2B"/>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0CCC"/>
    <w:rsid w:val="00791324"/>
    <w:rsid w:val="007913B0"/>
    <w:rsid w:val="00791D09"/>
    <w:rsid w:val="00793ECE"/>
    <w:rsid w:val="00794FAA"/>
    <w:rsid w:val="007964CC"/>
    <w:rsid w:val="007A16D8"/>
    <w:rsid w:val="007A3257"/>
    <w:rsid w:val="007A3993"/>
    <w:rsid w:val="007A4430"/>
    <w:rsid w:val="007A473B"/>
    <w:rsid w:val="007A4E4B"/>
    <w:rsid w:val="007A57EB"/>
    <w:rsid w:val="007A6579"/>
    <w:rsid w:val="007A6654"/>
    <w:rsid w:val="007A71E1"/>
    <w:rsid w:val="007A7D83"/>
    <w:rsid w:val="007A7F7F"/>
    <w:rsid w:val="007B0C1A"/>
    <w:rsid w:val="007B141B"/>
    <w:rsid w:val="007B19AB"/>
    <w:rsid w:val="007B2A46"/>
    <w:rsid w:val="007B7B38"/>
    <w:rsid w:val="007B7F6D"/>
    <w:rsid w:val="007C0AEA"/>
    <w:rsid w:val="007C1059"/>
    <w:rsid w:val="007C5AD9"/>
    <w:rsid w:val="007C71F0"/>
    <w:rsid w:val="007C77CB"/>
    <w:rsid w:val="007D0A2C"/>
    <w:rsid w:val="007D191A"/>
    <w:rsid w:val="007D3A34"/>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3FDE"/>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885"/>
    <w:rsid w:val="0081788A"/>
    <w:rsid w:val="008258D7"/>
    <w:rsid w:val="00825E65"/>
    <w:rsid w:val="00827823"/>
    <w:rsid w:val="00830114"/>
    <w:rsid w:val="0083217D"/>
    <w:rsid w:val="008325C3"/>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54"/>
    <w:rsid w:val="00880CB4"/>
    <w:rsid w:val="00881A93"/>
    <w:rsid w:val="00885E1E"/>
    <w:rsid w:val="008861B0"/>
    <w:rsid w:val="00887ADA"/>
    <w:rsid w:val="00890AAF"/>
    <w:rsid w:val="00892A5F"/>
    <w:rsid w:val="00892CF6"/>
    <w:rsid w:val="008964A8"/>
    <w:rsid w:val="0089716D"/>
    <w:rsid w:val="008974BF"/>
    <w:rsid w:val="008A1D59"/>
    <w:rsid w:val="008A71FB"/>
    <w:rsid w:val="008A78DE"/>
    <w:rsid w:val="008B01D7"/>
    <w:rsid w:val="008B1E31"/>
    <w:rsid w:val="008B3597"/>
    <w:rsid w:val="008B4FC3"/>
    <w:rsid w:val="008B53B2"/>
    <w:rsid w:val="008B622D"/>
    <w:rsid w:val="008B7068"/>
    <w:rsid w:val="008C0195"/>
    <w:rsid w:val="008C11D5"/>
    <w:rsid w:val="008C1224"/>
    <w:rsid w:val="008C1A50"/>
    <w:rsid w:val="008C1C09"/>
    <w:rsid w:val="008C3653"/>
    <w:rsid w:val="008C4221"/>
    <w:rsid w:val="008C55E1"/>
    <w:rsid w:val="008C6307"/>
    <w:rsid w:val="008C758A"/>
    <w:rsid w:val="008C7959"/>
    <w:rsid w:val="008C7E48"/>
    <w:rsid w:val="008D1679"/>
    <w:rsid w:val="008D1D5E"/>
    <w:rsid w:val="008D4D0C"/>
    <w:rsid w:val="008D4E65"/>
    <w:rsid w:val="008D52B7"/>
    <w:rsid w:val="008D6852"/>
    <w:rsid w:val="008E1454"/>
    <w:rsid w:val="008E599A"/>
    <w:rsid w:val="008E7143"/>
    <w:rsid w:val="008E72BC"/>
    <w:rsid w:val="008F07C6"/>
    <w:rsid w:val="008F0DE6"/>
    <w:rsid w:val="008F130F"/>
    <w:rsid w:val="008F2964"/>
    <w:rsid w:val="008F5732"/>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2485A"/>
    <w:rsid w:val="00930047"/>
    <w:rsid w:val="00935006"/>
    <w:rsid w:val="00935A8A"/>
    <w:rsid w:val="00940242"/>
    <w:rsid w:val="00940D54"/>
    <w:rsid w:val="00943608"/>
    <w:rsid w:val="00952E33"/>
    <w:rsid w:val="009535B2"/>
    <w:rsid w:val="0095455B"/>
    <w:rsid w:val="009554CD"/>
    <w:rsid w:val="009567D6"/>
    <w:rsid w:val="00960732"/>
    <w:rsid w:val="009634AF"/>
    <w:rsid w:val="009636C3"/>
    <w:rsid w:val="009639ED"/>
    <w:rsid w:val="00963EF4"/>
    <w:rsid w:val="00965A8B"/>
    <w:rsid w:val="00967CBC"/>
    <w:rsid w:val="00970B36"/>
    <w:rsid w:val="009724AE"/>
    <w:rsid w:val="00975B71"/>
    <w:rsid w:val="00975E31"/>
    <w:rsid w:val="009767FB"/>
    <w:rsid w:val="00983868"/>
    <w:rsid w:val="00983A3D"/>
    <w:rsid w:val="00986319"/>
    <w:rsid w:val="009901C0"/>
    <w:rsid w:val="00990778"/>
    <w:rsid w:val="0099172A"/>
    <w:rsid w:val="00992E84"/>
    <w:rsid w:val="0099355B"/>
    <w:rsid w:val="00994241"/>
    <w:rsid w:val="00994340"/>
    <w:rsid w:val="00994CC4"/>
    <w:rsid w:val="009958CE"/>
    <w:rsid w:val="009A0646"/>
    <w:rsid w:val="009A1083"/>
    <w:rsid w:val="009A17FE"/>
    <w:rsid w:val="009A1BE7"/>
    <w:rsid w:val="009A45C6"/>
    <w:rsid w:val="009A565D"/>
    <w:rsid w:val="009A68BC"/>
    <w:rsid w:val="009A7A59"/>
    <w:rsid w:val="009B0446"/>
    <w:rsid w:val="009B0D31"/>
    <w:rsid w:val="009B4E56"/>
    <w:rsid w:val="009B6FFC"/>
    <w:rsid w:val="009B7702"/>
    <w:rsid w:val="009C07F4"/>
    <w:rsid w:val="009C1881"/>
    <w:rsid w:val="009C308E"/>
    <w:rsid w:val="009C34A0"/>
    <w:rsid w:val="009C4749"/>
    <w:rsid w:val="009D0CDA"/>
    <w:rsid w:val="009D1030"/>
    <w:rsid w:val="009D19EF"/>
    <w:rsid w:val="009D2B88"/>
    <w:rsid w:val="009D3A68"/>
    <w:rsid w:val="009D3C04"/>
    <w:rsid w:val="009D6DA3"/>
    <w:rsid w:val="009E2616"/>
    <w:rsid w:val="009E354E"/>
    <w:rsid w:val="009E4B22"/>
    <w:rsid w:val="009E6161"/>
    <w:rsid w:val="009F1914"/>
    <w:rsid w:val="009F25A5"/>
    <w:rsid w:val="009F3E29"/>
    <w:rsid w:val="009F78D3"/>
    <w:rsid w:val="00A02C0C"/>
    <w:rsid w:val="00A0306E"/>
    <w:rsid w:val="00A0461F"/>
    <w:rsid w:val="00A05BB6"/>
    <w:rsid w:val="00A07355"/>
    <w:rsid w:val="00A10CD9"/>
    <w:rsid w:val="00A111E4"/>
    <w:rsid w:val="00A11798"/>
    <w:rsid w:val="00A12D16"/>
    <w:rsid w:val="00A12E01"/>
    <w:rsid w:val="00A13155"/>
    <w:rsid w:val="00A13A59"/>
    <w:rsid w:val="00A17CA2"/>
    <w:rsid w:val="00A20AC8"/>
    <w:rsid w:val="00A20B6F"/>
    <w:rsid w:val="00A21128"/>
    <w:rsid w:val="00A21D70"/>
    <w:rsid w:val="00A2203E"/>
    <w:rsid w:val="00A22E8E"/>
    <w:rsid w:val="00A230C5"/>
    <w:rsid w:val="00A23A52"/>
    <w:rsid w:val="00A245C6"/>
    <w:rsid w:val="00A25B23"/>
    <w:rsid w:val="00A26A4D"/>
    <w:rsid w:val="00A31B87"/>
    <w:rsid w:val="00A31EF6"/>
    <w:rsid w:val="00A33932"/>
    <w:rsid w:val="00A33946"/>
    <w:rsid w:val="00A3506E"/>
    <w:rsid w:val="00A35BAF"/>
    <w:rsid w:val="00A37CB8"/>
    <w:rsid w:val="00A4074B"/>
    <w:rsid w:val="00A467DF"/>
    <w:rsid w:val="00A51C3C"/>
    <w:rsid w:val="00A52AC7"/>
    <w:rsid w:val="00A52E4C"/>
    <w:rsid w:val="00A552CB"/>
    <w:rsid w:val="00A6029D"/>
    <w:rsid w:val="00A606C0"/>
    <w:rsid w:val="00A61E86"/>
    <w:rsid w:val="00A62814"/>
    <w:rsid w:val="00A62BA8"/>
    <w:rsid w:val="00A63300"/>
    <w:rsid w:val="00A634DF"/>
    <w:rsid w:val="00A635EB"/>
    <w:rsid w:val="00A636FF"/>
    <w:rsid w:val="00A65F0C"/>
    <w:rsid w:val="00A70DC7"/>
    <w:rsid w:val="00A72125"/>
    <w:rsid w:val="00A724A1"/>
    <w:rsid w:val="00A764FD"/>
    <w:rsid w:val="00A774EA"/>
    <w:rsid w:val="00A8236A"/>
    <w:rsid w:val="00A82433"/>
    <w:rsid w:val="00A84040"/>
    <w:rsid w:val="00A84955"/>
    <w:rsid w:val="00A8595D"/>
    <w:rsid w:val="00A93F51"/>
    <w:rsid w:val="00A942A2"/>
    <w:rsid w:val="00A94D85"/>
    <w:rsid w:val="00A96EF1"/>
    <w:rsid w:val="00A97E2E"/>
    <w:rsid w:val="00AA0762"/>
    <w:rsid w:val="00AA1423"/>
    <w:rsid w:val="00AA4956"/>
    <w:rsid w:val="00AA4A24"/>
    <w:rsid w:val="00AA5B72"/>
    <w:rsid w:val="00AA637E"/>
    <w:rsid w:val="00AA6F78"/>
    <w:rsid w:val="00AB0E3B"/>
    <w:rsid w:val="00AB2236"/>
    <w:rsid w:val="00AB45AE"/>
    <w:rsid w:val="00AC095A"/>
    <w:rsid w:val="00AC1A06"/>
    <w:rsid w:val="00AC2261"/>
    <w:rsid w:val="00AC255A"/>
    <w:rsid w:val="00AC35F2"/>
    <w:rsid w:val="00AC367E"/>
    <w:rsid w:val="00AC3738"/>
    <w:rsid w:val="00AC6DC4"/>
    <w:rsid w:val="00AC776B"/>
    <w:rsid w:val="00AC7A5A"/>
    <w:rsid w:val="00AD2036"/>
    <w:rsid w:val="00AD4967"/>
    <w:rsid w:val="00AD4C87"/>
    <w:rsid w:val="00AD5A9E"/>
    <w:rsid w:val="00AD5B8D"/>
    <w:rsid w:val="00AD6489"/>
    <w:rsid w:val="00AD762A"/>
    <w:rsid w:val="00AE0C00"/>
    <w:rsid w:val="00AE1D6D"/>
    <w:rsid w:val="00AE28EF"/>
    <w:rsid w:val="00AE2B3B"/>
    <w:rsid w:val="00AE7290"/>
    <w:rsid w:val="00AF286A"/>
    <w:rsid w:val="00AF39D2"/>
    <w:rsid w:val="00AF59A6"/>
    <w:rsid w:val="00AF7648"/>
    <w:rsid w:val="00AF7B7C"/>
    <w:rsid w:val="00B036BB"/>
    <w:rsid w:val="00B0725D"/>
    <w:rsid w:val="00B109D6"/>
    <w:rsid w:val="00B12556"/>
    <w:rsid w:val="00B13A78"/>
    <w:rsid w:val="00B15FB7"/>
    <w:rsid w:val="00B31587"/>
    <w:rsid w:val="00B317F5"/>
    <w:rsid w:val="00B3421A"/>
    <w:rsid w:val="00B34A19"/>
    <w:rsid w:val="00B36C62"/>
    <w:rsid w:val="00B377A8"/>
    <w:rsid w:val="00B37B11"/>
    <w:rsid w:val="00B40D73"/>
    <w:rsid w:val="00B42401"/>
    <w:rsid w:val="00B441E9"/>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7179"/>
    <w:rsid w:val="00B67341"/>
    <w:rsid w:val="00B6764C"/>
    <w:rsid w:val="00B678DD"/>
    <w:rsid w:val="00B67AF4"/>
    <w:rsid w:val="00B714E2"/>
    <w:rsid w:val="00B7355D"/>
    <w:rsid w:val="00B7395F"/>
    <w:rsid w:val="00B74935"/>
    <w:rsid w:val="00B74D61"/>
    <w:rsid w:val="00B759F3"/>
    <w:rsid w:val="00B776E9"/>
    <w:rsid w:val="00B77C6A"/>
    <w:rsid w:val="00B80E53"/>
    <w:rsid w:val="00B8163E"/>
    <w:rsid w:val="00B8193E"/>
    <w:rsid w:val="00B81F6E"/>
    <w:rsid w:val="00B875D3"/>
    <w:rsid w:val="00B90296"/>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A7BF3"/>
    <w:rsid w:val="00BB21A0"/>
    <w:rsid w:val="00BB2A2E"/>
    <w:rsid w:val="00BB481A"/>
    <w:rsid w:val="00BB4E9C"/>
    <w:rsid w:val="00BB5918"/>
    <w:rsid w:val="00BB5AE2"/>
    <w:rsid w:val="00BB7368"/>
    <w:rsid w:val="00BB7A53"/>
    <w:rsid w:val="00BC036B"/>
    <w:rsid w:val="00BC4703"/>
    <w:rsid w:val="00BC5F9F"/>
    <w:rsid w:val="00BC6200"/>
    <w:rsid w:val="00BC7B88"/>
    <w:rsid w:val="00BD0C9A"/>
    <w:rsid w:val="00BD161D"/>
    <w:rsid w:val="00BD1A9A"/>
    <w:rsid w:val="00BD3A4A"/>
    <w:rsid w:val="00BD47B6"/>
    <w:rsid w:val="00BD4A48"/>
    <w:rsid w:val="00BD4CEB"/>
    <w:rsid w:val="00BD5557"/>
    <w:rsid w:val="00BD5588"/>
    <w:rsid w:val="00BD5DEB"/>
    <w:rsid w:val="00BE0DD8"/>
    <w:rsid w:val="00BE2B5E"/>
    <w:rsid w:val="00BE36A8"/>
    <w:rsid w:val="00BE37B1"/>
    <w:rsid w:val="00BE600B"/>
    <w:rsid w:val="00BF08C3"/>
    <w:rsid w:val="00BF0CF2"/>
    <w:rsid w:val="00BF1B83"/>
    <w:rsid w:val="00BF487D"/>
    <w:rsid w:val="00BF4B3C"/>
    <w:rsid w:val="00BF4D49"/>
    <w:rsid w:val="00BF65A3"/>
    <w:rsid w:val="00C06DDF"/>
    <w:rsid w:val="00C07016"/>
    <w:rsid w:val="00C07F29"/>
    <w:rsid w:val="00C12B21"/>
    <w:rsid w:val="00C14D5B"/>
    <w:rsid w:val="00C175C8"/>
    <w:rsid w:val="00C2006D"/>
    <w:rsid w:val="00C2338D"/>
    <w:rsid w:val="00C25A01"/>
    <w:rsid w:val="00C26146"/>
    <w:rsid w:val="00C26685"/>
    <w:rsid w:val="00C30109"/>
    <w:rsid w:val="00C32761"/>
    <w:rsid w:val="00C34B4A"/>
    <w:rsid w:val="00C34CDB"/>
    <w:rsid w:val="00C359D1"/>
    <w:rsid w:val="00C361F9"/>
    <w:rsid w:val="00C37684"/>
    <w:rsid w:val="00C404A0"/>
    <w:rsid w:val="00C43E10"/>
    <w:rsid w:val="00C43E28"/>
    <w:rsid w:val="00C507CB"/>
    <w:rsid w:val="00C51476"/>
    <w:rsid w:val="00C51EA0"/>
    <w:rsid w:val="00C520D3"/>
    <w:rsid w:val="00C52768"/>
    <w:rsid w:val="00C5615B"/>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92D"/>
    <w:rsid w:val="00C87CFD"/>
    <w:rsid w:val="00C90039"/>
    <w:rsid w:val="00C93B11"/>
    <w:rsid w:val="00C93F38"/>
    <w:rsid w:val="00C9583E"/>
    <w:rsid w:val="00C9751E"/>
    <w:rsid w:val="00CA1960"/>
    <w:rsid w:val="00CA2C05"/>
    <w:rsid w:val="00CA3A29"/>
    <w:rsid w:val="00CA4467"/>
    <w:rsid w:val="00CA504D"/>
    <w:rsid w:val="00CA5407"/>
    <w:rsid w:val="00CA5BE0"/>
    <w:rsid w:val="00CA686D"/>
    <w:rsid w:val="00CA7C03"/>
    <w:rsid w:val="00CA7DCA"/>
    <w:rsid w:val="00CB08C3"/>
    <w:rsid w:val="00CB11EF"/>
    <w:rsid w:val="00CB3CEB"/>
    <w:rsid w:val="00CB5931"/>
    <w:rsid w:val="00CB59D5"/>
    <w:rsid w:val="00CC0673"/>
    <w:rsid w:val="00CC13EA"/>
    <w:rsid w:val="00CC1A6D"/>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D006AE"/>
    <w:rsid w:val="00D057D9"/>
    <w:rsid w:val="00D115A3"/>
    <w:rsid w:val="00D11637"/>
    <w:rsid w:val="00D12F1B"/>
    <w:rsid w:val="00D13DFB"/>
    <w:rsid w:val="00D16329"/>
    <w:rsid w:val="00D203B7"/>
    <w:rsid w:val="00D22003"/>
    <w:rsid w:val="00D22F7C"/>
    <w:rsid w:val="00D23649"/>
    <w:rsid w:val="00D25884"/>
    <w:rsid w:val="00D25E02"/>
    <w:rsid w:val="00D331FB"/>
    <w:rsid w:val="00D35895"/>
    <w:rsid w:val="00D35F3A"/>
    <w:rsid w:val="00D36FCA"/>
    <w:rsid w:val="00D37F80"/>
    <w:rsid w:val="00D40931"/>
    <w:rsid w:val="00D421D3"/>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A7F"/>
    <w:rsid w:val="00D62F07"/>
    <w:rsid w:val="00D62F1E"/>
    <w:rsid w:val="00D6341B"/>
    <w:rsid w:val="00D64A6E"/>
    <w:rsid w:val="00D6561C"/>
    <w:rsid w:val="00D703EA"/>
    <w:rsid w:val="00D706EB"/>
    <w:rsid w:val="00D73602"/>
    <w:rsid w:val="00D73E73"/>
    <w:rsid w:val="00D74F95"/>
    <w:rsid w:val="00D7503A"/>
    <w:rsid w:val="00D76398"/>
    <w:rsid w:val="00D7761B"/>
    <w:rsid w:val="00D83ED7"/>
    <w:rsid w:val="00D84A5A"/>
    <w:rsid w:val="00D863F0"/>
    <w:rsid w:val="00D86FD4"/>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106B"/>
    <w:rsid w:val="00DB22DA"/>
    <w:rsid w:val="00DB3611"/>
    <w:rsid w:val="00DB3CC7"/>
    <w:rsid w:val="00DB3EA8"/>
    <w:rsid w:val="00DB576F"/>
    <w:rsid w:val="00DB6A79"/>
    <w:rsid w:val="00DC0974"/>
    <w:rsid w:val="00DC09CA"/>
    <w:rsid w:val="00DC3014"/>
    <w:rsid w:val="00DC3312"/>
    <w:rsid w:val="00DC5A0B"/>
    <w:rsid w:val="00DC6317"/>
    <w:rsid w:val="00DC7D87"/>
    <w:rsid w:val="00DD120B"/>
    <w:rsid w:val="00DD2D35"/>
    <w:rsid w:val="00DD4BF2"/>
    <w:rsid w:val="00DD52CF"/>
    <w:rsid w:val="00DD5735"/>
    <w:rsid w:val="00DD59CB"/>
    <w:rsid w:val="00DD622F"/>
    <w:rsid w:val="00DD7A0C"/>
    <w:rsid w:val="00DE1A10"/>
    <w:rsid w:val="00DE2A5B"/>
    <w:rsid w:val="00DE35D9"/>
    <w:rsid w:val="00DE5855"/>
    <w:rsid w:val="00DE7FAE"/>
    <w:rsid w:val="00DF027D"/>
    <w:rsid w:val="00DF1CF4"/>
    <w:rsid w:val="00DF4199"/>
    <w:rsid w:val="00DF441B"/>
    <w:rsid w:val="00DF5784"/>
    <w:rsid w:val="00DF645B"/>
    <w:rsid w:val="00DF70D1"/>
    <w:rsid w:val="00E00204"/>
    <w:rsid w:val="00E008B9"/>
    <w:rsid w:val="00E019DC"/>
    <w:rsid w:val="00E05555"/>
    <w:rsid w:val="00E075F4"/>
    <w:rsid w:val="00E12819"/>
    <w:rsid w:val="00E1311E"/>
    <w:rsid w:val="00E145F6"/>
    <w:rsid w:val="00E14B3C"/>
    <w:rsid w:val="00E15BA7"/>
    <w:rsid w:val="00E17124"/>
    <w:rsid w:val="00E2281D"/>
    <w:rsid w:val="00E23236"/>
    <w:rsid w:val="00E23D82"/>
    <w:rsid w:val="00E26035"/>
    <w:rsid w:val="00E27F4E"/>
    <w:rsid w:val="00E27F76"/>
    <w:rsid w:val="00E30D64"/>
    <w:rsid w:val="00E3346F"/>
    <w:rsid w:val="00E33944"/>
    <w:rsid w:val="00E33DA2"/>
    <w:rsid w:val="00E340DE"/>
    <w:rsid w:val="00E341E1"/>
    <w:rsid w:val="00E361C0"/>
    <w:rsid w:val="00E37C5B"/>
    <w:rsid w:val="00E42234"/>
    <w:rsid w:val="00E42399"/>
    <w:rsid w:val="00E4415B"/>
    <w:rsid w:val="00E462C4"/>
    <w:rsid w:val="00E51216"/>
    <w:rsid w:val="00E51D32"/>
    <w:rsid w:val="00E54AA9"/>
    <w:rsid w:val="00E5647E"/>
    <w:rsid w:val="00E5762C"/>
    <w:rsid w:val="00E57954"/>
    <w:rsid w:val="00E602BB"/>
    <w:rsid w:val="00E610B2"/>
    <w:rsid w:val="00E6119C"/>
    <w:rsid w:val="00E61AA0"/>
    <w:rsid w:val="00E64F7D"/>
    <w:rsid w:val="00E65E4C"/>
    <w:rsid w:val="00E7090B"/>
    <w:rsid w:val="00E73D8A"/>
    <w:rsid w:val="00E73F9A"/>
    <w:rsid w:val="00E74AFE"/>
    <w:rsid w:val="00E76832"/>
    <w:rsid w:val="00E76D74"/>
    <w:rsid w:val="00E770DD"/>
    <w:rsid w:val="00E7776F"/>
    <w:rsid w:val="00E834F5"/>
    <w:rsid w:val="00E87A97"/>
    <w:rsid w:val="00E906A4"/>
    <w:rsid w:val="00E919F8"/>
    <w:rsid w:val="00E95759"/>
    <w:rsid w:val="00E96808"/>
    <w:rsid w:val="00E96AD4"/>
    <w:rsid w:val="00EA02A6"/>
    <w:rsid w:val="00EA036A"/>
    <w:rsid w:val="00EA22B2"/>
    <w:rsid w:val="00EA357E"/>
    <w:rsid w:val="00EA64E3"/>
    <w:rsid w:val="00EA71A1"/>
    <w:rsid w:val="00EA7599"/>
    <w:rsid w:val="00EA7608"/>
    <w:rsid w:val="00EB1BAE"/>
    <w:rsid w:val="00EB1D40"/>
    <w:rsid w:val="00EB5DC0"/>
    <w:rsid w:val="00EC1FF0"/>
    <w:rsid w:val="00EC25A2"/>
    <w:rsid w:val="00EC3F9C"/>
    <w:rsid w:val="00EC6667"/>
    <w:rsid w:val="00ED0304"/>
    <w:rsid w:val="00ED0EA7"/>
    <w:rsid w:val="00ED19E4"/>
    <w:rsid w:val="00ED1D2F"/>
    <w:rsid w:val="00ED25BB"/>
    <w:rsid w:val="00ED46DE"/>
    <w:rsid w:val="00ED4E85"/>
    <w:rsid w:val="00ED6789"/>
    <w:rsid w:val="00ED7CB5"/>
    <w:rsid w:val="00EE0997"/>
    <w:rsid w:val="00EE27F4"/>
    <w:rsid w:val="00EE38DE"/>
    <w:rsid w:val="00EE45EB"/>
    <w:rsid w:val="00EE55A4"/>
    <w:rsid w:val="00EE60A9"/>
    <w:rsid w:val="00EE6A3E"/>
    <w:rsid w:val="00EE6CDC"/>
    <w:rsid w:val="00EE7335"/>
    <w:rsid w:val="00EF079A"/>
    <w:rsid w:val="00EF0855"/>
    <w:rsid w:val="00EF23B4"/>
    <w:rsid w:val="00EF4098"/>
    <w:rsid w:val="00EF4509"/>
    <w:rsid w:val="00EF6083"/>
    <w:rsid w:val="00EF723C"/>
    <w:rsid w:val="00F00142"/>
    <w:rsid w:val="00F028F4"/>
    <w:rsid w:val="00F03BDC"/>
    <w:rsid w:val="00F0472A"/>
    <w:rsid w:val="00F04FB0"/>
    <w:rsid w:val="00F066D0"/>
    <w:rsid w:val="00F0677F"/>
    <w:rsid w:val="00F07B18"/>
    <w:rsid w:val="00F1183C"/>
    <w:rsid w:val="00F14F6B"/>
    <w:rsid w:val="00F14FE7"/>
    <w:rsid w:val="00F15267"/>
    <w:rsid w:val="00F15EB7"/>
    <w:rsid w:val="00F1763E"/>
    <w:rsid w:val="00F176FA"/>
    <w:rsid w:val="00F22CF2"/>
    <w:rsid w:val="00F25941"/>
    <w:rsid w:val="00F263D6"/>
    <w:rsid w:val="00F26A72"/>
    <w:rsid w:val="00F31367"/>
    <w:rsid w:val="00F316C7"/>
    <w:rsid w:val="00F31FF8"/>
    <w:rsid w:val="00F3215A"/>
    <w:rsid w:val="00F333B6"/>
    <w:rsid w:val="00F33959"/>
    <w:rsid w:val="00F40801"/>
    <w:rsid w:val="00F41BF1"/>
    <w:rsid w:val="00F42817"/>
    <w:rsid w:val="00F42B32"/>
    <w:rsid w:val="00F450BA"/>
    <w:rsid w:val="00F454A9"/>
    <w:rsid w:val="00F47A60"/>
    <w:rsid w:val="00F503EB"/>
    <w:rsid w:val="00F50C39"/>
    <w:rsid w:val="00F5346E"/>
    <w:rsid w:val="00F54943"/>
    <w:rsid w:val="00F549DC"/>
    <w:rsid w:val="00F56C32"/>
    <w:rsid w:val="00F57653"/>
    <w:rsid w:val="00F57F1C"/>
    <w:rsid w:val="00F627A0"/>
    <w:rsid w:val="00F660EE"/>
    <w:rsid w:val="00F6709D"/>
    <w:rsid w:val="00F67C15"/>
    <w:rsid w:val="00F72594"/>
    <w:rsid w:val="00F7478C"/>
    <w:rsid w:val="00F77BAE"/>
    <w:rsid w:val="00F829FB"/>
    <w:rsid w:val="00F83F2B"/>
    <w:rsid w:val="00F86491"/>
    <w:rsid w:val="00F9018C"/>
    <w:rsid w:val="00F91B1E"/>
    <w:rsid w:val="00F92064"/>
    <w:rsid w:val="00F9228A"/>
    <w:rsid w:val="00F9254A"/>
    <w:rsid w:val="00F9268D"/>
    <w:rsid w:val="00F937D5"/>
    <w:rsid w:val="00F9485C"/>
    <w:rsid w:val="00F96A25"/>
    <w:rsid w:val="00F96A86"/>
    <w:rsid w:val="00F97174"/>
    <w:rsid w:val="00F972B5"/>
    <w:rsid w:val="00FA1D0E"/>
    <w:rsid w:val="00FA2403"/>
    <w:rsid w:val="00FA2BE8"/>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7E98"/>
    <w:rsid w:val="00FE090B"/>
    <w:rsid w:val="00FE1080"/>
    <w:rsid w:val="00FE1749"/>
    <w:rsid w:val="00FE3168"/>
    <w:rsid w:val="00FE3FB1"/>
    <w:rsid w:val="00FE56E9"/>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132451963">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11265705">
      <w:bodyDiv w:val="1"/>
      <w:marLeft w:val="0"/>
      <w:marRight w:val="0"/>
      <w:marTop w:val="0"/>
      <w:marBottom w:val="0"/>
      <w:divBdr>
        <w:top w:val="none" w:sz="0" w:space="0" w:color="auto"/>
        <w:left w:val="none" w:sz="0" w:space="0" w:color="auto"/>
        <w:bottom w:val="none" w:sz="0" w:space="0" w:color="auto"/>
        <w:right w:val="none" w:sz="0" w:space="0" w:color="auto"/>
      </w:divBdr>
      <w:divsChild>
        <w:div w:id="729773008">
          <w:marLeft w:val="0"/>
          <w:marRight w:val="0"/>
          <w:marTop w:val="0"/>
          <w:marBottom w:val="0"/>
          <w:divBdr>
            <w:top w:val="none" w:sz="0" w:space="0" w:color="auto"/>
            <w:left w:val="none" w:sz="0" w:space="0" w:color="auto"/>
            <w:bottom w:val="none" w:sz="0" w:space="0" w:color="auto"/>
            <w:right w:val="none" w:sz="0" w:space="0" w:color="auto"/>
          </w:divBdr>
          <w:divsChild>
            <w:div w:id="1072771153">
              <w:marLeft w:val="0"/>
              <w:marRight w:val="0"/>
              <w:marTop w:val="0"/>
              <w:marBottom w:val="0"/>
              <w:divBdr>
                <w:top w:val="none" w:sz="0" w:space="0" w:color="auto"/>
                <w:left w:val="none" w:sz="0" w:space="0" w:color="auto"/>
                <w:bottom w:val="none" w:sz="0" w:space="0" w:color="auto"/>
                <w:right w:val="none" w:sz="0" w:space="0" w:color="auto"/>
              </w:divBdr>
              <w:divsChild>
                <w:div w:id="236747763">
                  <w:marLeft w:val="0"/>
                  <w:marRight w:val="0"/>
                  <w:marTop w:val="0"/>
                  <w:marBottom w:val="0"/>
                  <w:divBdr>
                    <w:top w:val="none" w:sz="0" w:space="0" w:color="auto"/>
                    <w:left w:val="none" w:sz="0" w:space="0" w:color="auto"/>
                    <w:bottom w:val="none" w:sz="0" w:space="0" w:color="auto"/>
                    <w:right w:val="none" w:sz="0" w:space="0" w:color="auto"/>
                  </w:divBdr>
                  <w:divsChild>
                    <w:div w:id="1867677171">
                      <w:marLeft w:val="0"/>
                      <w:marRight w:val="0"/>
                      <w:marTop w:val="0"/>
                      <w:marBottom w:val="0"/>
                      <w:divBdr>
                        <w:top w:val="none" w:sz="0" w:space="0" w:color="auto"/>
                        <w:left w:val="none" w:sz="0" w:space="0" w:color="auto"/>
                        <w:bottom w:val="none" w:sz="0" w:space="0" w:color="auto"/>
                        <w:right w:val="none" w:sz="0" w:space="0" w:color="auto"/>
                      </w:divBdr>
                      <w:divsChild>
                        <w:div w:id="1652634811">
                          <w:marLeft w:val="0"/>
                          <w:marRight w:val="0"/>
                          <w:marTop w:val="0"/>
                          <w:marBottom w:val="0"/>
                          <w:divBdr>
                            <w:top w:val="none" w:sz="0" w:space="0" w:color="auto"/>
                            <w:left w:val="none" w:sz="0" w:space="0" w:color="auto"/>
                            <w:bottom w:val="none" w:sz="0" w:space="0" w:color="auto"/>
                            <w:right w:val="none" w:sz="0" w:space="0" w:color="auto"/>
                          </w:divBdr>
                          <w:divsChild>
                            <w:div w:id="10955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758672968">
      <w:bodyDiv w:val="1"/>
      <w:marLeft w:val="0"/>
      <w:marRight w:val="0"/>
      <w:marTop w:val="0"/>
      <w:marBottom w:val="0"/>
      <w:divBdr>
        <w:top w:val="none" w:sz="0" w:space="0" w:color="auto"/>
        <w:left w:val="none" w:sz="0" w:space="0" w:color="auto"/>
        <w:bottom w:val="none" w:sz="0" w:space="0" w:color="auto"/>
        <w:right w:val="none" w:sz="0" w:space="0" w:color="auto"/>
      </w:divBdr>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825970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2984">
          <w:marLeft w:val="0"/>
          <w:marRight w:val="0"/>
          <w:marTop w:val="0"/>
          <w:marBottom w:val="0"/>
          <w:divBdr>
            <w:top w:val="none" w:sz="0" w:space="0" w:color="auto"/>
            <w:left w:val="none" w:sz="0" w:space="0" w:color="auto"/>
            <w:bottom w:val="none" w:sz="0" w:space="0" w:color="auto"/>
            <w:right w:val="none" w:sz="0" w:space="0" w:color="auto"/>
          </w:divBdr>
        </w:div>
        <w:div w:id="1860311537">
          <w:marLeft w:val="0"/>
          <w:marRight w:val="0"/>
          <w:marTop w:val="0"/>
          <w:marBottom w:val="0"/>
          <w:divBdr>
            <w:top w:val="none" w:sz="0" w:space="0" w:color="auto"/>
            <w:left w:val="none" w:sz="0" w:space="0" w:color="auto"/>
            <w:bottom w:val="none" w:sz="0" w:space="0" w:color="auto"/>
            <w:right w:val="none" w:sz="0" w:space="0" w:color="auto"/>
          </w:divBdr>
          <w:divsChild>
            <w:div w:id="439685287">
              <w:marLeft w:val="0"/>
              <w:marRight w:val="0"/>
              <w:marTop w:val="0"/>
              <w:marBottom w:val="0"/>
              <w:divBdr>
                <w:top w:val="none" w:sz="0" w:space="0" w:color="auto"/>
                <w:left w:val="none" w:sz="0" w:space="0" w:color="auto"/>
                <w:bottom w:val="none" w:sz="0" w:space="0" w:color="auto"/>
                <w:right w:val="none" w:sz="0" w:space="0" w:color="auto"/>
              </w:divBdr>
              <w:divsChild>
                <w:div w:id="1879926178">
                  <w:marLeft w:val="0"/>
                  <w:marRight w:val="0"/>
                  <w:marTop w:val="0"/>
                  <w:marBottom w:val="0"/>
                  <w:divBdr>
                    <w:top w:val="none" w:sz="0" w:space="0" w:color="auto"/>
                    <w:left w:val="none" w:sz="0" w:space="0" w:color="auto"/>
                    <w:bottom w:val="none" w:sz="0" w:space="0" w:color="auto"/>
                    <w:right w:val="none" w:sz="0" w:space="0" w:color="auto"/>
                  </w:divBdr>
                  <w:divsChild>
                    <w:div w:id="1214535282">
                      <w:marLeft w:val="0"/>
                      <w:marRight w:val="0"/>
                      <w:marTop w:val="0"/>
                      <w:marBottom w:val="0"/>
                      <w:divBdr>
                        <w:top w:val="none" w:sz="0" w:space="0" w:color="auto"/>
                        <w:left w:val="none" w:sz="0" w:space="0" w:color="auto"/>
                        <w:bottom w:val="none" w:sz="0" w:space="0" w:color="auto"/>
                        <w:right w:val="none" w:sz="0" w:space="0" w:color="auto"/>
                      </w:divBdr>
                      <w:divsChild>
                        <w:div w:id="1066957764">
                          <w:marLeft w:val="0"/>
                          <w:marRight w:val="0"/>
                          <w:marTop w:val="0"/>
                          <w:marBottom w:val="0"/>
                          <w:divBdr>
                            <w:top w:val="none" w:sz="0" w:space="0" w:color="auto"/>
                            <w:left w:val="none" w:sz="0" w:space="0" w:color="auto"/>
                            <w:bottom w:val="none" w:sz="0" w:space="0" w:color="auto"/>
                            <w:right w:val="none" w:sz="0" w:space="0" w:color="auto"/>
                          </w:divBdr>
                          <w:divsChild>
                            <w:div w:id="11758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0798">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09469155">
      <w:bodyDiv w:val="1"/>
      <w:marLeft w:val="0"/>
      <w:marRight w:val="0"/>
      <w:marTop w:val="0"/>
      <w:marBottom w:val="0"/>
      <w:divBdr>
        <w:top w:val="none" w:sz="0" w:space="0" w:color="auto"/>
        <w:left w:val="none" w:sz="0" w:space="0" w:color="auto"/>
        <w:bottom w:val="none" w:sz="0" w:space="0" w:color="auto"/>
        <w:right w:val="none" w:sz="0" w:space="0" w:color="auto"/>
      </w:divBdr>
      <w:divsChild>
        <w:div w:id="1491629826">
          <w:marLeft w:val="0"/>
          <w:marRight w:val="0"/>
          <w:marTop w:val="0"/>
          <w:marBottom w:val="0"/>
          <w:divBdr>
            <w:top w:val="none" w:sz="0" w:space="0" w:color="auto"/>
            <w:left w:val="none" w:sz="0" w:space="0" w:color="auto"/>
            <w:bottom w:val="none" w:sz="0" w:space="0" w:color="auto"/>
            <w:right w:val="none" w:sz="0" w:space="0" w:color="auto"/>
          </w:divBdr>
          <w:divsChild>
            <w:div w:id="328678543">
              <w:marLeft w:val="0"/>
              <w:marRight w:val="0"/>
              <w:marTop w:val="0"/>
              <w:marBottom w:val="0"/>
              <w:divBdr>
                <w:top w:val="none" w:sz="0" w:space="0" w:color="auto"/>
                <w:left w:val="none" w:sz="0" w:space="0" w:color="auto"/>
                <w:bottom w:val="none" w:sz="0" w:space="0" w:color="auto"/>
                <w:right w:val="none" w:sz="0" w:space="0" w:color="auto"/>
              </w:divBdr>
              <w:divsChild>
                <w:div w:id="93477701">
                  <w:marLeft w:val="0"/>
                  <w:marRight w:val="0"/>
                  <w:marTop w:val="0"/>
                  <w:marBottom w:val="0"/>
                  <w:divBdr>
                    <w:top w:val="none" w:sz="0" w:space="0" w:color="auto"/>
                    <w:left w:val="none" w:sz="0" w:space="0" w:color="auto"/>
                    <w:bottom w:val="none" w:sz="0" w:space="0" w:color="auto"/>
                    <w:right w:val="none" w:sz="0" w:space="0" w:color="auto"/>
                  </w:divBdr>
                  <w:divsChild>
                    <w:div w:id="1326326453">
                      <w:marLeft w:val="0"/>
                      <w:marRight w:val="0"/>
                      <w:marTop w:val="0"/>
                      <w:marBottom w:val="0"/>
                      <w:divBdr>
                        <w:top w:val="none" w:sz="0" w:space="0" w:color="auto"/>
                        <w:left w:val="none" w:sz="0" w:space="0" w:color="auto"/>
                        <w:bottom w:val="none" w:sz="0" w:space="0" w:color="auto"/>
                        <w:right w:val="none" w:sz="0" w:space="0" w:color="auto"/>
                      </w:divBdr>
                      <w:divsChild>
                        <w:div w:id="335115701">
                          <w:marLeft w:val="0"/>
                          <w:marRight w:val="0"/>
                          <w:marTop w:val="0"/>
                          <w:marBottom w:val="0"/>
                          <w:divBdr>
                            <w:top w:val="none" w:sz="0" w:space="0" w:color="auto"/>
                            <w:left w:val="none" w:sz="0" w:space="0" w:color="auto"/>
                            <w:bottom w:val="none" w:sz="0" w:space="0" w:color="auto"/>
                            <w:right w:val="none" w:sz="0" w:space="0" w:color="auto"/>
                          </w:divBdr>
                          <w:divsChild>
                            <w:div w:id="6597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7C7BF4C3-78B1-4472-9B8F-BC1379DEC1A0}">
  <ds:schemaRef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5D871B-4307-49DC-A2C0-0C710F10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Aynur Küçük</cp:lastModifiedBy>
  <cp:revision>3</cp:revision>
  <cp:lastPrinted>2016-06-14T08:07:00Z</cp:lastPrinted>
  <dcterms:created xsi:type="dcterms:W3CDTF">2016-06-14T08:19:00Z</dcterms:created>
  <dcterms:modified xsi:type="dcterms:W3CDTF">2016-06-14T08:45:00Z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