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5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C3773A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C3773A">
        <w:rPr>
          <w:rFonts w:ascii="Arial" w:hAnsi="Arial" w:cs="Arial"/>
          <w:sz w:val="28"/>
          <w:szCs w:val="28"/>
          <w:lang w:val="en-US"/>
        </w:rPr>
        <w:t xml:space="preserve">Employees </w:t>
      </w:r>
      <w:r w:rsidR="009C0A01">
        <w:rPr>
          <w:rFonts w:ascii="Arial" w:hAnsi="Arial" w:cs="Arial"/>
          <w:sz w:val="28"/>
          <w:szCs w:val="28"/>
          <w:lang w:val="en-US"/>
        </w:rPr>
        <w:t>and Branches</w:t>
      </w:r>
    </w:p>
    <w:p w:rsidR="00EC6DE3" w:rsidRPr="00C3773A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i</w:t>
      </w:r>
      <w:r w:rsidR="00DD0655">
        <w:rPr>
          <w:rFonts w:ascii="Arial" w:hAnsi="Arial" w:cs="Arial"/>
          <w:sz w:val="28"/>
          <w:szCs w:val="28"/>
          <w:lang w:val="en-US"/>
        </w:rPr>
        <w:t>n</w:t>
      </w:r>
      <w:proofErr w:type="gramEnd"/>
      <w:r w:rsidR="00DD0655">
        <w:rPr>
          <w:rFonts w:ascii="Arial" w:hAnsi="Arial" w:cs="Arial"/>
          <w:sz w:val="28"/>
          <w:szCs w:val="28"/>
          <w:lang w:val="en-US"/>
        </w:rPr>
        <w:t xml:space="preserve"> Banking System</w:t>
      </w:r>
      <w:r w:rsidR="000600C3" w:rsidRPr="00C3773A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C3773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C3773A" w:rsidRDefault="00ED5ADE" w:rsidP="00C3793B">
      <w:pPr>
        <w:pStyle w:val="Title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September</w:t>
      </w:r>
      <w:r w:rsidR="00B87BFD">
        <w:rPr>
          <w:rFonts w:ascii="Arial" w:hAnsi="Arial" w:cs="Arial"/>
          <w:szCs w:val="24"/>
          <w:lang w:val="en-US"/>
        </w:rPr>
        <w:t xml:space="preserve"> 2017</w:t>
      </w:r>
    </w:p>
    <w:p w:rsidR="00C3793B" w:rsidRPr="000E1988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5E603B" w:rsidRDefault="00A27B2E" w:rsidP="00B07B3D">
      <w:pPr>
        <w:pStyle w:val="Subtitle"/>
        <w:rPr>
          <w:szCs w:val="22"/>
          <w:lang w:val="en-US"/>
        </w:rPr>
      </w:pPr>
      <w:r>
        <w:rPr>
          <w:szCs w:val="22"/>
          <w:lang w:val="en-US"/>
        </w:rPr>
        <w:t>Number of Banks</w:t>
      </w:r>
    </w:p>
    <w:p w:rsidR="00EC6DE3" w:rsidRPr="005421C0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5E603B" w:rsidRPr="003751EA" w:rsidRDefault="00EC6DE3" w:rsidP="007E2C56">
      <w:pPr>
        <w:jc w:val="both"/>
        <w:rPr>
          <w:rFonts w:ascii="Arial" w:hAnsi="Arial"/>
          <w:sz w:val="22"/>
          <w:szCs w:val="22"/>
          <w:lang w:val="en-US"/>
        </w:rPr>
      </w:pPr>
      <w:r w:rsidRPr="005E603B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was </w:t>
      </w:r>
      <w:r w:rsidR="0099752C">
        <w:rPr>
          <w:rFonts w:ascii="Arial" w:hAnsi="Arial"/>
          <w:sz w:val="22"/>
          <w:szCs w:val="22"/>
          <w:lang w:val="en-US"/>
        </w:rPr>
        <w:t>5</w:t>
      </w:r>
      <w:r w:rsidR="00BF7364">
        <w:rPr>
          <w:rFonts w:ascii="Arial" w:hAnsi="Arial"/>
          <w:sz w:val="22"/>
          <w:szCs w:val="22"/>
          <w:lang w:val="en-US"/>
        </w:rPr>
        <w:t>1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at the end of </w:t>
      </w:r>
      <w:r w:rsidR="00ED5ADE">
        <w:rPr>
          <w:rFonts w:ascii="Arial" w:hAnsi="Arial"/>
          <w:sz w:val="22"/>
          <w:szCs w:val="22"/>
          <w:lang w:val="en-US"/>
        </w:rPr>
        <w:t>September</w:t>
      </w:r>
      <w:r w:rsidR="00B87BFD">
        <w:rPr>
          <w:rFonts w:ascii="Arial" w:hAnsi="Arial"/>
          <w:sz w:val="22"/>
          <w:szCs w:val="22"/>
          <w:lang w:val="en-US"/>
        </w:rPr>
        <w:t xml:space="preserve"> 2017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 with </w:t>
      </w:r>
      <w:r w:rsidRPr="005E603B">
        <w:rPr>
          <w:rFonts w:ascii="Arial" w:hAnsi="Arial"/>
          <w:sz w:val="22"/>
          <w:szCs w:val="22"/>
          <w:lang w:val="en-US"/>
        </w:rPr>
        <w:t>3</w:t>
      </w:r>
      <w:r w:rsidR="00BF7364">
        <w:rPr>
          <w:rFonts w:ascii="Arial" w:hAnsi="Arial"/>
          <w:sz w:val="22"/>
          <w:szCs w:val="22"/>
          <w:lang w:val="en-US"/>
        </w:rPr>
        <w:t>3</w:t>
      </w:r>
      <w:r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E603B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5E603B">
        <w:rPr>
          <w:rFonts w:ascii="Arial" w:hAnsi="Arial"/>
          <w:sz w:val="22"/>
          <w:szCs w:val="22"/>
          <w:lang w:val="en-US"/>
        </w:rPr>
        <w:t>, w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also </w:t>
      </w:r>
      <w:proofErr w:type="gramStart"/>
      <w:r w:rsidR="00B05457">
        <w:rPr>
          <w:rFonts w:ascii="Arial" w:hAnsi="Arial"/>
          <w:sz w:val="22"/>
          <w:szCs w:val="22"/>
          <w:lang w:val="en-US"/>
        </w:rPr>
        <w:t>5</w:t>
      </w:r>
      <w:proofErr w:type="gramEnd"/>
      <w:r w:rsidR="00823520" w:rsidRPr="005E603B">
        <w:rPr>
          <w:rFonts w:ascii="Arial" w:hAnsi="Arial"/>
          <w:sz w:val="22"/>
          <w:szCs w:val="22"/>
          <w:lang w:val="en-US"/>
        </w:rPr>
        <w:t xml:space="preserve"> participation banks. </w:t>
      </w:r>
    </w:p>
    <w:p w:rsidR="00B702C1" w:rsidRPr="005421C0" w:rsidRDefault="00B702C1" w:rsidP="00EC6DE3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EC6DE3" w:rsidRPr="00C3773A" w:rsidRDefault="00EC6DE3" w:rsidP="00EC6DE3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>Number of B</w:t>
      </w:r>
      <w:r w:rsidR="00982AD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EC6DE3" w:rsidRDefault="00EF294E" w:rsidP="00EC6DE3">
      <w:pPr>
        <w:rPr>
          <w:rFonts w:ascii="Arial" w:hAnsi="Arial"/>
          <w:sz w:val="16"/>
          <w:szCs w:val="16"/>
          <w:lang w:val="en-US"/>
        </w:rPr>
      </w:pPr>
      <w:r>
        <w:rPr>
          <w:noProof/>
          <w:lang w:eastAsia="tr-TR"/>
        </w:rPr>
        <w:drawing>
          <wp:inline distT="0" distB="0" distL="0" distR="0" wp14:anchorId="25C9DFB8" wp14:editId="3B6A5473">
            <wp:extent cx="5114925" cy="13811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706D" w:rsidRPr="000E1988" w:rsidRDefault="0014706D" w:rsidP="00EC6DE3">
      <w:pPr>
        <w:rPr>
          <w:rFonts w:ascii="Arial" w:hAnsi="Arial"/>
          <w:sz w:val="16"/>
          <w:szCs w:val="16"/>
          <w:lang w:val="en-US"/>
        </w:rPr>
      </w:pPr>
    </w:p>
    <w:p w:rsidR="00EC6DE3" w:rsidRPr="00C3773A" w:rsidRDefault="00A27B2E" w:rsidP="00EC6DE3">
      <w:pPr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sz w:val="16"/>
          <w:lang w:val="en-US"/>
        </w:rPr>
        <w:t xml:space="preserve">        </w:t>
      </w:r>
      <w:r w:rsidR="003825FF">
        <w:rPr>
          <w:rFonts w:ascii="Arial" w:hAnsi="Arial"/>
          <w:i/>
          <w:sz w:val="16"/>
          <w:lang w:val="en-US"/>
        </w:rPr>
        <w:t xml:space="preserve"> </w:t>
      </w:r>
      <w:r>
        <w:rPr>
          <w:rFonts w:ascii="Arial" w:hAnsi="Arial"/>
          <w:i/>
          <w:sz w:val="16"/>
          <w:lang w:val="en-US"/>
        </w:rPr>
        <w:t xml:space="preserve"> </w:t>
      </w:r>
      <w:r w:rsidR="003825FF">
        <w:rPr>
          <w:rFonts w:ascii="Arial" w:hAnsi="Arial"/>
          <w:i/>
          <w:sz w:val="16"/>
          <w:lang w:val="en-US"/>
        </w:rPr>
        <w:t xml:space="preserve">* </w:t>
      </w:r>
      <w:r w:rsidR="00EC6DE3" w:rsidRPr="00C3773A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5421C0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E5034D" w:rsidRDefault="003F6C5A" w:rsidP="003F6C5A">
      <w:pPr>
        <w:pStyle w:val="Subtitle"/>
        <w:rPr>
          <w:color w:val="000000"/>
          <w:lang w:val="en-US"/>
        </w:rPr>
      </w:pPr>
      <w:r w:rsidRPr="00E5034D">
        <w:rPr>
          <w:color w:val="000000"/>
          <w:lang w:val="en-US"/>
        </w:rPr>
        <w:t xml:space="preserve">Number of </w:t>
      </w:r>
      <w:r w:rsidR="000337BF">
        <w:rPr>
          <w:color w:val="000000"/>
          <w:lang w:val="en-US"/>
        </w:rPr>
        <w:t>E</w:t>
      </w:r>
      <w:r w:rsidR="00EC6DE3" w:rsidRPr="00E5034D">
        <w:rPr>
          <w:color w:val="000000"/>
          <w:lang w:val="en-US"/>
        </w:rPr>
        <w:t>mployees</w:t>
      </w:r>
      <w:r w:rsidRPr="00E5034D">
        <w:rPr>
          <w:color w:val="000000"/>
          <w:lang w:val="en-US"/>
        </w:rPr>
        <w:t xml:space="preserve"> </w:t>
      </w:r>
    </w:p>
    <w:p w:rsidR="0066600F" w:rsidRPr="005421C0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t xml:space="preserve">As of </w:t>
      </w:r>
      <w:r w:rsidR="00ED5ADE">
        <w:rPr>
          <w:rFonts w:ascii="Arial" w:hAnsi="Arial"/>
          <w:sz w:val="22"/>
          <w:szCs w:val="22"/>
          <w:lang w:val="en-US"/>
        </w:rPr>
        <w:t>September</w:t>
      </w:r>
      <w:r w:rsidR="00990FBF">
        <w:rPr>
          <w:rFonts w:ascii="Arial" w:hAnsi="Arial"/>
          <w:sz w:val="22"/>
          <w:szCs w:val="22"/>
          <w:lang w:val="en-US"/>
        </w:rPr>
        <w:t xml:space="preserve"> 2017</w:t>
      </w:r>
      <w:r w:rsidRPr="00C3773A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>
        <w:rPr>
          <w:rFonts w:ascii="Arial" w:hAnsi="Arial"/>
          <w:sz w:val="22"/>
          <w:szCs w:val="22"/>
          <w:lang w:val="en-US"/>
        </w:rPr>
        <w:t>in</w:t>
      </w:r>
      <w:r w:rsidR="00191359" w:rsidRPr="00C3773A">
        <w:rPr>
          <w:rFonts w:ascii="Arial" w:hAnsi="Arial"/>
          <w:sz w:val="22"/>
          <w:szCs w:val="22"/>
          <w:lang w:val="en-US"/>
        </w:rPr>
        <w:t xml:space="preserve"> deposit banks and development and investment banks</w:t>
      </w:r>
      <w:r w:rsidR="00191359">
        <w:rPr>
          <w:rFonts w:ascii="Arial" w:hAnsi="Arial"/>
          <w:sz w:val="22"/>
          <w:szCs w:val="22"/>
          <w:lang w:val="en-US"/>
        </w:rPr>
        <w:t xml:space="preserve"> was 19</w:t>
      </w:r>
      <w:r w:rsidR="00811BEA">
        <w:rPr>
          <w:rFonts w:ascii="Arial" w:hAnsi="Arial"/>
          <w:sz w:val="22"/>
          <w:szCs w:val="22"/>
          <w:lang w:val="en-US"/>
        </w:rPr>
        <w:t>6</w:t>
      </w:r>
      <w:r w:rsidR="00191359">
        <w:rPr>
          <w:rFonts w:ascii="Arial" w:hAnsi="Arial"/>
          <w:sz w:val="22"/>
          <w:szCs w:val="22"/>
          <w:lang w:val="en-US"/>
        </w:rPr>
        <w:t>,</w:t>
      </w:r>
      <w:r w:rsidR="00CE5C69">
        <w:rPr>
          <w:rFonts w:ascii="Arial" w:hAnsi="Arial"/>
          <w:sz w:val="22"/>
          <w:szCs w:val="22"/>
          <w:lang w:val="en-US"/>
        </w:rPr>
        <w:t>0</w:t>
      </w:r>
      <w:r w:rsidR="00ED5ADE">
        <w:rPr>
          <w:rFonts w:ascii="Arial" w:hAnsi="Arial"/>
          <w:sz w:val="22"/>
          <w:szCs w:val="22"/>
          <w:lang w:val="en-US"/>
        </w:rPr>
        <w:t>64</w:t>
      </w:r>
      <w:r w:rsidR="00191359">
        <w:rPr>
          <w:rFonts w:ascii="Arial" w:hAnsi="Arial"/>
          <w:sz w:val="22"/>
          <w:szCs w:val="22"/>
          <w:lang w:val="en-US"/>
        </w:rPr>
        <w:t xml:space="preserve">. </w:t>
      </w:r>
    </w:p>
    <w:p w:rsidR="003B53F2" w:rsidRPr="005421C0" w:rsidRDefault="003B53F2" w:rsidP="00EE4771">
      <w:pPr>
        <w:pStyle w:val="Heading9"/>
        <w:rPr>
          <w:rFonts w:ascii="Arial" w:hAnsi="Arial"/>
          <w:sz w:val="12"/>
          <w:szCs w:val="12"/>
          <w:lang w:val="en-US"/>
        </w:rPr>
      </w:pPr>
    </w:p>
    <w:p w:rsidR="00B0797C" w:rsidRPr="00F5603B" w:rsidRDefault="00EC6DE3" w:rsidP="00F5603B">
      <w:pPr>
        <w:pStyle w:val="Heading9"/>
        <w:rPr>
          <w:rFonts w:ascii="Arial" w:hAnsi="Arial"/>
          <w:lang w:val="en-US"/>
        </w:rPr>
      </w:pPr>
      <w:r w:rsidRPr="00C3773A">
        <w:rPr>
          <w:rFonts w:ascii="Arial" w:hAnsi="Arial"/>
          <w:lang w:val="en-US"/>
        </w:rPr>
        <w:t>Number of Employees</w:t>
      </w:r>
    </w:p>
    <w:p w:rsidR="00EC6DE3" w:rsidRPr="00C3773A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267" w:type="dxa"/>
        <w:jc w:val="center"/>
        <w:tblLayout w:type="fixed"/>
        <w:tblLook w:val="0000" w:firstRow="0" w:lastRow="0" w:firstColumn="0" w:lastColumn="0" w:noHBand="0" w:noVBand="0"/>
      </w:tblPr>
      <w:tblGrid>
        <w:gridCol w:w="2448"/>
        <w:gridCol w:w="1701"/>
        <w:gridCol w:w="1559"/>
        <w:gridCol w:w="1559"/>
      </w:tblGrid>
      <w:tr w:rsidR="00AC0D85" w:rsidRPr="00C3773A" w:rsidTr="007C2014">
        <w:trPr>
          <w:trHeight w:val="390"/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:rsidR="00AC0D85" w:rsidRPr="00C3773A" w:rsidRDefault="00AC0D85" w:rsidP="002E66A3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2F62" w:rsidRDefault="00B8565E" w:rsidP="00E02F62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E02F62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</w:p>
          <w:p w:rsidR="00AC0D85" w:rsidRPr="00C3773A" w:rsidRDefault="00E02F62" w:rsidP="00184AD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 w:rsidR="00184ADD">
              <w:rPr>
                <w:rFonts w:ascii="Arial" w:hAnsi="Arial"/>
                <w:b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D85" w:rsidRPr="00C3773A" w:rsidRDefault="00184ADD" w:rsidP="004032C3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 xml:space="preserve">December </w:t>
            </w:r>
            <w:r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>
              <w:rPr>
                <w:rFonts w:ascii="Arial" w:hAnsi="Arial"/>
                <w:b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ADD" w:rsidRDefault="00B8565E" w:rsidP="00184AD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184ADD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</w:p>
          <w:p w:rsidR="00AC0D85" w:rsidRPr="00C3773A" w:rsidRDefault="00184ADD" w:rsidP="00184AD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>
              <w:rPr>
                <w:rFonts w:ascii="Arial" w:hAnsi="Arial"/>
                <w:b/>
                <w:sz w:val="20"/>
                <w:lang w:val="en-US"/>
              </w:rPr>
              <w:t>7</w:t>
            </w:r>
          </w:p>
        </w:tc>
      </w:tr>
      <w:tr w:rsidR="00AC0D85" w:rsidRPr="00C3773A" w:rsidTr="007C2014">
        <w:trPr>
          <w:jc w:val="center"/>
        </w:trPr>
        <w:tc>
          <w:tcPr>
            <w:tcW w:w="2448" w:type="dxa"/>
          </w:tcPr>
          <w:p w:rsidR="00AC0D85" w:rsidRPr="00C3773A" w:rsidRDefault="00AC0D85" w:rsidP="002E66A3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AC0D85" w:rsidRPr="00C3773A" w:rsidRDefault="00AC0D85" w:rsidP="00AC0D85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AC0D85" w:rsidRPr="00C3773A" w:rsidRDefault="00AC0D85" w:rsidP="00AC0D85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AC0D85" w:rsidRPr="00C3773A" w:rsidRDefault="00AC0D85" w:rsidP="00873BE7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184ADD" w:rsidRPr="00C3773A" w:rsidTr="007C2014">
        <w:trPr>
          <w:jc w:val="center"/>
        </w:trPr>
        <w:tc>
          <w:tcPr>
            <w:tcW w:w="2448" w:type="dxa"/>
          </w:tcPr>
          <w:p w:rsidR="00184ADD" w:rsidRPr="009B41D0" w:rsidRDefault="00184ADD" w:rsidP="002E66A3">
            <w:pPr>
              <w:rPr>
                <w:rFonts w:ascii="Arial" w:hAnsi="Arial"/>
                <w:sz w:val="20"/>
                <w:lang w:val="en-US"/>
              </w:rPr>
            </w:pPr>
            <w:r w:rsidRPr="009B41D0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701" w:type="dxa"/>
          </w:tcPr>
          <w:p w:rsidR="00184ADD" w:rsidRPr="009B41D0" w:rsidRDefault="00184ADD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19</w:t>
            </w:r>
            <w:r w:rsidR="00B8565E" w:rsidRPr="009B41D0">
              <w:rPr>
                <w:rFonts w:ascii="Arial" w:hAnsi="Arial" w:cs="Arial"/>
                <w:snapToGrid w:val="0"/>
                <w:sz w:val="20"/>
              </w:rPr>
              <w:t>2</w:t>
            </w:r>
            <w:r w:rsidR="00CE5C69" w:rsidRPr="009B41D0">
              <w:rPr>
                <w:rFonts w:ascii="Arial" w:hAnsi="Arial" w:cs="Arial"/>
                <w:snapToGrid w:val="0"/>
                <w:sz w:val="20"/>
              </w:rPr>
              <w:t>,</w:t>
            </w:r>
            <w:r w:rsidR="00B8565E" w:rsidRPr="009B41D0">
              <w:rPr>
                <w:rFonts w:ascii="Arial" w:hAnsi="Arial" w:cs="Arial"/>
                <w:snapToGrid w:val="0"/>
                <w:sz w:val="20"/>
              </w:rPr>
              <w:t>410</w:t>
            </w:r>
          </w:p>
        </w:tc>
        <w:tc>
          <w:tcPr>
            <w:tcW w:w="1559" w:type="dxa"/>
          </w:tcPr>
          <w:p w:rsidR="00184ADD" w:rsidRPr="009B41D0" w:rsidRDefault="00184ADD" w:rsidP="00B50263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191,363</w:t>
            </w:r>
          </w:p>
        </w:tc>
        <w:tc>
          <w:tcPr>
            <w:tcW w:w="1559" w:type="dxa"/>
          </w:tcPr>
          <w:p w:rsidR="00184ADD" w:rsidRPr="009B41D0" w:rsidRDefault="00184ADD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</w:t>
            </w:r>
            <w:r w:rsidR="00B8565E" w:rsidRPr="009B41D0">
              <w:rPr>
                <w:rFonts w:ascii="Arial" w:hAnsi="Arial" w:cs="Arial"/>
                <w:snapToGrid w:val="0"/>
                <w:sz w:val="20"/>
              </w:rPr>
              <w:t>89</w:t>
            </w:r>
            <w:r w:rsidRPr="009B41D0">
              <w:rPr>
                <w:rFonts w:ascii="Arial" w:hAnsi="Arial" w:cs="Arial"/>
                <w:snapToGrid w:val="0"/>
                <w:sz w:val="20"/>
              </w:rPr>
              <w:t>,</w:t>
            </w:r>
            <w:r w:rsidR="00B8565E" w:rsidRPr="009B41D0">
              <w:rPr>
                <w:rFonts w:ascii="Arial" w:hAnsi="Arial" w:cs="Arial"/>
                <w:snapToGrid w:val="0"/>
                <w:sz w:val="20"/>
              </w:rPr>
              <w:t>840</w:t>
            </w:r>
          </w:p>
        </w:tc>
      </w:tr>
      <w:tr w:rsidR="009B41D0" w:rsidRPr="00C3773A" w:rsidTr="007C2014">
        <w:trPr>
          <w:jc w:val="center"/>
        </w:trPr>
        <w:tc>
          <w:tcPr>
            <w:tcW w:w="2448" w:type="dxa"/>
          </w:tcPr>
          <w:p w:rsidR="009B41D0" w:rsidRPr="009B41D0" w:rsidRDefault="009B41D0" w:rsidP="002E66A3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 w:rsidRPr="009B41D0">
              <w:rPr>
                <w:rFonts w:ascii="Arial" w:hAnsi="Arial"/>
                <w:sz w:val="20"/>
                <w:lang w:val="en-US"/>
              </w:rPr>
              <w:t>Dev’t</w:t>
            </w:r>
            <w:proofErr w:type="spellEnd"/>
            <w:r w:rsidRPr="009B41D0">
              <w:rPr>
                <w:rFonts w:ascii="Arial" w:hAnsi="Arial"/>
                <w:sz w:val="20"/>
                <w:lang w:val="en-US"/>
              </w:rPr>
              <w:t>. and inv. banks</w:t>
            </w:r>
          </w:p>
        </w:tc>
        <w:tc>
          <w:tcPr>
            <w:tcW w:w="1701" w:type="dxa"/>
          </w:tcPr>
          <w:p w:rsidR="009B41D0" w:rsidRPr="009B41D0" w:rsidRDefault="009B41D0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5,309</w:t>
            </w:r>
          </w:p>
        </w:tc>
        <w:tc>
          <w:tcPr>
            <w:tcW w:w="1559" w:type="dxa"/>
          </w:tcPr>
          <w:p w:rsidR="009B41D0" w:rsidRPr="009B41D0" w:rsidRDefault="009B41D0" w:rsidP="00B50263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5,336</w:t>
            </w:r>
          </w:p>
        </w:tc>
        <w:tc>
          <w:tcPr>
            <w:tcW w:w="1559" w:type="dxa"/>
          </w:tcPr>
          <w:p w:rsidR="009B41D0" w:rsidRPr="009B41D0" w:rsidRDefault="009B41D0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5,224</w:t>
            </w:r>
          </w:p>
        </w:tc>
      </w:tr>
      <w:tr w:rsidR="009B41D0" w:rsidRPr="00C3773A" w:rsidTr="001C5377">
        <w:trPr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:rsidR="009B41D0" w:rsidRPr="00C3773A" w:rsidRDefault="009B41D0" w:rsidP="002E66A3">
            <w:pPr>
              <w:rPr>
                <w:rFonts w:ascii="Arial" w:hAnsi="Arial"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41D0" w:rsidRPr="0062438D" w:rsidRDefault="009B41D0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197,719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41D0" w:rsidRPr="0062438D" w:rsidRDefault="009B41D0" w:rsidP="00B50263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196,699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41D0" w:rsidRPr="0062438D" w:rsidRDefault="009B41D0" w:rsidP="00B8565E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195,064</w:t>
            </w:r>
          </w:p>
        </w:tc>
      </w:tr>
    </w:tbl>
    <w:p w:rsidR="00B9402E" w:rsidRPr="005421C0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9B41D0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he number of employees </w:t>
      </w:r>
      <w:r w:rsidR="009B41D0">
        <w:rPr>
          <w:rFonts w:ascii="Arial" w:hAnsi="Arial"/>
          <w:sz w:val="22"/>
          <w:szCs w:val="22"/>
          <w:lang w:val="en-US"/>
        </w:rPr>
        <w:t>de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creased by </w:t>
      </w:r>
      <w:r w:rsidR="009B41D0">
        <w:rPr>
          <w:rFonts w:ascii="Arial" w:hAnsi="Arial"/>
          <w:sz w:val="22"/>
          <w:szCs w:val="22"/>
          <w:lang w:val="en-US"/>
        </w:rPr>
        <w:t>2,655</w:t>
      </w:r>
      <w:r w:rsidR="009B41D0" w:rsidRPr="00C3773A">
        <w:rPr>
          <w:rFonts w:ascii="Arial" w:hAnsi="Arial" w:cs="Arial"/>
          <w:color w:val="000000"/>
          <w:sz w:val="22"/>
          <w:szCs w:val="22"/>
        </w:rPr>
        <w:t xml:space="preserve"> </w:t>
      </w:r>
      <w:r w:rsidR="009B41D0" w:rsidRPr="00C3773A">
        <w:rPr>
          <w:rFonts w:ascii="Arial" w:hAnsi="Arial"/>
          <w:sz w:val="22"/>
          <w:szCs w:val="22"/>
          <w:lang w:val="en-US"/>
        </w:rPr>
        <w:t>(</w:t>
      </w:r>
      <w:r w:rsidR="009B41D0">
        <w:rPr>
          <w:rFonts w:ascii="Arial" w:hAnsi="Arial"/>
          <w:sz w:val="22"/>
          <w:szCs w:val="22"/>
          <w:lang w:val="en-US"/>
        </w:rPr>
        <w:t>1.3 percent)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, </w:t>
      </w:r>
      <w:r w:rsidR="009B41D0">
        <w:rPr>
          <w:rFonts w:ascii="Arial" w:hAnsi="Arial"/>
          <w:sz w:val="22"/>
          <w:szCs w:val="22"/>
          <w:lang w:val="en-US"/>
        </w:rPr>
        <w:t xml:space="preserve">as 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 w:rsidR="009B41D0">
        <w:rPr>
          <w:rFonts w:ascii="Arial" w:hAnsi="Arial"/>
          <w:sz w:val="22"/>
          <w:szCs w:val="22"/>
          <w:lang w:val="en-US"/>
        </w:rPr>
        <w:t>September 2016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 and by</w:t>
      </w:r>
      <w:r w:rsidR="009B41D0">
        <w:rPr>
          <w:rFonts w:ascii="Arial" w:hAnsi="Arial"/>
          <w:sz w:val="22"/>
          <w:szCs w:val="22"/>
          <w:lang w:val="en-US"/>
        </w:rPr>
        <w:t xml:space="preserve"> 1,635 as 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 w:rsidR="009B41D0">
        <w:rPr>
          <w:rFonts w:ascii="Arial" w:hAnsi="Arial"/>
          <w:sz w:val="22"/>
          <w:szCs w:val="22"/>
          <w:lang w:val="en-US"/>
        </w:rPr>
        <w:t>December 2016</w:t>
      </w:r>
      <w:r w:rsidR="009B41D0" w:rsidRPr="00C3773A">
        <w:rPr>
          <w:rFonts w:ascii="Arial" w:hAnsi="Arial"/>
          <w:sz w:val="22"/>
          <w:szCs w:val="22"/>
          <w:lang w:val="en-US"/>
        </w:rPr>
        <w:t>.</w:t>
      </w:r>
    </w:p>
    <w:p w:rsidR="00CE5C69" w:rsidRPr="005421C0" w:rsidRDefault="00CE5C69" w:rsidP="00E113C4">
      <w:pPr>
        <w:jc w:val="both"/>
        <w:rPr>
          <w:rFonts w:ascii="Arial" w:hAnsi="Arial"/>
          <w:sz w:val="16"/>
          <w:szCs w:val="16"/>
          <w:lang w:val="en-US"/>
        </w:rPr>
      </w:pPr>
    </w:p>
    <w:p w:rsidR="00F5603B" w:rsidRDefault="006F1D37" w:rsidP="00F5603B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F5603B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F5603B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5421C0" w:rsidRDefault="005421C0" w:rsidP="00F5603B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:rsidR="006F1D37" w:rsidRPr="005421C0" w:rsidRDefault="005421C0" w:rsidP="005421C0">
      <w:pPr>
        <w:pStyle w:val="Heading9"/>
        <w:rPr>
          <w:rFonts w:ascii="Arial" w:hAnsi="Arial"/>
          <w:lang w:val="en-US"/>
        </w:rPr>
      </w:pPr>
      <w:r>
        <w:rPr>
          <w:noProof/>
        </w:rPr>
        <w:drawing>
          <wp:inline distT="0" distB="0" distL="0" distR="0" wp14:anchorId="7E95524E" wp14:editId="29A74641">
            <wp:extent cx="4499610" cy="1799590"/>
            <wp:effectExtent l="0" t="0" r="15240" b="1016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Default="006F1D37" w:rsidP="00E113C4">
      <w:pPr>
        <w:jc w:val="both"/>
        <w:rPr>
          <w:rFonts w:ascii="Arial" w:hAnsi="Arial"/>
          <w:sz w:val="22"/>
          <w:szCs w:val="22"/>
          <w:lang w:val="en-US"/>
        </w:rPr>
      </w:pPr>
    </w:p>
    <w:p w:rsidR="00BE7A7C" w:rsidRDefault="00BE7A7C" w:rsidP="00BE7A7C">
      <w:pPr>
        <w:jc w:val="both"/>
        <w:rPr>
          <w:rFonts w:ascii="Arial" w:hAnsi="Arial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646A8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646A8A">
        <w:rPr>
          <w:rFonts w:ascii="Arial" w:hAnsi="Arial" w:cs="Arial"/>
          <w:sz w:val="22"/>
          <w:szCs w:val="22"/>
        </w:rPr>
        <w:t>241</w:t>
      </w:r>
      <w:r w:rsidRPr="00C3773A">
        <w:rPr>
          <w:rFonts w:ascii="Arial" w:hAnsi="Arial" w:cs="Arial"/>
          <w:sz w:val="22"/>
          <w:szCs w:val="22"/>
        </w:rPr>
        <w:t xml:space="preserve"> </w:t>
      </w:r>
      <w:r w:rsidR="005421C0">
        <w:rPr>
          <w:rFonts w:ascii="Arial" w:hAnsi="Arial"/>
          <w:sz w:val="22"/>
          <w:szCs w:val="22"/>
          <w:lang w:val="en-US"/>
        </w:rPr>
        <w:t>in deposit banks.</w:t>
      </w:r>
    </w:p>
    <w:p w:rsidR="003B53F2" w:rsidRDefault="003B53F2" w:rsidP="00BE7A7C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:rsidR="00425999" w:rsidRDefault="00300FE4" w:rsidP="00425999">
      <w:pPr>
        <w:pStyle w:val="Heading9"/>
        <w:jc w:val="left"/>
        <w:rPr>
          <w:rFonts w:ascii="Arial" w:hAnsi="Arial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 xml:space="preserve">Bank </w:t>
      </w:r>
      <w:r w:rsidRPr="00E770F9">
        <w:rPr>
          <w:rFonts w:ascii="Arial" w:hAnsi="Arial"/>
          <w:lang w:val="en-US"/>
        </w:rPr>
        <w:t>Employees</w:t>
      </w:r>
      <w:r>
        <w:rPr>
          <w:rFonts w:ascii="Arial" w:hAnsi="Arial"/>
          <w:lang w:val="en-US"/>
        </w:rPr>
        <w:t xml:space="preserve"> by Gender</w:t>
      </w:r>
      <w:r w:rsidRPr="00E770F9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and </w:t>
      </w:r>
      <w:r w:rsidR="00425999" w:rsidRPr="00E770F9">
        <w:rPr>
          <w:rFonts w:ascii="Arial" w:hAnsi="Arial"/>
          <w:color w:val="000000"/>
          <w:lang w:val="en-US"/>
        </w:rPr>
        <w:t xml:space="preserve">Education Level </w:t>
      </w:r>
    </w:p>
    <w:p w:rsidR="00425999" w:rsidRPr="00A23465" w:rsidRDefault="00425999" w:rsidP="001E1244">
      <w:pPr>
        <w:jc w:val="both"/>
        <w:rPr>
          <w:rFonts w:ascii="Arial" w:hAnsi="Arial"/>
          <w:color w:val="000000"/>
          <w:sz w:val="22"/>
          <w:szCs w:val="22"/>
          <w:lang w:val="en-US"/>
        </w:rPr>
      </w:pPr>
    </w:p>
    <w:p w:rsidR="00300FE4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>
        <w:rPr>
          <w:rFonts w:ascii="Arial" w:hAnsi="Arial" w:cs="Arial"/>
          <w:snapToGrid w:val="0"/>
          <w:sz w:val="22"/>
          <w:szCs w:val="22"/>
          <w:lang w:val="en-US"/>
        </w:rPr>
        <w:t>September 2017</w:t>
      </w: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51 percent of the employees were </w:t>
      </w: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female regarding the distribution of bank employees by gender. </w:t>
      </w:r>
    </w:p>
    <w:p w:rsidR="00300FE4" w:rsidRPr="00A23465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</w:p>
    <w:p w:rsidR="001E1244" w:rsidRPr="00C3773A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1427F9">
        <w:rPr>
          <w:rFonts w:ascii="Arial" w:hAnsi="Arial"/>
          <w:color w:val="000000"/>
          <w:sz w:val="22"/>
          <w:szCs w:val="22"/>
          <w:lang w:val="en-US"/>
        </w:rPr>
        <w:t>Regarding the education level of bank</w:t>
      </w:r>
      <w:r w:rsidRPr="00C3773A">
        <w:rPr>
          <w:rFonts w:ascii="Arial" w:hAnsi="Arial"/>
          <w:sz w:val="22"/>
          <w:szCs w:val="22"/>
          <w:lang w:val="en-US"/>
        </w:rPr>
        <w:t xml:space="preserve"> employees, </w:t>
      </w:r>
      <w:r>
        <w:rPr>
          <w:rFonts w:ascii="Arial" w:hAnsi="Arial"/>
          <w:sz w:val="22"/>
          <w:szCs w:val="22"/>
          <w:lang w:val="en-US"/>
        </w:rPr>
        <w:t>78</w:t>
      </w:r>
      <w:r w:rsidRPr="00C3773A">
        <w:rPr>
          <w:rFonts w:ascii="Arial" w:hAnsi="Arial"/>
          <w:sz w:val="22"/>
          <w:szCs w:val="22"/>
          <w:lang w:val="en-US"/>
        </w:rPr>
        <w:t xml:space="preserve"> percent of the employees </w:t>
      </w:r>
      <w:r>
        <w:rPr>
          <w:rFonts w:ascii="Arial" w:hAnsi="Arial"/>
          <w:sz w:val="22"/>
          <w:szCs w:val="22"/>
          <w:lang w:val="en-US"/>
        </w:rPr>
        <w:t>had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undergraduate degrees</w:t>
      </w:r>
      <w:r w:rsidR="00116F15">
        <w:rPr>
          <w:rFonts w:ascii="Arial" w:hAnsi="Arial"/>
          <w:sz w:val="22"/>
          <w:szCs w:val="22"/>
          <w:lang w:val="en-US"/>
        </w:rPr>
        <w:t xml:space="preserve"> and 7 percent in postgraduate</w:t>
      </w:r>
      <w:r w:rsidR="00116F15" w:rsidRPr="00C3773A">
        <w:rPr>
          <w:rFonts w:ascii="Arial" w:hAnsi="Arial"/>
          <w:sz w:val="22"/>
          <w:szCs w:val="22"/>
          <w:lang w:val="en-US"/>
        </w:rPr>
        <w:t xml:space="preserve"> degrees</w:t>
      </w:r>
      <w:r>
        <w:rPr>
          <w:rFonts w:ascii="Arial" w:hAnsi="Arial"/>
          <w:sz w:val="22"/>
          <w:szCs w:val="22"/>
          <w:lang w:val="en-US"/>
        </w:rPr>
        <w:t xml:space="preserve">, as of </w:t>
      </w:r>
      <w:r w:rsidR="002E4E2E">
        <w:rPr>
          <w:rFonts w:ascii="Arial" w:hAnsi="Arial"/>
          <w:sz w:val="22"/>
          <w:szCs w:val="22"/>
          <w:lang w:val="en-US"/>
        </w:rPr>
        <w:t>June</w:t>
      </w:r>
      <w:r w:rsidR="00566D26">
        <w:rPr>
          <w:rFonts w:ascii="Arial" w:hAnsi="Arial"/>
          <w:sz w:val="22"/>
          <w:szCs w:val="22"/>
          <w:lang w:val="en-US"/>
        </w:rPr>
        <w:t xml:space="preserve"> 2017</w:t>
      </w:r>
      <w:r>
        <w:rPr>
          <w:rFonts w:ascii="Arial" w:hAnsi="Arial"/>
          <w:sz w:val="22"/>
          <w:szCs w:val="22"/>
          <w:lang w:val="en-US"/>
        </w:rPr>
        <w:t xml:space="preserve">. This figure was </w:t>
      </w:r>
      <w:r w:rsidRPr="00C3773A">
        <w:rPr>
          <w:rFonts w:ascii="Arial" w:hAnsi="Arial"/>
          <w:sz w:val="22"/>
          <w:szCs w:val="22"/>
          <w:lang w:val="en-US"/>
        </w:rPr>
        <w:t>1</w:t>
      </w:r>
      <w:r w:rsidR="005D39F2">
        <w:rPr>
          <w:rFonts w:ascii="Arial" w:hAnsi="Arial"/>
          <w:sz w:val="22"/>
          <w:szCs w:val="22"/>
          <w:lang w:val="en-US"/>
        </w:rPr>
        <w:t>4</w:t>
      </w:r>
      <w:r w:rsidRPr="00C3773A">
        <w:rPr>
          <w:rFonts w:ascii="Arial" w:hAnsi="Arial"/>
          <w:sz w:val="22"/>
          <w:szCs w:val="22"/>
          <w:lang w:val="en-US"/>
        </w:rPr>
        <w:t xml:space="preserve"> percent </w:t>
      </w:r>
      <w:r>
        <w:rPr>
          <w:rFonts w:ascii="Arial" w:hAnsi="Arial"/>
          <w:sz w:val="22"/>
          <w:szCs w:val="22"/>
          <w:lang w:val="en-US"/>
        </w:rPr>
        <w:t xml:space="preserve">in </w:t>
      </w:r>
      <w:r w:rsidRPr="00C3773A">
        <w:rPr>
          <w:rFonts w:ascii="Arial" w:hAnsi="Arial"/>
          <w:sz w:val="22"/>
          <w:szCs w:val="22"/>
          <w:lang w:val="en-US"/>
        </w:rPr>
        <w:t xml:space="preserve">high-school graduates, </w:t>
      </w:r>
      <w:r>
        <w:rPr>
          <w:rFonts w:ascii="Arial" w:hAnsi="Arial"/>
          <w:sz w:val="22"/>
          <w:szCs w:val="22"/>
          <w:lang w:val="en-US"/>
        </w:rPr>
        <w:t>and 1 percent in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primary-school graduates.</w:t>
      </w:r>
    </w:p>
    <w:p w:rsidR="001E1244" w:rsidRPr="00A23465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EC6DE3" w:rsidRPr="00656B5A" w:rsidRDefault="00300FE4" w:rsidP="00D23C02">
      <w:pPr>
        <w:pStyle w:val="Heading9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 xml:space="preserve">Bank </w:t>
      </w:r>
      <w:r w:rsidRPr="00E770F9">
        <w:rPr>
          <w:rFonts w:ascii="Arial" w:hAnsi="Arial"/>
          <w:lang w:val="en-US"/>
        </w:rPr>
        <w:t>Employees</w:t>
      </w:r>
      <w:r>
        <w:rPr>
          <w:rFonts w:ascii="Arial" w:hAnsi="Arial"/>
          <w:lang w:val="en-US"/>
        </w:rPr>
        <w:t xml:space="preserve"> by Gender</w:t>
      </w:r>
      <w:r w:rsidRPr="00E770F9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and </w:t>
      </w:r>
      <w:r w:rsidRPr="00E770F9">
        <w:rPr>
          <w:rFonts w:ascii="Arial" w:hAnsi="Arial"/>
          <w:color w:val="000000"/>
          <w:lang w:val="en-US"/>
        </w:rPr>
        <w:t>Education Level</w:t>
      </w:r>
    </w:p>
    <w:p w:rsidR="00AD18F6" w:rsidRDefault="00004188" w:rsidP="00D23C02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52700" cy="2114550"/>
            <wp:effectExtent l="0" t="0" r="0" b="0"/>
            <wp:wrapSquare wrapText="bothSides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C02" w:rsidRPr="006309CF" w:rsidRDefault="0089243E" w:rsidP="00D23C02">
      <w:pPr>
        <w:rPr>
          <w:rFonts w:ascii="Arial" w:hAnsi="Arial" w:cs="Arial"/>
          <w:color w:val="00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noProof/>
          <w:lang w:eastAsia="tr-TR"/>
        </w:rPr>
        <w:drawing>
          <wp:inline distT="0" distB="0" distL="0" distR="0" wp14:anchorId="5ABEE68A" wp14:editId="7090F74D">
            <wp:extent cx="2362199" cy="1790700"/>
            <wp:effectExtent l="0" t="0" r="63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F08B4">
        <w:rPr>
          <w:rFonts w:ascii="Arial" w:hAnsi="Arial" w:cs="Arial"/>
          <w:color w:val="00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5E603B" w:rsidRDefault="003B53F2" w:rsidP="003B53F2">
      <w:pPr>
        <w:pStyle w:val="Subtitle"/>
        <w:rPr>
          <w:szCs w:val="22"/>
          <w:lang w:val="en-US"/>
        </w:rPr>
      </w:pPr>
      <w:r w:rsidRPr="005E603B">
        <w:rPr>
          <w:szCs w:val="22"/>
          <w:lang w:val="en-US"/>
        </w:rPr>
        <w:t>Number of Branches</w:t>
      </w:r>
    </w:p>
    <w:p w:rsidR="003B53F2" w:rsidRPr="00A23465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</w:p>
    <w:p w:rsidR="003B53F2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1427F9">
        <w:rPr>
          <w:rFonts w:ascii="Arial" w:hAnsi="Arial"/>
          <w:color w:val="000000"/>
          <w:sz w:val="22"/>
          <w:szCs w:val="22"/>
          <w:lang w:val="en-US"/>
        </w:rPr>
        <w:t xml:space="preserve">As of </w:t>
      </w:r>
      <w:r w:rsidR="00E0566F">
        <w:rPr>
          <w:rFonts w:ascii="Arial" w:hAnsi="Arial"/>
          <w:color w:val="000000"/>
          <w:sz w:val="22"/>
          <w:szCs w:val="22"/>
          <w:lang w:val="en-US"/>
        </w:rPr>
        <w:t>September</w:t>
      </w:r>
      <w:r>
        <w:rPr>
          <w:rFonts w:ascii="Arial" w:hAnsi="Arial"/>
          <w:color w:val="000000"/>
          <w:sz w:val="22"/>
          <w:szCs w:val="22"/>
          <w:lang w:val="en-US"/>
        </w:rPr>
        <w:t xml:space="preserve"> 2017, t</w:t>
      </w:r>
      <w:r w:rsidRPr="00C3773A">
        <w:rPr>
          <w:rFonts w:ascii="Arial" w:hAnsi="Arial"/>
          <w:sz w:val="22"/>
          <w:szCs w:val="22"/>
          <w:lang w:val="en-US"/>
        </w:rPr>
        <w:t>he total number of branches in deposit banks and development and investment banks</w:t>
      </w:r>
      <w:r w:rsidRPr="00191359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was </w:t>
      </w:r>
      <w:r w:rsidRPr="00C3773A">
        <w:rPr>
          <w:rFonts w:ascii="Arial" w:hAnsi="Arial"/>
          <w:sz w:val="22"/>
          <w:szCs w:val="22"/>
          <w:lang w:val="en-US"/>
        </w:rPr>
        <w:t>1</w:t>
      </w:r>
      <w:r>
        <w:rPr>
          <w:rFonts w:ascii="Arial" w:hAnsi="Arial"/>
          <w:sz w:val="22"/>
          <w:szCs w:val="22"/>
          <w:lang w:val="en-US"/>
        </w:rPr>
        <w:t>0</w:t>
      </w:r>
      <w:r w:rsidRPr="00C3773A">
        <w:rPr>
          <w:rFonts w:ascii="Arial" w:hAnsi="Arial"/>
          <w:sz w:val="22"/>
          <w:szCs w:val="22"/>
          <w:lang w:val="en-US"/>
        </w:rPr>
        <w:t>,</w:t>
      </w:r>
      <w:r w:rsidR="00E0566F">
        <w:rPr>
          <w:rFonts w:ascii="Arial" w:hAnsi="Arial"/>
          <w:sz w:val="22"/>
          <w:szCs w:val="22"/>
          <w:lang w:val="en-US"/>
        </w:rPr>
        <w:t>658</w:t>
      </w:r>
      <w:r>
        <w:rPr>
          <w:rFonts w:ascii="Arial" w:hAnsi="Arial"/>
          <w:sz w:val="22"/>
          <w:szCs w:val="22"/>
          <w:lang w:val="en-US"/>
        </w:rPr>
        <w:t>.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</w:p>
    <w:p w:rsidR="00CC088E" w:rsidRPr="006309CF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3B53F2" w:rsidRPr="003B53F2" w:rsidRDefault="003B53F2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 xml:space="preserve">Number of </w:t>
      </w:r>
      <w:r>
        <w:rPr>
          <w:rFonts w:ascii="Arial" w:hAnsi="Arial"/>
          <w:b/>
          <w:sz w:val="22"/>
          <w:szCs w:val="22"/>
          <w:lang w:val="en-US"/>
        </w:rPr>
        <w:t>Branches</w:t>
      </w:r>
      <w:r w:rsidRPr="00C3773A">
        <w:rPr>
          <w:rFonts w:ascii="Arial" w:hAnsi="Arial"/>
          <w:b/>
          <w:sz w:val="22"/>
          <w:szCs w:val="22"/>
          <w:lang w:val="en-US"/>
        </w:rPr>
        <w:t>*</w:t>
      </w: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249"/>
        <w:gridCol w:w="1456"/>
        <w:gridCol w:w="1561"/>
      </w:tblGrid>
      <w:tr w:rsidR="003B53F2" w:rsidRPr="00823340" w:rsidTr="00EF2834">
        <w:trPr>
          <w:trHeight w:val="331"/>
          <w:jc w:val="center"/>
        </w:trPr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3F2" w:rsidRPr="00823340" w:rsidRDefault="003B53F2" w:rsidP="00EF2834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  <w:r w:rsidRPr="00823340"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  <w:t> </w:t>
            </w:r>
          </w:p>
          <w:p w:rsidR="003B53F2" w:rsidRPr="00823340" w:rsidRDefault="003B53F2" w:rsidP="00EF2834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  <w:r w:rsidRPr="00823340"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Default="000E20E5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>September</w:t>
            </w:r>
            <w:r w:rsidR="003B53F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</w:p>
          <w:p w:rsidR="003B53F2" w:rsidRPr="00461A62" w:rsidRDefault="003B53F2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Pr="00461A6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461A62" w:rsidRDefault="003B53F2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>December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2016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Default="000E20E5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>September</w:t>
            </w:r>
            <w:r w:rsidR="003B53F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</w:p>
          <w:p w:rsidR="003B53F2" w:rsidRPr="00461A62" w:rsidRDefault="003B53F2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Pr="00461A6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7</w:t>
            </w:r>
          </w:p>
        </w:tc>
      </w:tr>
      <w:tr w:rsidR="003B53F2" w:rsidRPr="00823340" w:rsidTr="0089243E">
        <w:trPr>
          <w:trHeight w:val="121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823340" w:rsidRDefault="003B53F2" w:rsidP="00EF2834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823340" w:rsidRDefault="003B53F2" w:rsidP="00EF2834">
            <w:pPr>
              <w:jc w:val="both"/>
              <w:rPr>
                <w:rFonts w:ascii="Arial" w:hAnsi="Arial" w:cs="Arial"/>
                <w:color w:val="000000"/>
                <w:sz w:val="20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2F186A" w:rsidRDefault="003B53F2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2F186A" w:rsidRDefault="003B53F2" w:rsidP="00EF28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3B53F2" w:rsidRPr="0089243E" w:rsidTr="00EF2834">
        <w:trPr>
          <w:trHeight w:val="226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53F2" w:rsidRPr="0089243E" w:rsidRDefault="003B53F2" w:rsidP="00EF2834">
            <w:pPr>
              <w:rPr>
                <w:rFonts w:ascii="Arial" w:hAnsi="Arial"/>
                <w:sz w:val="20"/>
                <w:lang w:val="en-US"/>
              </w:rPr>
            </w:pPr>
            <w:r w:rsidRPr="0089243E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F2" w:rsidRPr="0089243E" w:rsidRDefault="003B53F2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</w:t>
            </w:r>
            <w:r w:rsidR="00B83A3A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0</w:t>
            </w: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,</w:t>
            </w:r>
            <w:r w:rsidR="00B83A3A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98</w:t>
            </w:r>
            <w:r w:rsidR="000E20E5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3F2" w:rsidRPr="0089243E" w:rsidRDefault="003B53F2" w:rsidP="00EF283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10,740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3F2" w:rsidRPr="0089243E" w:rsidRDefault="003B53F2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10,</w:t>
            </w:r>
            <w:r w:rsidR="00B83A3A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6</w:t>
            </w:r>
            <w:r w:rsidR="000E20E5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0</w:t>
            </w:r>
            <w:r w:rsidR="00B83A3A"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9</w:t>
            </w:r>
          </w:p>
        </w:tc>
      </w:tr>
      <w:tr w:rsidR="0089243E" w:rsidRPr="0089243E" w:rsidTr="00EF2834">
        <w:trPr>
          <w:trHeight w:val="143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243E" w:rsidRPr="0089243E" w:rsidRDefault="0089243E" w:rsidP="00EF2834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 w:rsidRPr="0089243E">
              <w:rPr>
                <w:rFonts w:ascii="Arial" w:hAnsi="Arial"/>
                <w:sz w:val="20"/>
                <w:lang w:val="en-US"/>
              </w:rPr>
              <w:t>Dev’t</w:t>
            </w:r>
            <w:proofErr w:type="spellEnd"/>
            <w:r w:rsidRPr="0089243E">
              <w:rPr>
                <w:rFonts w:ascii="Arial" w:hAnsi="Arial"/>
                <w:sz w:val="20"/>
                <w:lang w:val="en-US"/>
              </w:rPr>
              <w:t>. and inv. banks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243E" w:rsidRPr="0089243E" w:rsidRDefault="0089243E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43E" w:rsidRPr="0089243E" w:rsidRDefault="0089243E" w:rsidP="00EF283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243E" w:rsidRPr="0089243E" w:rsidRDefault="0089243E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49</w:t>
            </w:r>
          </w:p>
        </w:tc>
      </w:tr>
      <w:tr w:rsidR="0089243E" w:rsidRPr="00823340" w:rsidTr="00046B3C">
        <w:trPr>
          <w:trHeight w:val="192"/>
          <w:jc w:val="center"/>
        </w:trPr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9243E" w:rsidRPr="00C3773A" w:rsidRDefault="0089243E" w:rsidP="00EF2834">
            <w:pPr>
              <w:rPr>
                <w:rFonts w:ascii="Arial" w:hAnsi="Arial"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9243E" w:rsidRPr="002F186A" w:rsidRDefault="0089243E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2F186A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0,985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243E" w:rsidRPr="002F186A" w:rsidRDefault="0089243E" w:rsidP="00EF2834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10,781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9243E" w:rsidRPr="002F186A" w:rsidRDefault="0089243E" w:rsidP="000E20E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10,658</w:t>
            </w:r>
          </w:p>
        </w:tc>
      </w:tr>
    </w:tbl>
    <w:p w:rsidR="003B53F2" w:rsidRPr="00C3773A" w:rsidRDefault="003B53F2" w:rsidP="003B53F2">
      <w:pPr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sz w:val="16"/>
          <w:lang w:val="en-US"/>
        </w:rPr>
        <w:t xml:space="preserve">          </w:t>
      </w:r>
      <w:r w:rsidRPr="00C3773A">
        <w:rPr>
          <w:rFonts w:ascii="Arial" w:hAnsi="Arial"/>
          <w:i/>
          <w:sz w:val="16"/>
          <w:lang w:val="en-US"/>
        </w:rPr>
        <w:t>* Branches in foreign countries and Turkish Republic of Northern Cyprus are included.</w:t>
      </w:r>
    </w:p>
    <w:p w:rsidR="003B53F2" w:rsidRDefault="003B53F2" w:rsidP="003B53F2">
      <w:pPr>
        <w:rPr>
          <w:rFonts w:ascii="Arial" w:hAnsi="Arial"/>
          <w:sz w:val="16"/>
          <w:lang w:val="en-US"/>
        </w:rPr>
      </w:pPr>
    </w:p>
    <w:p w:rsidR="0089243E" w:rsidRPr="0089243E" w:rsidRDefault="0089243E" w:rsidP="0089243E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This number dec</w:t>
      </w:r>
      <w:r w:rsidRPr="00C3773A">
        <w:rPr>
          <w:rFonts w:ascii="Arial" w:hAnsi="Arial"/>
          <w:sz w:val="22"/>
          <w:szCs w:val="22"/>
          <w:lang w:val="en-US"/>
        </w:rPr>
        <w:t xml:space="preserve">reased by </w:t>
      </w:r>
      <w:r>
        <w:rPr>
          <w:rFonts w:ascii="Arial" w:hAnsi="Arial"/>
          <w:sz w:val="22"/>
          <w:szCs w:val="22"/>
          <w:lang w:val="en-US"/>
        </w:rPr>
        <w:t>327,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as </w:t>
      </w:r>
      <w:r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>
        <w:rPr>
          <w:rFonts w:ascii="Arial" w:hAnsi="Arial"/>
          <w:sz w:val="22"/>
          <w:szCs w:val="22"/>
          <w:lang w:val="en-US"/>
        </w:rPr>
        <w:t>September 2016</w:t>
      </w:r>
      <w:r w:rsidRPr="00C3773A">
        <w:rPr>
          <w:rFonts w:ascii="Arial" w:hAnsi="Arial"/>
          <w:sz w:val="22"/>
          <w:szCs w:val="22"/>
          <w:lang w:val="en-US"/>
        </w:rPr>
        <w:t xml:space="preserve"> and by </w:t>
      </w:r>
      <w:r>
        <w:rPr>
          <w:rFonts w:ascii="Arial" w:hAnsi="Arial"/>
          <w:sz w:val="22"/>
          <w:szCs w:val="22"/>
          <w:lang w:val="en-US"/>
        </w:rPr>
        <w:t>123, as compared to December 2016</w:t>
      </w:r>
      <w:r w:rsidRPr="00C3773A">
        <w:rPr>
          <w:rFonts w:ascii="Arial" w:hAnsi="Arial"/>
          <w:sz w:val="22"/>
          <w:szCs w:val="22"/>
          <w:lang w:val="en-US"/>
        </w:rPr>
        <w:t>.</w:t>
      </w:r>
    </w:p>
    <w:p w:rsidR="003B53F2" w:rsidRDefault="000F5F1A" w:rsidP="003B53F2">
      <w:pPr>
        <w:pStyle w:val="Heading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Number of Branches</w:t>
      </w:r>
      <w:r w:rsidR="0089243E">
        <w:rPr>
          <w:rFonts w:ascii="Arial" w:hAnsi="Arial"/>
          <w:lang w:val="en-US"/>
        </w:rPr>
        <w:t xml:space="preserve"> </w:t>
      </w:r>
    </w:p>
    <w:p w:rsidR="003B53F2" w:rsidRDefault="003B53F2" w:rsidP="003B53F2">
      <w:pPr>
        <w:pStyle w:val="Heading9"/>
        <w:jc w:val="left"/>
        <w:rPr>
          <w:noProof/>
        </w:rPr>
      </w:pPr>
    </w:p>
    <w:p w:rsidR="003B53F2" w:rsidRDefault="001F1006" w:rsidP="003B53F2">
      <w:pPr>
        <w:jc w:val="center"/>
        <w:rPr>
          <w:lang w:eastAsia="tr-TR"/>
        </w:rPr>
      </w:pPr>
      <w:r>
        <w:rPr>
          <w:noProof/>
          <w:lang w:eastAsia="tr-TR"/>
        </w:rPr>
        <w:drawing>
          <wp:inline distT="0" distB="0" distL="0" distR="0" wp14:anchorId="0EABBDC5" wp14:editId="08F47226">
            <wp:extent cx="4181475" cy="2143125"/>
            <wp:effectExtent l="0" t="0" r="9525" b="952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53F2" w:rsidRPr="00A204B2" w:rsidRDefault="003B53F2" w:rsidP="003B53F2">
      <w:pPr>
        <w:jc w:val="both"/>
        <w:rPr>
          <w:rFonts w:ascii="Arial" w:hAnsi="Arial" w:cs="Arial"/>
          <w:sz w:val="22"/>
          <w:szCs w:val="22"/>
          <w:lang w:eastAsia="tr-TR"/>
        </w:rPr>
      </w:pPr>
    </w:p>
    <w:p w:rsidR="003B53F2" w:rsidRDefault="006309CF" w:rsidP="006309CF">
      <w:pPr>
        <w:jc w:val="both"/>
        <w:rPr>
          <w:rFonts w:ascii="Arial" w:hAnsi="Arial"/>
          <w:color w:val="000000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t>The number of branches per bank was 3</w:t>
      </w:r>
      <w:r>
        <w:rPr>
          <w:rFonts w:ascii="Arial" w:hAnsi="Arial"/>
          <w:sz w:val="22"/>
          <w:szCs w:val="22"/>
          <w:lang w:val="en-US"/>
        </w:rPr>
        <w:t>21</w:t>
      </w:r>
      <w:r w:rsidRPr="00C3773A">
        <w:rPr>
          <w:rFonts w:ascii="Arial" w:hAnsi="Arial"/>
          <w:sz w:val="22"/>
          <w:szCs w:val="22"/>
          <w:lang w:val="en-US"/>
        </w:rPr>
        <w:t xml:space="preserve"> in deposit banks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C3773A">
        <w:rPr>
          <w:rFonts w:ascii="Arial" w:hAnsi="Arial"/>
          <w:sz w:val="22"/>
          <w:szCs w:val="22"/>
          <w:lang w:val="en-US"/>
        </w:rPr>
        <w:t xml:space="preserve">at the end of </w:t>
      </w:r>
      <w:r>
        <w:rPr>
          <w:rFonts w:ascii="Arial" w:hAnsi="Arial"/>
          <w:sz w:val="22"/>
          <w:szCs w:val="22"/>
          <w:lang w:val="en-US"/>
        </w:rPr>
        <w:t>September 2017.</w:t>
      </w:r>
    </w:p>
    <w:p w:rsidR="003B53F2" w:rsidRPr="00A23465" w:rsidRDefault="003B53F2" w:rsidP="003B53F2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:rsidR="00244D70" w:rsidRPr="00212F4A" w:rsidRDefault="00244D70" w:rsidP="00244D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r>
        <w:rPr>
          <w:rFonts w:ascii="Arial" w:hAnsi="Arial"/>
          <w:b/>
          <w:sz w:val="22"/>
          <w:szCs w:val="22"/>
          <w:lang w:val="en-US"/>
        </w:rPr>
        <w:t>Number of B</w:t>
      </w:r>
      <w:r w:rsidRPr="000B6C7A">
        <w:rPr>
          <w:rFonts w:ascii="Arial" w:hAnsi="Arial"/>
          <w:b/>
          <w:sz w:val="22"/>
          <w:szCs w:val="22"/>
          <w:lang w:val="en-US"/>
        </w:rPr>
        <w:t>ranches</w:t>
      </w:r>
      <w:r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="00DD6E57">
        <w:rPr>
          <w:rFonts w:ascii="Arial" w:hAnsi="Arial"/>
          <w:b/>
          <w:sz w:val="22"/>
          <w:szCs w:val="22"/>
          <w:lang w:val="en-US"/>
        </w:rPr>
        <w:t>and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Employee</w:t>
      </w:r>
      <w:r w:rsidR="00DD6E57">
        <w:rPr>
          <w:rFonts w:ascii="Arial" w:hAnsi="Arial"/>
          <w:b/>
          <w:sz w:val="22"/>
          <w:szCs w:val="22"/>
          <w:lang w:val="en-US"/>
        </w:rPr>
        <w:t>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743BAD">
        <w:rPr>
          <w:rFonts w:ascii="Arial" w:hAnsi="Arial"/>
          <w:b/>
          <w:sz w:val="22"/>
          <w:szCs w:val="22"/>
          <w:lang w:val="en-US"/>
        </w:rPr>
        <w:t>per 100,000 People</w:t>
      </w:r>
    </w:p>
    <w:p w:rsidR="00244D70" w:rsidRDefault="00244D70" w:rsidP="00244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44D70" w:rsidRDefault="00244D70" w:rsidP="00244D7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44D70">
        <w:rPr>
          <w:rFonts w:ascii="Arial" w:hAnsi="Arial"/>
          <w:sz w:val="22"/>
          <w:szCs w:val="22"/>
          <w:lang w:val="en-US"/>
        </w:rPr>
        <w:t>When it was calculated using 201</w:t>
      </w:r>
      <w:r w:rsidR="00847592">
        <w:rPr>
          <w:rFonts w:ascii="Arial" w:hAnsi="Arial"/>
          <w:sz w:val="22"/>
          <w:szCs w:val="22"/>
          <w:lang w:val="en-US"/>
        </w:rPr>
        <w:t>6</w:t>
      </w:r>
      <w:r w:rsidRPr="00244D70">
        <w:rPr>
          <w:rFonts w:ascii="Arial" w:hAnsi="Arial"/>
          <w:sz w:val="22"/>
          <w:szCs w:val="22"/>
          <w:lang w:val="en-US"/>
        </w:rPr>
        <w:t xml:space="preserve"> year-end population figure, the number of branches per 100,000 people was 1</w:t>
      </w:r>
      <w:r w:rsidR="005B1A53">
        <w:rPr>
          <w:rFonts w:ascii="Arial" w:hAnsi="Arial"/>
          <w:sz w:val="22"/>
          <w:szCs w:val="22"/>
          <w:lang w:val="en-US"/>
        </w:rPr>
        <w:t>3</w:t>
      </w:r>
      <w:r w:rsidR="00D4355A">
        <w:rPr>
          <w:rFonts w:ascii="Arial" w:hAnsi="Arial"/>
          <w:sz w:val="22"/>
          <w:szCs w:val="22"/>
          <w:lang w:val="en-US"/>
        </w:rPr>
        <w:t xml:space="preserve"> and</w:t>
      </w:r>
      <w:r w:rsidRPr="00244D70">
        <w:rPr>
          <w:rFonts w:ascii="Arial" w:hAnsi="Arial"/>
          <w:sz w:val="22"/>
          <w:szCs w:val="22"/>
          <w:lang w:val="en-US"/>
        </w:rPr>
        <w:t xml:space="preserve"> the number of employees was 2</w:t>
      </w:r>
      <w:r w:rsidR="005B1A53">
        <w:rPr>
          <w:rFonts w:ascii="Arial" w:hAnsi="Arial"/>
          <w:sz w:val="22"/>
          <w:szCs w:val="22"/>
          <w:lang w:val="en-US"/>
        </w:rPr>
        <w:t>4</w:t>
      </w:r>
      <w:r w:rsidR="00EB015D">
        <w:rPr>
          <w:rFonts w:ascii="Arial" w:hAnsi="Arial"/>
          <w:sz w:val="22"/>
          <w:szCs w:val="22"/>
          <w:lang w:val="en-US"/>
        </w:rPr>
        <w:t>4</w:t>
      </w:r>
      <w:r w:rsidRPr="00244D70">
        <w:rPr>
          <w:rFonts w:ascii="Arial" w:hAnsi="Arial"/>
          <w:sz w:val="22"/>
          <w:szCs w:val="22"/>
          <w:lang w:val="en-US"/>
        </w:rPr>
        <w:t xml:space="preserve"> as of </w:t>
      </w:r>
      <w:r w:rsidR="00A204B2">
        <w:rPr>
          <w:rFonts w:ascii="Arial" w:hAnsi="Arial"/>
          <w:sz w:val="22"/>
          <w:szCs w:val="22"/>
          <w:lang w:val="en-US"/>
        </w:rPr>
        <w:t>September</w:t>
      </w:r>
      <w:r w:rsidR="00B83A3A">
        <w:rPr>
          <w:rFonts w:ascii="Arial" w:hAnsi="Arial"/>
          <w:sz w:val="22"/>
          <w:szCs w:val="22"/>
          <w:lang w:val="en-US"/>
        </w:rPr>
        <w:t xml:space="preserve"> </w:t>
      </w:r>
      <w:r w:rsidR="008B3A03">
        <w:rPr>
          <w:rFonts w:ascii="Arial" w:hAnsi="Arial"/>
          <w:sz w:val="22"/>
          <w:szCs w:val="22"/>
          <w:lang w:val="en-US"/>
        </w:rPr>
        <w:t>2017</w:t>
      </w:r>
      <w:r>
        <w:rPr>
          <w:rFonts w:ascii="Arial" w:hAnsi="Arial"/>
          <w:sz w:val="22"/>
          <w:szCs w:val="22"/>
          <w:lang w:val="en-US"/>
        </w:rPr>
        <w:t>.</w:t>
      </w:r>
    </w:p>
    <w:p w:rsidR="00244D70" w:rsidRDefault="00244D70" w:rsidP="00244D7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4D70" w:rsidRDefault="00244D70" w:rsidP="00244D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Number of </w:t>
      </w:r>
      <w:r w:rsidR="00DD6E57">
        <w:rPr>
          <w:rFonts w:ascii="Arial" w:hAnsi="Arial"/>
          <w:b/>
          <w:sz w:val="22"/>
          <w:szCs w:val="22"/>
          <w:lang w:val="en-US"/>
        </w:rPr>
        <w:t>B</w:t>
      </w:r>
      <w:r w:rsidR="00DD6E57" w:rsidRPr="000B6C7A">
        <w:rPr>
          <w:rFonts w:ascii="Arial" w:hAnsi="Arial"/>
          <w:b/>
          <w:sz w:val="22"/>
          <w:szCs w:val="22"/>
          <w:lang w:val="en-US"/>
        </w:rPr>
        <w:t>ranches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="00DD6E57">
        <w:rPr>
          <w:rFonts w:ascii="Arial" w:hAnsi="Arial"/>
          <w:b/>
          <w:sz w:val="22"/>
          <w:szCs w:val="22"/>
          <w:lang w:val="en-US"/>
        </w:rPr>
        <w:t>and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Employee</w:t>
      </w:r>
      <w:r w:rsidR="00DD6E57">
        <w:rPr>
          <w:rFonts w:ascii="Arial" w:hAnsi="Arial"/>
          <w:b/>
          <w:sz w:val="22"/>
          <w:szCs w:val="22"/>
          <w:lang w:val="en-US"/>
        </w:rPr>
        <w:t>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743BAD">
        <w:rPr>
          <w:rFonts w:ascii="Arial" w:hAnsi="Arial"/>
          <w:b/>
          <w:sz w:val="22"/>
          <w:szCs w:val="22"/>
          <w:lang w:val="en-US"/>
        </w:rPr>
        <w:t>per 100,000 People</w:t>
      </w:r>
    </w:p>
    <w:p w:rsidR="00244D70" w:rsidRDefault="00244D70" w:rsidP="00244D70">
      <w:pPr>
        <w:jc w:val="both"/>
        <w:rPr>
          <w:rFonts w:ascii="Arial" w:hAnsi="Arial" w:cs="Arial"/>
          <w:sz w:val="22"/>
          <w:szCs w:val="22"/>
        </w:rPr>
      </w:pPr>
    </w:p>
    <w:p w:rsidR="00D036E1" w:rsidRDefault="00BB52C9" w:rsidP="00BB52C9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5CE5480" wp14:editId="1A2B816A">
            <wp:extent cx="4514850" cy="1747838"/>
            <wp:effectExtent l="0" t="0" r="0" b="508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5A7D" w:rsidRPr="00A23465" w:rsidRDefault="00F45A7D" w:rsidP="00FC207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C207C" w:rsidRPr="00DD6E57" w:rsidRDefault="00A204B2" w:rsidP="00FC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According to ECB data, t</w:t>
      </w:r>
      <w:r w:rsidR="00FC207C" w:rsidRPr="007C2014">
        <w:rPr>
          <w:rFonts w:ascii="Arial" w:hAnsi="Arial" w:cs="Arial"/>
          <w:sz w:val="22"/>
          <w:szCs w:val="22"/>
          <w:lang w:val="en-US"/>
        </w:rPr>
        <w:t>he</w:t>
      </w:r>
      <w:r w:rsidR="00FC207C">
        <w:rPr>
          <w:rFonts w:ascii="Arial" w:hAnsi="Arial" w:cs="Arial"/>
          <w:sz w:val="22"/>
          <w:szCs w:val="22"/>
        </w:rPr>
        <w:t xml:space="preserve"> </w:t>
      </w:r>
      <w:r w:rsidR="00FC207C" w:rsidRPr="007C2014">
        <w:rPr>
          <w:rFonts w:ascii="Arial" w:hAnsi="Arial" w:cs="Arial"/>
          <w:sz w:val="22"/>
          <w:szCs w:val="22"/>
          <w:lang w:val="en-US"/>
        </w:rPr>
        <w:t>number</w:t>
      </w:r>
      <w:r>
        <w:rPr>
          <w:rFonts w:ascii="Arial" w:hAnsi="Arial" w:cs="Arial"/>
          <w:sz w:val="22"/>
          <w:szCs w:val="22"/>
          <w:lang w:val="en-US"/>
        </w:rPr>
        <w:t xml:space="preserve"> of</w:t>
      </w:r>
      <w:r w:rsidR="00FC207C">
        <w:rPr>
          <w:rFonts w:ascii="Arial" w:hAnsi="Arial" w:cs="Arial"/>
          <w:sz w:val="22"/>
          <w:szCs w:val="22"/>
        </w:rPr>
        <w:t xml:space="preserve"> </w:t>
      </w:r>
      <w:r w:rsidR="00AA09BD" w:rsidRPr="00DD6E57">
        <w:rPr>
          <w:rFonts w:ascii="Arial" w:hAnsi="Arial"/>
          <w:sz w:val="22"/>
          <w:szCs w:val="22"/>
          <w:lang w:val="en-US"/>
        </w:rPr>
        <w:t xml:space="preserve">employee </w:t>
      </w:r>
      <w:r>
        <w:rPr>
          <w:rFonts w:ascii="Arial" w:hAnsi="Arial"/>
          <w:sz w:val="22"/>
          <w:szCs w:val="22"/>
          <w:lang w:val="en-US"/>
        </w:rPr>
        <w:t xml:space="preserve">and branches </w:t>
      </w:r>
      <w:r w:rsidR="00AA09BD" w:rsidRPr="00DD6E57">
        <w:rPr>
          <w:rFonts w:ascii="Arial" w:hAnsi="Arial"/>
          <w:sz w:val="22"/>
          <w:szCs w:val="22"/>
          <w:lang w:val="en-US"/>
        </w:rPr>
        <w:t xml:space="preserve">per 100,000 people </w:t>
      </w:r>
      <w:r>
        <w:rPr>
          <w:rFonts w:ascii="Arial" w:hAnsi="Arial"/>
          <w:sz w:val="22"/>
          <w:szCs w:val="22"/>
          <w:lang w:val="en-US"/>
        </w:rPr>
        <w:t>is 549 and 35, respectively.</w:t>
      </w:r>
    </w:p>
    <w:p w:rsidR="00FC207C" w:rsidRDefault="00FC207C" w:rsidP="00244D70">
      <w:pPr>
        <w:jc w:val="both"/>
        <w:rPr>
          <w:rFonts w:ascii="Arial" w:hAnsi="Arial" w:cs="Arial"/>
          <w:sz w:val="22"/>
          <w:szCs w:val="22"/>
        </w:rPr>
      </w:pPr>
    </w:p>
    <w:sectPr w:rsidR="00FC207C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63494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ED5ADE">
      <w:rPr>
        <w:rFonts w:ascii="Arial" w:hAnsi="Arial"/>
        <w:sz w:val="18"/>
      </w:rPr>
      <w:t>September</w:t>
    </w:r>
    <w:r w:rsidR="00B87BFD">
      <w:rPr>
        <w:rFonts w:ascii="Arial" w:hAnsi="Arial"/>
        <w:sz w:val="18"/>
        <w:lang w:val="en-US"/>
      </w:rPr>
      <w:t xml:space="preserve"> 2017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32B4"/>
    <w:rsid w:val="00243772"/>
    <w:rsid w:val="00244D70"/>
    <w:rsid w:val="00250A3F"/>
    <w:rsid w:val="00253606"/>
    <w:rsid w:val="0026074E"/>
    <w:rsid w:val="0026186D"/>
    <w:rsid w:val="0026325F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A6A"/>
    <w:rsid w:val="002B0CE4"/>
    <w:rsid w:val="002B2666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C094C"/>
    <w:rsid w:val="003C1274"/>
    <w:rsid w:val="003C264E"/>
    <w:rsid w:val="003D04F6"/>
    <w:rsid w:val="003D076E"/>
    <w:rsid w:val="003D2C9C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506EF3"/>
    <w:rsid w:val="00507192"/>
    <w:rsid w:val="00510646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D9D"/>
    <w:rsid w:val="00765C0A"/>
    <w:rsid w:val="00765C6C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FB3"/>
    <w:rsid w:val="007D75EE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6C82"/>
    <w:rsid w:val="00BC1A2D"/>
    <w:rsid w:val="00BC3B52"/>
    <w:rsid w:val="00BC58AC"/>
    <w:rsid w:val="00BC7A29"/>
    <w:rsid w:val="00BD2477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647"/>
    <w:rsid w:val="00CD7426"/>
    <w:rsid w:val="00CD7E52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71DBC"/>
    <w:rsid w:val="00D740C3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D63EC6E"/>
  <w15:chartTrackingRefBased/>
  <w15:docId w15:val="{200276F4-24E4-4645-BEF0-AC7102DB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.%20Banka-&#231;al&#305;&#351;an-&#351;ube\09-17\DATA-Grafik-Eyl&#252;l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istortak\istatistik\3-AYLIK%20RAPORLAR\1.%20Banka-&#231;al&#305;&#351;an-&#351;ube\09-17\DATA-Grafik-Eyl&#252;l%202017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.%20Banka-&#231;al&#305;&#351;an-&#351;ube\09-17\DATA-Grafik-Eyl&#252;l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.%20Banka-&#231;al&#305;&#351;an-&#351;ube\09-17\DATA-Grafik-Eyl&#252;l%20201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.%20Banka-&#231;al&#305;&#351;an-&#351;ube\09-17\DATA-Grafik-Eyl&#252;l%202017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.%20Banka-&#231;al&#305;&#351;an-&#351;ube\09-17\DATA-Grafik-Eyl&#252;l%202017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275727405582682E-2"/>
          <c:y val="6.5578148885235513E-2"/>
          <c:w val="0.96872419072615923"/>
          <c:h val="0.5635614778921865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0-49BF-8F71-A805FC16F37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0-49BF-8F71-A805FC16F37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60-49BF-8F71-A805FC16F37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60-49BF-8F71-A805FC16F37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60-49BF-8F71-A805FC16F37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Sept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860-49BF-8F71-A805FC16F3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8879024"/>
        <c:axId val="508882552"/>
      </c:barChart>
      <c:catAx>
        <c:axId val="5088790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08882552"/>
        <c:crosses val="autoZero"/>
        <c:auto val="1"/>
        <c:lblAlgn val="ctr"/>
        <c:lblOffset val="100"/>
        <c:noMultiLvlLbl val="0"/>
      </c:catAx>
      <c:valAx>
        <c:axId val="508882552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50887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71600649834098E-2"/>
          <c:y val="3.5462522018904305E-2"/>
          <c:w val="0.85464229122079471"/>
          <c:h val="0.73232514072649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grafik'!$B$21</c:f>
              <c:strCache>
                <c:ptCount val="1"/>
                <c:pt idx="0">
                  <c:v>Number of employees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'çalışan grafik'!$A$22:$A$28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March 17</c:v>
                </c:pt>
                <c:pt idx="5">
                  <c:v>June 17</c:v>
                </c:pt>
                <c:pt idx="6">
                  <c:v>Sept. 17</c:v>
                </c:pt>
              </c:strCache>
            </c:strRef>
          </c:cat>
          <c:val>
            <c:numRef>
              <c:f>'çalışan grafik'!$B$22:$B$28</c:f>
              <c:numCache>
                <c:formatCode>General</c:formatCode>
                <c:ptCount val="7"/>
                <c:pt idx="0">
                  <c:v>197.465</c:v>
                </c:pt>
                <c:pt idx="1">
                  <c:v>200.886</c:v>
                </c:pt>
                <c:pt idx="2">
                  <c:v>201.20500000000001</c:v>
                </c:pt>
                <c:pt idx="3">
                  <c:v>196.69900000000001</c:v>
                </c:pt>
                <c:pt idx="4">
                  <c:v>196.75800000000001</c:v>
                </c:pt>
                <c:pt idx="5">
                  <c:v>196.01900000000001</c:v>
                </c:pt>
                <c:pt idx="6">
                  <c:v>195.06399999999999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6-42C7-8D82-FCD933A8F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0840200"/>
        <c:axId val="510838632"/>
      </c:barChart>
      <c:lineChart>
        <c:grouping val="standard"/>
        <c:varyColors val="0"/>
        <c:ser>
          <c:idx val="1"/>
          <c:order val="1"/>
          <c:tx>
            <c:strRef>
              <c:f>'çalışan grafik'!$C$21</c:f>
              <c:strCache>
                <c:ptCount val="1"/>
                <c:pt idx="0">
                  <c:v>Change (right axis)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'çalışan grafik'!$A$22:$A$28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March 17</c:v>
                </c:pt>
                <c:pt idx="5">
                  <c:v>June 17</c:v>
                </c:pt>
                <c:pt idx="6">
                  <c:v>Sept. 17</c:v>
                </c:pt>
              </c:strCache>
            </c:strRef>
          </c:cat>
          <c:val>
            <c:numRef>
              <c:f>'çalışan grafik'!$C$22:$C$28</c:f>
              <c:numCache>
                <c:formatCode>General</c:formatCode>
                <c:ptCount val="7"/>
                <c:pt idx="0">
                  <c:v>11.367000000000001</c:v>
                </c:pt>
                <c:pt idx="1">
                  <c:v>3.4209999999999998</c:v>
                </c:pt>
                <c:pt idx="2">
                  <c:v>0.31900000000000001</c:v>
                </c:pt>
                <c:pt idx="3">
                  <c:v>-4.5060000000000002</c:v>
                </c:pt>
                <c:pt idx="4">
                  <c:v>5.8999999999999997E-2</c:v>
                </c:pt>
                <c:pt idx="5">
                  <c:v>-0.73899999999999999</c:v>
                </c:pt>
                <c:pt idx="6">
                  <c:v>-0.95499999999999996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96-42C7-8D82-FCD933A8F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839416"/>
        <c:axId val="510837848"/>
      </c:lineChart>
      <c:catAx>
        <c:axId val="510840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38632"/>
        <c:crosses val="autoZero"/>
        <c:auto val="1"/>
        <c:lblAlgn val="ctr"/>
        <c:lblOffset val="100"/>
        <c:noMultiLvlLbl val="0"/>
      </c:catAx>
      <c:valAx>
        <c:axId val="510838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00C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40200"/>
        <c:crosses val="autoZero"/>
        <c:crossBetween val="between"/>
      </c:valAx>
      <c:valAx>
        <c:axId val="5108378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FF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39416"/>
        <c:crosses val="max"/>
        <c:crossBetween val="between"/>
      </c:valAx>
      <c:catAx>
        <c:axId val="510839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10837848"/>
        <c:crosses val="autoZero"/>
        <c:auto val="1"/>
        <c:lblAlgn val="ctr"/>
        <c:lblOffset val="100"/>
        <c:noMultiLvlLbl val="0"/>
      </c:catAx>
      <c:spPr>
        <a:noFill/>
        <a:ln>
          <a:solidFill>
            <a:sysClr val="window" lastClr="FFFFFF">
              <a:lumMod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5.9908969888501459E-2"/>
          <c:y val="0.88744158391633632"/>
          <c:w val="0.78139572096248344"/>
          <c:h val="0.11255841608366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75000"/>
        </a:sys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BC-4667-B837-B53394FDE0B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BC-4667-B837-B53394FDE0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95827</c:v>
                </c:pt>
                <c:pt idx="1">
                  <c:v>99237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BC-4667-B837-B53394FDE0B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5F-4138-B088-56E58F84E100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5F-4138-B088-56E58F84E100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5F-4138-B088-56E58F84E100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5F-4138-B088-56E58F84E1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153.17500000000001</c:v>
                </c:pt>
                <c:pt idx="1">
                  <c:v>26.79</c:v>
                </c:pt>
                <c:pt idx="2">
                  <c:v>14.009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5F-4138-B088-56E58F84E10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'şube grafik'!$D$25</c:f>
              <c:strCache>
                <c:ptCount val="1"/>
                <c:pt idx="0">
                  <c:v>Number of branches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'şube grafik'!$B$26:$B$32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Mar. 17</c:v>
                </c:pt>
                <c:pt idx="5">
                  <c:v>June 17</c:v>
                </c:pt>
                <c:pt idx="6">
                  <c:v>Sept. 17</c:v>
                </c:pt>
              </c:strCache>
            </c:strRef>
          </c:cat>
          <c:val>
            <c:numRef>
              <c:f>'şube grafik'!$D$26:$D$32</c:f>
              <c:numCache>
                <c:formatCode>General</c:formatCode>
                <c:ptCount val="7"/>
                <c:pt idx="0">
                  <c:v>11.021000000000001</c:v>
                </c:pt>
                <c:pt idx="1">
                  <c:v>11.223000000000001</c:v>
                </c:pt>
                <c:pt idx="2">
                  <c:v>11.193</c:v>
                </c:pt>
                <c:pt idx="3">
                  <c:v>10.781000000000001</c:v>
                </c:pt>
                <c:pt idx="4">
                  <c:v>10.754</c:v>
                </c:pt>
                <c:pt idx="5">
                  <c:v>10.724</c:v>
                </c:pt>
                <c:pt idx="6">
                  <c:v>10.657999999999999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B-46BA-976E-FD2819626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0833144"/>
        <c:axId val="510837456"/>
      </c:barChart>
      <c:lineChart>
        <c:grouping val="standard"/>
        <c:varyColors val="0"/>
        <c:ser>
          <c:idx val="0"/>
          <c:order val="0"/>
          <c:tx>
            <c:strRef>
              <c:f>'şube grafik'!$C$25</c:f>
              <c:strCache>
                <c:ptCount val="1"/>
                <c:pt idx="0">
                  <c:v>Change (right axis)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'şube grafik'!$B$26:$B$32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Mar. 17</c:v>
                </c:pt>
                <c:pt idx="5">
                  <c:v>June 17</c:v>
                </c:pt>
                <c:pt idx="6">
                  <c:v>Sept. 17</c:v>
                </c:pt>
              </c:strCache>
            </c:strRef>
          </c:cat>
          <c:val>
            <c:numRef>
              <c:f>'şube grafik'!$C$26:$C$32</c:f>
              <c:numCache>
                <c:formatCode>General</c:formatCode>
                <c:ptCount val="7"/>
                <c:pt idx="0">
                  <c:v>787</c:v>
                </c:pt>
                <c:pt idx="1">
                  <c:v>202</c:v>
                </c:pt>
                <c:pt idx="2">
                  <c:v>-30</c:v>
                </c:pt>
                <c:pt idx="3">
                  <c:v>-412</c:v>
                </c:pt>
                <c:pt idx="4">
                  <c:v>-27</c:v>
                </c:pt>
                <c:pt idx="5">
                  <c:v>-30</c:v>
                </c:pt>
                <c:pt idx="6">
                  <c:v>-66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CB-46BA-976E-FD2819626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833536"/>
        <c:axId val="510834712"/>
      </c:lineChart>
      <c:catAx>
        <c:axId val="510833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37456"/>
        <c:crosses val="autoZero"/>
        <c:auto val="1"/>
        <c:lblAlgn val="ctr"/>
        <c:lblOffset val="100"/>
        <c:noMultiLvlLbl val="0"/>
      </c:catAx>
      <c:valAx>
        <c:axId val="510837456"/>
        <c:scaling>
          <c:orientation val="minMax"/>
          <c:min val="10.199999999999999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00C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33144"/>
        <c:crosses val="autoZero"/>
        <c:crossBetween val="between"/>
        <c:majorUnit val="0.30000000000000004"/>
      </c:valAx>
      <c:valAx>
        <c:axId val="5108347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FF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0833536"/>
        <c:crosses val="max"/>
        <c:crossBetween val="between"/>
      </c:valAx>
      <c:catAx>
        <c:axId val="510833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1083471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bg1">
              <a:lumMod val="65000"/>
            </a:schemeClr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göre'!$A$21</c:f>
              <c:strCache>
                <c:ptCount val="1"/>
                <c:pt idx="0">
                  <c:v>Number of  Employees 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göre'!$B$20:$F$20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Sept. 2017</c:v>
                </c:pt>
              </c:strCache>
            </c:strRef>
          </c:cat>
          <c:val>
            <c:numRef>
              <c:f>'nüfusa göre'!$B$21:$F$21</c:f>
              <c:numCache>
                <c:formatCode>General</c:formatCode>
                <c:ptCount val="5"/>
                <c:pt idx="0">
                  <c:v>257</c:v>
                </c:pt>
                <c:pt idx="1">
                  <c:v>258</c:v>
                </c:pt>
                <c:pt idx="2">
                  <c:v>255</c:v>
                </c:pt>
                <c:pt idx="3">
                  <c:v>246</c:v>
                </c:pt>
                <c:pt idx="4">
                  <c:v>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E0-45A4-9D3F-C84821681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883728"/>
        <c:axId val="508880984"/>
      </c:lineChart>
      <c:lineChart>
        <c:grouping val="standard"/>
        <c:varyColors val="0"/>
        <c:ser>
          <c:idx val="1"/>
          <c:order val="1"/>
          <c:tx>
            <c:strRef>
              <c:f>'nüfusa göre'!$A$22</c:f>
              <c:strCache>
                <c:ptCount val="1"/>
                <c:pt idx="0">
                  <c:v>Number of Branches (right axis)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göre'!$B$20:$F$20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Sept. 2017</c:v>
                </c:pt>
              </c:strCache>
            </c:strRef>
          </c:cat>
          <c:val>
            <c:numRef>
              <c:f>'nüfusa göre'!$B$22:$F$22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E0-45A4-9D3F-C84821681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884120"/>
        <c:axId val="508883336"/>
      </c:lineChart>
      <c:catAx>
        <c:axId val="50888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8880984"/>
        <c:crosses val="autoZero"/>
        <c:auto val="1"/>
        <c:lblAlgn val="ctr"/>
        <c:lblOffset val="100"/>
        <c:noMultiLvlLbl val="0"/>
      </c:catAx>
      <c:valAx>
        <c:axId val="508880984"/>
        <c:scaling>
          <c:orientation val="minMax"/>
          <c:min val="24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C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8883728"/>
        <c:crosses val="autoZero"/>
        <c:crossBetween val="between"/>
        <c:majorUnit val="5"/>
      </c:valAx>
      <c:valAx>
        <c:axId val="508883336"/>
        <c:scaling>
          <c:orientation val="minMax"/>
          <c:min val="12.6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8884120"/>
        <c:crosses val="max"/>
        <c:crossBetween val="between"/>
        <c:majorUnit val="1"/>
      </c:valAx>
      <c:catAx>
        <c:axId val="508884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888333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bg1">
              <a:lumMod val="75000"/>
            </a:schemeClr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0.14428</cdr:x>
      <cdr:y>0.54143</cdr:y>
    </cdr:from>
    <cdr:to>
      <cdr:x>0.58691</cdr:x>
      <cdr:y>0.65385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37999" y="938597"/>
          <a:ext cx="2264019" cy="19487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0.03194</cdr:x>
      <cdr:y>0.45424</cdr:y>
    </cdr:from>
    <cdr:to>
      <cdr:x>0.64445</cdr:x>
      <cdr:y>0.5291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664960" y="-714116"/>
          <a:ext cx="129763" cy="3132896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A4BB-C99E-46FE-AF3F-EF2AA202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Aslı Özaktan</cp:lastModifiedBy>
  <cp:revision>18</cp:revision>
  <cp:lastPrinted>2017-10-25T12:31:00Z</cp:lastPrinted>
  <dcterms:created xsi:type="dcterms:W3CDTF">2017-10-25T06:02:00Z</dcterms:created>
  <dcterms:modified xsi:type="dcterms:W3CDTF">2017-10-25T12:38:00Z</dcterms:modified>
</cp:coreProperties>
</file>