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BD3AAC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BD3AAC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BD3AAC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BD3AAC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BD3AAC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BD3AAC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BD3AAC" w:rsidRDefault="00BD3AAC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 w:rsidRPr="00BD3AAC">
        <w:rPr>
          <w:rFonts w:ascii="Arial" w:hAnsi="Arial" w:cs="Arial"/>
          <w:color w:val="000000" w:themeColor="text1"/>
          <w:szCs w:val="24"/>
          <w:lang w:val="en-US"/>
        </w:rPr>
        <w:t>Dec</w:t>
      </w:r>
      <w:r w:rsidR="00373886" w:rsidRPr="00BD3AAC">
        <w:rPr>
          <w:rFonts w:ascii="Arial" w:hAnsi="Arial" w:cs="Arial"/>
          <w:color w:val="000000" w:themeColor="text1"/>
          <w:szCs w:val="24"/>
          <w:lang w:val="en-US"/>
        </w:rPr>
        <w:t>ember</w:t>
      </w:r>
      <w:r w:rsidR="00F05082" w:rsidRPr="00BD3AAC">
        <w:rPr>
          <w:rFonts w:ascii="Arial" w:hAnsi="Arial" w:cs="Arial"/>
          <w:color w:val="000000" w:themeColor="text1"/>
          <w:szCs w:val="24"/>
          <w:lang w:val="en-US"/>
        </w:rPr>
        <w:t xml:space="preserve"> 2019</w:t>
      </w:r>
    </w:p>
    <w:p w:rsidR="00C3793B" w:rsidRPr="00BD3AAC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24332E" w:rsidRPr="00BD3AAC" w:rsidRDefault="0024332E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BD3AAC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EC6DE3" w:rsidRPr="00BD3AAC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BD3AAC">
        <w:rPr>
          <w:color w:val="000000" w:themeColor="text1"/>
          <w:szCs w:val="22"/>
          <w:lang w:val="en-US"/>
        </w:rPr>
        <w:t>Number of Banks</w:t>
      </w:r>
    </w:p>
    <w:p w:rsidR="00EC6DE3" w:rsidRPr="00BD3AAC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996DEE" w:rsidRPr="00BD3AAC" w:rsidRDefault="00634250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D3AAC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61286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5DD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4.85pt;width:2.8pt;height:246.6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" adj="20" strokecolor="red" strokeweight="1.5pt">
                <v:stroke joinstyle="miter"/>
              </v:shape>
            </w:pict>
          </mc:Fallback>
        </mc:AlternateConten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BD3AAC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BD3AAC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F05082" w:rsidRPr="00BD3AA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3023F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 </w:t>
      </w:r>
      <w:r w:rsidR="00373886" w:rsidRPr="00BD3AAC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F05082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2019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BD3AAC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13 in non-deposit banks group</w:t>
      </w:r>
      <w:r w:rsidR="00A0040F" w:rsidRPr="00BD3AAC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BD3AAC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</w:p>
    <w:p w:rsidR="0024332E" w:rsidRPr="00BD3AAC" w:rsidRDefault="0024332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996DEE" w:rsidRPr="00BD3AAC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BD3AAC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BD3AAC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BD3AAC" w:rsidRDefault="00AE7B4B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BD3AAC">
        <w:rPr>
          <w:noProof/>
          <w:color w:val="000000" w:themeColor="text1"/>
          <w:lang w:eastAsia="tr-TR"/>
        </w:rPr>
        <w:drawing>
          <wp:inline distT="0" distB="0" distL="0" distR="0" wp14:anchorId="13A3AC69" wp14:editId="0919EEFF">
            <wp:extent cx="5279366" cy="1449237"/>
            <wp:effectExtent l="0" t="0" r="17145" b="177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BD3AAC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BD3AAC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BD3AAC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BD3AAC" w:rsidRDefault="008835CB" w:rsidP="008835CB">
      <w:pPr>
        <w:jc w:val="both"/>
        <w:rPr>
          <w:rFonts w:ascii="Arial" w:hAnsi="Arial" w:cs="Arial"/>
          <w:color w:val="FF0000"/>
          <w:sz w:val="12"/>
          <w:szCs w:val="12"/>
          <w:lang w:val="en-US"/>
        </w:rPr>
      </w:pPr>
    </w:p>
    <w:p w:rsidR="0024332E" w:rsidRPr="00BD3AAC" w:rsidRDefault="0024332E" w:rsidP="003F6C5A">
      <w:pPr>
        <w:pStyle w:val="Subtitle"/>
        <w:rPr>
          <w:color w:val="FF0000"/>
          <w:lang w:val="en-US"/>
        </w:rPr>
      </w:pPr>
    </w:p>
    <w:p w:rsidR="00EC6DE3" w:rsidRPr="00BD3AAC" w:rsidRDefault="003F6C5A" w:rsidP="003F6C5A">
      <w:pPr>
        <w:pStyle w:val="Subtitle"/>
        <w:rPr>
          <w:color w:val="000000" w:themeColor="text1"/>
          <w:lang w:val="en-US"/>
        </w:rPr>
      </w:pPr>
      <w:r w:rsidRPr="00BD3AAC">
        <w:rPr>
          <w:color w:val="000000" w:themeColor="text1"/>
          <w:lang w:val="en-US"/>
        </w:rPr>
        <w:t xml:space="preserve">Number of </w:t>
      </w:r>
      <w:r w:rsidR="000337BF" w:rsidRPr="00BD3AAC">
        <w:rPr>
          <w:color w:val="000000" w:themeColor="text1"/>
          <w:lang w:val="en-US"/>
        </w:rPr>
        <w:t>E</w:t>
      </w:r>
      <w:r w:rsidR="00EC6DE3" w:rsidRPr="00BD3AAC">
        <w:rPr>
          <w:color w:val="000000" w:themeColor="text1"/>
          <w:lang w:val="en-US"/>
        </w:rPr>
        <w:t>mployees</w:t>
      </w:r>
      <w:r w:rsidRPr="00BD3AAC">
        <w:rPr>
          <w:color w:val="000000" w:themeColor="text1"/>
          <w:lang w:val="en-US"/>
        </w:rPr>
        <w:t xml:space="preserve"> </w:t>
      </w:r>
    </w:p>
    <w:p w:rsidR="0066600F" w:rsidRPr="00BD3AAC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6A0843" w:rsidRPr="00BD3AAC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BD3AAC" w:rsidRPr="00BD3AAC">
        <w:rPr>
          <w:rFonts w:ascii="Arial" w:hAnsi="Arial"/>
          <w:color w:val="000000" w:themeColor="text1"/>
          <w:sz w:val="22"/>
          <w:szCs w:val="22"/>
          <w:lang w:val="en-US"/>
        </w:rPr>
        <w:t>December</w:t>
      </w:r>
      <w:r w:rsidR="00AE7B4B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2019</w:t>
      </w: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373886" w:rsidRPr="00BD3AAC">
        <w:rPr>
          <w:rFonts w:ascii="Arial" w:hAnsi="Arial"/>
          <w:color w:val="000000" w:themeColor="text1"/>
          <w:sz w:val="22"/>
          <w:szCs w:val="22"/>
          <w:lang w:val="en-US"/>
        </w:rPr>
        <w:t>18</w:t>
      </w:r>
      <w:r w:rsidR="00BD3AAC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73886" w:rsidRPr="00BD3AAC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BD3AAC">
        <w:rPr>
          <w:rFonts w:ascii="Arial" w:hAnsi="Arial"/>
          <w:color w:val="000000" w:themeColor="text1"/>
          <w:sz w:val="22"/>
          <w:szCs w:val="22"/>
          <w:lang w:val="en-US"/>
        </w:rPr>
        <w:t>837</w:t>
      </w:r>
      <w:r w:rsidR="00191359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BD3AAC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BD3AAC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BD3AAC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BD3AAC" w:rsidRDefault="007978EA" w:rsidP="007978EA">
      <w:pPr>
        <w:rPr>
          <w:color w:val="000000" w:themeColor="text1"/>
          <w:lang w:val="en-US" w:eastAsia="tr-TR"/>
        </w:rPr>
      </w:pPr>
    </w:p>
    <w:p w:rsidR="00EC6DE3" w:rsidRPr="00BD3AAC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BD3AAC" w:rsidRPr="00BD3AAC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BD3AAC" w:rsidRPr="00BD3AAC" w:rsidRDefault="00BD3AAC" w:rsidP="00BD3AAC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D3AAC" w:rsidRPr="00BD3AAC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3AAC" w:rsidRPr="00BD3AAC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2019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BD3AAC" w:rsidRPr="00BD3AAC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2019</w:t>
            </w:r>
          </w:p>
        </w:tc>
      </w:tr>
      <w:tr w:rsidR="00BD3AAC" w:rsidRPr="00BD3AAC" w:rsidTr="00373886">
        <w:trPr>
          <w:jc w:val="center"/>
        </w:trPr>
        <w:tc>
          <w:tcPr>
            <w:tcW w:w="2127" w:type="dxa"/>
          </w:tcPr>
          <w:p w:rsidR="00BD3AAC" w:rsidRPr="00BD3AAC" w:rsidRDefault="00BD3AAC" w:rsidP="00BD3AAC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186,918</w:t>
            </w:r>
          </w:p>
        </w:tc>
        <w:tc>
          <w:tcPr>
            <w:tcW w:w="1843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184,324</w:t>
            </w:r>
          </w:p>
        </w:tc>
        <w:tc>
          <w:tcPr>
            <w:tcW w:w="1758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183,659</w:t>
            </w:r>
          </w:p>
        </w:tc>
      </w:tr>
      <w:tr w:rsidR="00BD3AAC" w:rsidRPr="00BD3AAC" w:rsidTr="00373886">
        <w:trPr>
          <w:jc w:val="center"/>
        </w:trPr>
        <w:tc>
          <w:tcPr>
            <w:tcW w:w="2127" w:type="dxa"/>
          </w:tcPr>
          <w:p w:rsidR="00BD3AAC" w:rsidRPr="00BD3AAC" w:rsidRDefault="00BD3AAC" w:rsidP="00BD3AAC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5,395</w:t>
            </w:r>
          </w:p>
        </w:tc>
        <w:tc>
          <w:tcPr>
            <w:tcW w:w="1843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5,183</w:t>
            </w:r>
          </w:p>
        </w:tc>
        <w:tc>
          <w:tcPr>
            <w:tcW w:w="1758" w:type="dxa"/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color w:val="000000" w:themeColor="text1"/>
                <w:sz w:val="20"/>
              </w:rPr>
              <w:t>5,178</w:t>
            </w:r>
          </w:p>
        </w:tc>
      </w:tr>
      <w:tr w:rsidR="00BD3AAC" w:rsidRPr="00BD3AAC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BD3AAC" w:rsidRPr="00BD3AAC" w:rsidRDefault="00BD3AAC" w:rsidP="00BD3AAC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BD3AAC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192,313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189,507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BD3AAC" w:rsidRPr="00BD3AAC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D3A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188,837</w:t>
            </w:r>
          </w:p>
        </w:tc>
      </w:tr>
    </w:tbl>
    <w:p w:rsidR="00B9402E" w:rsidRPr="00BD3AAC" w:rsidRDefault="00B9402E" w:rsidP="00E113C4">
      <w:pPr>
        <w:jc w:val="both"/>
        <w:rPr>
          <w:rFonts w:ascii="Arial" w:hAnsi="Arial"/>
          <w:color w:val="FF0000"/>
          <w:sz w:val="12"/>
          <w:szCs w:val="12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9B41D0" w:rsidRPr="00BD3AAC" w:rsidRDefault="00D62DB9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lastRenderedPageBreak/>
        <w:t>T</w:t>
      </w:r>
      <w:r w:rsidR="009B41D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he number of employees decreased by </w:t>
      </w:r>
      <w:r w:rsidR="00BD3AAC" w:rsidRPr="00BD3AAC">
        <w:rPr>
          <w:rFonts w:ascii="Arial" w:hAnsi="Arial"/>
          <w:color w:val="000000" w:themeColor="text1"/>
          <w:sz w:val="22"/>
          <w:szCs w:val="22"/>
          <w:lang w:val="en-US"/>
        </w:rPr>
        <w:t>670</w:t>
      </w:r>
      <w:r w:rsidR="009B41D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BD3AAC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previous quarter </w:t>
      </w:r>
      <w:r w:rsidR="009B41D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and by </w:t>
      </w:r>
      <w:r w:rsidR="00BD3AAC" w:rsidRPr="00BD3AAC">
        <w:rPr>
          <w:rFonts w:ascii="Arial" w:hAnsi="Arial"/>
          <w:color w:val="000000" w:themeColor="text1"/>
          <w:sz w:val="22"/>
          <w:szCs w:val="22"/>
          <w:lang w:val="en-US"/>
        </w:rPr>
        <w:t>3,836 (2 percent), as compared to 2018</w:t>
      </w:r>
      <w:r w:rsidR="00306FAF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FC4EA3" w:rsidRPr="00BD3AAC" w:rsidRDefault="00FC4EA3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BD3AAC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BD3AAC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BD3AAC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BD3AAC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Pr="00BD3AAC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846766" w:rsidRDefault="00846766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846766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231140</wp:posOffset>
            </wp:positionV>
            <wp:extent cx="4865030" cy="2164268"/>
            <wp:effectExtent l="0" t="0" r="0" b="762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5030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D37" w:rsidRPr="00846766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846766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BD3AAC" w:rsidRDefault="006F1D37" w:rsidP="005421C0">
      <w:pPr>
        <w:pStyle w:val="Heading9"/>
        <w:rPr>
          <w:rFonts w:ascii="Arial" w:hAnsi="Arial"/>
          <w:color w:val="000000" w:themeColor="text1"/>
          <w:lang w:val="en-US"/>
        </w:rPr>
      </w:pPr>
    </w:p>
    <w:p w:rsidR="00425999" w:rsidRPr="00BD3AAC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BD3AA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BD3AAC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BD3AAC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BD3AAC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BD3AAC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As of </w:t>
      </w:r>
      <w:r w:rsidR="00BD3AAC"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Dece</w:t>
      </w:r>
      <w:r w:rsidR="00373886"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mber</w:t>
      </w:r>
      <w:r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201</w:t>
      </w:r>
      <w:r w:rsidR="009368E1"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9</w:t>
      </w:r>
      <w:r w:rsidRPr="00BD3AAC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BD3AAC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BD3AAC" w:rsidRDefault="001E1244" w:rsidP="001E1244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BD3AAC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BD3AAC" w:rsidRPr="00BD3AAC">
        <w:rPr>
          <w:rFonts w:ascii="Arial" w:hAnsi="Arial"/>
          <w:color w:val="000000" w:themeColor="text1"/>
          <w:sz w:val="22"/>
          <w:szCs w:val="22"/>
          <w:lang w:val="en-US"/>
        </w:rPr>
        <w:t>Dec</w:t>
      </w:r>
      <w:r w:rsidR="00373886" w:rsidRPr="00BD3AAC">
        <w:rPr>
          <w:rFonts w:ascii="Arial" w:hAnsi="Arial"/>
          <w:color w:val="000000" w:themeColor="text1"/>
          <w:sz w:val="22"/>
          <w:szCs w:val="22"/>
          <w:lang w:val="en-US"/>
        </w:rPr>
        <w:t>ember</w:t>
      </w:r>
      <w:r w:rsidR="00634250"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368E1" w:rsidRPr="00BD3AAC">
        <w:rPr>
          <w:rFonts w:ascii="Arial" w:hAnsi="Arial"/>
          <w:color w:val="000000" w:themeColor="text1"/>
          <w:sz w:val="22"/>
          <w:szCs w:val="22"/>
          <w:lang w:val="en-US"/>
        </w:rPr>
        <w:t>2019</w:t>
      </w: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BD3AAC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BD3AAC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BD3AAC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1E1244" w:rsidRPr="00BD3AAC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Pr="00BD3AAC" w:rsidRDefault="00FC4EA3" w:rsidP="00094B92">
      <w:pPr>
        <w:pStyle w:val="Heading9"/>
        <w:rPr>
          <w:rFonts w:ascii="Arial" w:hAnsi="Arial"/>
          <w:color w:val="000000" w:themeColor="text1"/>
          <w:lang w:val="en-US"/>
        </w:rPr>
      </w:pPr>
      <w:r w:rsidRPr="00BD3AAC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BD3AAC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BD3AAC">
        <w:rPr>
          <w:rFonts w:ascii="Arial" w:hAnsi="Arial"/>
          <w:color w:val="000000" w:themeColor="text1"/>
          <w:lang w:val="en-US"/>
        </w:rPr>
        <w:t>Employees by Gender and Education Level</w:t>
      </w:r>
    </w:p>
    <w:p w:rsidR="00D23C02" w:rsidRPr="00BD3AAC" w:rsidRDefault="00252141" w:rsidP="00D23C02">
      <w:pPr>
        <w:rPr>
          <w:rFonts w:ascii="Arial" w:hAnsi="Arial" w:cs="Arial"/>
          <w:color w:val="FF0000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D3AAC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BD3AAC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D04C4E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D04C4E">
        <w:rPr>
          <w:color w:val="000000" w:themeColor="text1"/>
          <w:szCs w:val="22"/>
          <w:lang w:val="en-US"/>
        </w:rPr>
        <w:t>Number of Branches</w:t>
      </w:r>
    </w:p>
    <w:p w:rsidR="003B53F2" w:rsidRPr="00D04C4E" w:rsidRDefault="003B53F2" w:rsidP="003B53F2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B53F2" w:rsidRPr="00D04C4E" w:rsidRDefault="003B53F2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D04C4E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BD3AAC" w:rsidRPr="00D04C4E">
        <w:rPr>
          <w:rFonts w:ascii="Arial" w:hAnsi="Arial"/>
          <w:color w:val="000000" w:themeColor="text1"/>
          <w:sz w:val="22"/>
          <w:szCs w:val="22"/>
          <w:lang w:val="en-US"/>
        </w:rPr>
        <w:t>Decem</w:t>
      </w:r>
      <w:r w:rsidR="00373886" w:rsidRPr="00D04C4E">
        <w:rPr>
          <w:rFonts w:ascii="Arial" w:hAnsi="Arial"/>
          <w:color w:val="000000" w:themeColor="text1"/>
          <w:sz w:val="22"/>
          <w:szCs w:val="22"/>
          <w:lang w:val="en-US"/>
        </w:rPr>
        <w:t>ber</w:t>
      </w:r>
      <w:r w:rsidR="009368E1" w:rsidRPr="00D04C4E">
        <w:rPr>
          <w:rFonts w:ascii="Arial" w:hAnsi="Arial"/>
          <w:color w:val="000000" w:themeColor="text1"/>
          <w:sz w:val="22"/>
          <w:szCs w:val="22"/>
          <w:lang w:val="en-US"/>
        </w:rPr>
        <w:t xml:space="preserve"> 2019</w:t>
      </w:r>
      <w:r w:rsidRPr="00D04C4E">
        <w:rPr>
          <w:rFonts w:ascii="Arial" w:hAnsi="Arial"/>
          <w:color w:val="000000" w:themeColor="text1"/>
          <w:sz w:val="22"/>
          <w:szCs w:val="22"/>
          <w:lang w:val="en-US"/>
        </w:rPr>
        <w:t>, the total number of branches in deposit banks and development and investment banks was 10,</w:t>
      </w:r>
      <w:r w:rsidR="00D04C4E" w:rsidRPr="00D04C4E">
        <w:rPr>
          <w:rFonts w:ascii="Arial" w:hAnsi="Arial"/>
          <w:color w:val="000000" w:themeColor="text1"/>
          <w:sz w:val="22"/>
          <w:szCs w:val="22"/>
          <w:lang w:val="en-US"/>
        </w:rPr>
        <w:t>199</w:t>
      </w:r>
      <w:r w:rsidRPr="00D04C4E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D04C4E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24332E" w:rsidRPr="00D04C4E" w:rsidRDefault="0024332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2D557D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2D557D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2D557D" w:rsidRPr="002D557D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2D557D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 2019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2019</w:t>
            </w:r>
          </w:p>
        </w:tc>
      </w:tr>
      <w:tr w:rsidR="002D557D" w:rsidRPr="002D557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  <w:lang w:eastAsia="tr-TR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10,400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10,231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10,137</w:t>
            </w:r>
          </w:p>
        </w:tc>
      </w:tr>
      <w:tr w:rsidR="002D557D" w:rsidRPr="002D557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58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color w:val="000000" w:themeColor="text1"/>
                <w:sz w:val="20"/>
              </w:rPr>
              <w:t>62</w:t>
            </w:r>
          </w:p>
        </w:tc>
      </w:tr>
      <w:tr w:rsidR="002D557D" w:rsidRPr="002D557D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2D557D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10,289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D3AAC" w:rsidRPr="002D557D" w:rsidRDefault="00BD3AAC" w:rsidP="00BD3AA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D557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10,199</w:t>
            </w:r>
          </w:p>
        </w:tc>
      </w:tr>
    </w:tbl>
    <w:p w:rsidR="003B53F2" w:rsidRPr="002D557D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2D557D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2D557D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D04C4E" w:rsidRPr="002D557D" w:rsidRDefault="00D04C4E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2D557D" w:rsidRPr="002D557D">
        <w:rPr>
          <w:rFonts w:ascii="Arial" w:hAnsi="Arial"/>
          <w:color w:val="000000" w:themeColor="text1"/>
          <w:sz w:val="22"/>
          <w:szCs w:val="22"/>
          <w:lang w:val="en-US"/>
        </w:rPr>
        <w:t>branches</w:t>
      </w: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 decreased by </w:t>
      </w:r>
      <w:r w:rsidR="002D557D" w:rsidRPr="002D557D">
        <w:rPr>
          <w:rFonts w:ascii="Arial" w:hAnsi="Arial"/>
          <w:color w:val="000000" w:themeColor="text1"/>
          <w:sz w:val="22"/>
          <w:szCs w:val="22"/>
          <w:lang w:val="en-US"/>
        </w:rPr>
        <w:t>90,</w:t>
      </w: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previous quarter and by </w:t>
      </w:r>
      <w:r w:rsidR="002D557D" w:rsidRPr="002D557D">
        <w:rPr>
          <w:rFonts w:ascii="Arial" w:hAnsi="Arial"/>
          <w:color w:val="000000" w:themeColor="text1"/>
          <w:sz w:val="22"/>
          <w:szCs w:val="22"/>
          <w:lang w:val="en-US"/>
        </w:rPr>
        <w:t>255,</w:t>
      </w: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2018</w:t>
      </w:r>
      <w:r w:rsidR="00306FAF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D04C4E" w:rsidRDefault="00D04C4E" w:rsidP="00984CE1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984CE1" w:rsidRPr="002D557D" w:rsidRDefault="00984CE1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>The number of</w:t>
      </w:r>
      <w:r w:rsidR="002D557D"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 branches per bank was 298</w:t>
      </w: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end of 2019.</w:t>
      </w:r>
    </w:p>
    <w:p w:rsidR="006F7448" w:rsidRPr="00BD3AAC" w:rsidRDefault="006F7448" w:rsidP="00984CE1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846766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846766">
        <w:rPr>
          <w:rFonts w:ascii="Arial" w:hAnsi="Arial"/>
          <w:lang w:val="en-US"/>
        </w:rPr>
        <w:t>Number of Branches</w:t>
      </w:r>
      <w:r w:rsidR="0089243E" w:rsidRPr="00846766">
        <w:rPr>
          <w:rFonts w:ascii="Arial" w:hAnsi="Arial"/>
          <w:lang w:val="en-US"/>
        </w:rPr>
        <w:t xml:space="preserve"> </w:t>
      </w:r>
    </w:p>
    <w:p w:rsidR="003B53F2" w:rsidRPr="00BD3AAC" w:rsidRDefault="00846766" w:rsidP="00434496">
      <w:pPr>
        <w:pStyle w:val="Heading9"/>
        <w:rPr>
          <w:rFonts w:ascii="Arial" w:hAnsi="Arial" w:cs="Arial"/>
          <w:noProof/>
          <w:color w:val="FF0000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0F62A68" wp14:editId="6EC5B284">
            <wp:extent cx="4858933" cy="2158171"/>
            <wp:effectExtent l="0" t="0" r="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8933" cy="21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3F2" w:rsidRPr="00BD3AAC" w:rsidRDefault="003B53F2" w:rsidP="003B53F2">
      <w:pPr>
        <w:jc w:val="center"/>
        <w:rPr>
          <w:rFonts w:ascii="Arial" w:hAnsi="Arial"/>
          <w:color w:val="FF0000"/>
          <w:sz w:val="22"/>
          <w:szCs w:val="22"/>
          <w:lang w:val="en-US"/>
        </w:rPr>
      </w:pPr>
    </w:p>
    <w:p w:rsidR="007D56A2" w:rsidRPr="002D557D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2D557D" w:rsidRDefault="007D56A2" w:rsidP="00244D70">
      <w:pPr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244D70" w:rsidRPr="002D557D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2D557D" w:rsidRDefault="00926B08" w:rsidP="00926B08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26B08" w:rsidRPr="002D557D" w:rsidRDefault="00373886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As of 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Dece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mber</w:t>
      </w:r>
      <w:r w:rsidR="006F7448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4170F1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2019,</w:t>
      </w:r>
      <w:r w:rsidR="006F7448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="0024332E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100,000 people decreased 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7</w:t>
      </w:r>
      <w:r w:rsidR="0024332E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 to 2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27</w:t>
      </w:r>
      <w:r w:rsidR="0024332E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4332E" w:rsidRPr="002D557D">
        <w:rPr>
          <w:rFonts w:ascii="Arial" w:hAnsi="Arial"/>
          <w:color w:val="000000" w:themeColor="text1"/>
          <w:sz w:val="22"/>
          <w:szCs w:val="22"/>
          <w:lang w:val="en-US"/>
        </w:rPr>
        <w:t>as compared to end of the 2018.</w:t>
      </w:r>
      <w:r w:rsidR="00926B08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926B08" w:rsidRPr="002D557D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2D557D" w:rsidRDefault="0024332E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2D557D" w:rsidRPr="002D557D">
        <w:rPr>
          <w:noProof/>
          <w:color w:val="000000" w:themeColor="text1"/>
          <w:lang w:eastAsia="tr-TR"/>
        </w:rPr>
        <w:t xml:space="preserve"> </w:t>
      </w:r>
      <w:r w:rsidR="002D557D" w:rsidRPr="002D557D">
        <w:rPr>
          <w:noProof/>
          <w:color w:val="000000" w:themeColor="text1"/>
          <w:lang w:eastAsia="tr-TR"/>
        </w:rPr>
        <w:drawing>
          <wp:inline distT="0" distB="0" distL="0" distR="0" wp14:anchorId="769F263E" wp14:editId="1E1FACB5">
            <wp:extent cx="4860000" cy="234000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25E3" w:rsidRPr="002D557D" w:rsidRDefault="009925E3" w:rsidP="009925E3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24332E" w:rsidRPr="002D557D" w:rsidRDefault="0024332E" w:rsidP="0024332E">
      <w:pPr>
        <w:tabs>
          <w:tab w:val="left" w:pos="978"/>
        </w:tabs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As of 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Dece</w:t>
      </w:r>
      <w:r w:rsidR="00373886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mber </w:t>
      </w:r>
      <w:r w:rsidR="004170F1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2019,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100,000 people decreased 0.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point to 12.</w:t>
      </w:r>
      <w:r w:rsidR="002D557D"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>3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2D557D">
        <w:rPr>
          <w:rFonts w:ascii="Arial" w:hAnsi="Arial"/>
          <w:color w:val="000000" w:themeColor="text1"/>
          <w:sz w:val="22"/>
          <w:szCs w:val="22"/>
          <w:lang w:val="en-US"/>
        </w:rPr>
        <w:t>as compared to end of the 2018.</w:t>
      </w:r>
      <w:r w:rsidRPr="002D557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926B08" w:rsidRPr="00BD3AAC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BD3AAC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2D" w:rsidRDefault="00155E2D">
      <w:r>
        <w:separator/>
      </w:r>
    </w:p>
  </w:endnote>
  <w:endnote w:type="continuationSeparator" w:id="0">
    <w:p w:rsidR="00155E2D" w:rsidRDefault="0015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C4916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BD3AAC">
      <w:rPr>
        <w:rFonts w:ascii="Arial" w:hAnsi="Arial"/>
        <w:sz w:val="18"/>
      </w:rPr>
      <w:t>December</w:t>
    </w:r>
    <w:r w:rsidR="005126D8">
      <w:rPr>
        <w:rFonts w:ascii="Arial" w:hAnsi="Arial"/>
        <w:sz w:val="18"/>
        <w:lang w:val="en-US"/>
      </w:rPr>
      <w:t xml:space="preserve"> 201</w:t>
    </w:r>
    <w:r w:rsidR="00984CE1">
      <w:rPr>
        <w:rFonts w:ascii="Arial" w:hAnsi="Arial"/>
        <w:sz w:val="18"/>
        <w:lang w:val="en-US"/>
      </w:rPr>
      <w:t>9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2D" w:rsidRDefault="00155E2D">
      <w:r>
        <w:separator/>
      </w:r>
    </w:p>
  </w:footnote>
  <w:footnote w:type="continuationSeparator" w:id="0">
    <w:p w:rsidR="00155E2D" w:rsidRDefault="00155E2D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5E2D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2958"/>
    <w:rsid w:val="002B3000"/>
    <w:rsid w:val="002B56D6"/>
    <w:rsid w:val="002B5BD1"/>
    <w:rsid w:val="002B780D"/>
    <w:rsid w:val="002C4916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0AC4144D-7C36-465D-9568-40399672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Aral&#305;k%202019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184869925669101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073856"/>
        <c:axId val="84433152"/>
      </c:barChart>
      <c:catAx>
        <c:axId val="84073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4433152"/>
        <c:crosses val="autoZero"/>
        <c:auto val="1"/>
        <c:lblAlgn val="ctr"/>
        <c:lblOffset val="100"/>
        <c:noMultiLvlLbl val="0"/>
      </c:catAx>
      <c:valAx>
        <c:axId val="84433152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8407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879789565026607E-2"/>
          <c:y val="0.65062015119017746"/>
          <c:w val="0.8551771874546404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göre'!$D$1:$H$1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'nüfusa göre'!$D$3:$H$3</c:f>
              <c:numCache>
                <c:formatCode>0.0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12.265047643498802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88-4760-B6C0-30DEB9863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32928"/>
        <c:axId val="12113446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göre'!$D$2:$H$2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'nüfusa göre'!$D$4:$H$4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227.09038159186031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88-4760-B6C0-30DEB9863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469952"/>
        <c:axId val="121468416"/>
      </c:lineChart>
      <c:catAx>
        <c:axId val="12113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134464"/>
        <c:crosses val="autoZero"/>
        <c:auto val="1"/>
        <c:lblAlgn val="ctr"/>
        <c:lblOffset val="100"/>
        <c:noMultiLvlLbl val="0"/>
      </c:catAx>
      <c:valAx>
        <c:axId val="12113446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132928"/>
        <c:crosses val="autoZero"/>
        <c:crossBetween val="between"/>
        <c:majorUnit val="1"/>
      </c:valAx>
      <c:valAx>
        <c:axId val="121468416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21469952"/>
        <c:crosses val="max"/>
        <c:crossBetween val="between"/>
        <c:majorUnit val="15"/>
      </c:valAx>
      <c:catAx>
        <c:axId val="121469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14684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5EF6-BB81-4B76-AE6E-A8F2F3BA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2019-10-25T07:35:00Z</cp:lastPrinted>
  <dcterms:created xsi:type="dcterms:W3CDTF">2020-02-07T11:26:00Z</dcterms:created>
  <dcterms:modified xsi:type="dcterms:W3CDTF">2020-02-07T11:26:00Z</dcterms:modified>
</cp:coreProperties>
</file>