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4A7E3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A7E35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4A7E35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4A7E35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A7E35">
        <w:rPr>
          <w:rFonts w:ascii="Arial" w:hAnsi="Arial" w:cs="Arial"/>
          <w:sz w:val="28"/>
          <w:szCs w:val="28"/>
          <w:lang w:val="en-US"/>
        </w:rPr>
        <w:t>i</w:t>
      </w:r>
      <w:r w:rsidR="00DD0655" w:rsidRPr="004A7E35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4A7E35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4A7E3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8EA" w:rsidRPr="004A7E35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C3793B" w:rsidRPr="004A7E35" w:rsidRDefault="00FB05FA" w:rsidP="00D56E83">
      <w:pPr>
        <w:pStyle w:val="Title"/>
        <w:rPr>
          <w:rFonts w:ascii="Arial" w:hAnsi="Arial" w:cs="Arial"/>
          <w:szCs w:val="24"/>
          <w:lang w:val="en-US"/>
        </w:rPr>
      </w:pPr>
      <w:r w:rsidRPr="004A7E35">
        <w:rPr>
          <w:rFonts w:ascii="Arial" w:hAnsi="Arial" w:cs="Arial"/>
          <w:szCs w:val="24"/>
          <w:lang w:val="en-US"/>
        </w:rPr>
        <w:t>June</w:t>
      </w:r>
      <w:r w:rsidR="00D56E83" w:rsidRPr="004A7E35">
        <w:rPr>
          <w:rFonts w:ascii="Arial" w:hAnsi="Arial" w:cs="Arial"/>
          <w:szCs w:val="24"/>
          <w:lang w:val="en-US"/>
        </w:rPr>
        <w:t xml:space="preserve"> 2023</w:t>
      </w:r>
    </w:p>
    <w:p w:rsidR="00C3793B" w:rsidRPr="004A7E35" w:rsidRDefault="00C3793B" w:rsidP="00B07B3D">
      <w:pPr>
        <w:pStyle w:val="Subtitle"/>
        <w:rPr>
          <w:sz w:val="16"/>
          <w:szCs w:val="16"/>
          <w:lang w:val="en-US"/>
        </w:rPr>
      </w:pPr>
    </w:p>
    <w:p w:rsidR="007978EA" w:rsidRPr="004A7E35" w:rsidRDefault="007978EA" w:rsidP="00B07B3D">
      <w:pPr>
        <w:pStyle w:val="Subtitle"/>
        <w:rPr>
          <w:sz w:val="16"/>
          <w:szCs w:val="16"/>
          <w:lang w:val="en-US"/>
        </w:rPr>
      </w:pPr>
    </w:p>
    <w:p w:rsidR="00EC6DE3" w:rsidRPr="004A7E35" w:rsidRDefault="00A27B2E" w:rsidP="00B07B3D">
      <w:pPr>
        <w:pStyle w:val="Subtitle"/>
        <w:rPr>
          <w:szCs w:val="22"/>
          <w:lang w:val="en-US"/>
        </w:rPr>
      </w:pPr>
      <w:r w:rsidRPr="004A7E35">
        <w:rPr>
          <w:szCs w:val="22"/>
          <w:lang w:val="en-US"/>
        </w:rPr>
        <w:t>Number of Banks</w:t>
      </w:r>
    </w:p>
    <w:p w:rsidR="00EC6DE3" w:rsidRPr="004A7E35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095340" w:rsidRPr="004A7E35" w:rsidRDefault="00EC6DE3" w:rsidP="00584F4E">
      <w:pPr>
        <w:jc w:val="both"/>
        <w:rPr>
          <w:rFonts w:ascii="Arial" w:hAnsi="Arial" w:cs="Arial"/>
          <w:strike/>
          <w:sz w:val="22"/>
          <w:szCs w:val="22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4A7E35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4A7E35">
        <w:rPr>
          <w:rFonts w:ascii="Arial" w:hAnsi="Arial"/>
          <w:sz w:val="22"/>
          <w:szCs w:val="22"/>
          <w:lang w:val="en-US"/>
        </w:rPr>
        <w:t>banks was</w:t>
      </w:r>
      <w:r w:rsidR="003023F5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4A7E35">
        <w:rPr>
          <w:rFonts w:ascii="Arial" w:hAnsi="Arial"/>
          <w:sz w:val="22"/>
          <w:szCs w:val="22"/>
          <w:lang w:val="en-US"/>
        </w:rPr>
        <w:t>5</w:t>
      </w:r>
      <w:r w:rsidR="004B4BF5" w:rsidRPr="004A7E35">
        <w:rPr>
          <w:rFonts w:ascii="Arial" w:hAnsi="Arial"/>
          <w:sz w:val="22"/>
          <w:szCs w:val="22"/>
          <w:lang w:val="en-US"/>
        </w:rPr>
        <w:t>8</w:t>
      </w:r>
      <w:r w:rsidR="006E45EF" w:rsidRPr="004A7E35">
        <w:rPr>
          <w:rFonts w:ascii="Arial" w:hAnsi="Arial"/>
          <w:sz w:val="22"/>
          <w:szCs w:val="22"/>
          <w:lang w:val="en-US"/>
        </w:rPr>
        <w:t xml:space="preserve"> at the end of</w:t>
      </w:r>
      <w:r w:rsidR="00DB26D8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640330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="00F21E0F" w:rsidRPr="004A7E35">
        <w:rPr>
          <w:rFonts w:ascii="Arial" w:hAnsi="Arial"/>
          <w:sz w:val="22"/>
          <w:szCs w:val="22"/>
          <w:lang w:val="en-US"/>
        </w:rPr>
        <w:t xml:space="preserve"> with </w:t>
      </w:r>
      <w:r w:rsidRPr="004A7E35">
        <w:rPr>
          <w:rFonts w:ascii="Arial" w:hAnsi="Arial"/>
          <w:sz w:val="22"/>
          <w:szCs w:val="22"/>
          <w:lang w:val="en-US"/>
        </w:rPr>
        <w:t>3</w:t>
      </w:r>
      <w:r w:rsidR="00F74E30" w:rsidRPr="004A7E35">
        <w:rPr>
          <w:rFonts w:ascii="Arial" w:hAnsi="Arial"/>
          <w:sz w:val="22"/>
          <w:szCs w:val="22"/>
          <w:lang w:val="en-US"/>
        </w:rPr>
        <w:t>5</w:t>
      </w:r>
      <w:r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4A7E35">
        <w:rPr>
          <w:rFonts w:ascii="Arial" w:hAnsi="Arial"/>
          <w:sz w:val="22"/>
          <w:szCs w:val="22"/>
          <w:lang w:val="en-US"/>
        </w:rPr>
        <w:t>in deposit banks group and 1</w:t>
      </w:r>
      <w:r w:rsidR="00D87CD1" w:rsidRPr="004A7E35">
        <w:rPr>
          <w:rFonts w:ascii="Arial" w:hAnsi="Arial"/>
          <w:sz w:val="22"/>
          <w:szCs w:val="22"/>
          <w:lang w:val="en-US"/>
        </w:rPr>
        <w:t>7</w:t>
      </w:r>
      <w:r w:rsidR="00823520" w:rsidRPr="004A7E35">
        <w:rPr>
          <w:rFonts w:ascii="Arial" w:hAnsi="Arial"/>
          <w:sz w:val="22"/>
          <w:szCs w:val="22"/>
          <w:lang w:val="en-US"/>
        </w:rPr>
        <w:t xml:space="preserve"> in </w:t>
      </w:r>
      <w:r w:rsidR="00682C5D" w:rsidRPr="004A7E35">
        <w:rPr>
          <w:rFonts w:ascii="Arial" w:hAnsi="Arial"/>
          <w:sz w:val="22"/>
          <w:szCs w:val="22"/>
          <w:lang w:val="en-US"/>
        </w:rPr>
        <w:t>development and investment banks</w:t>
      </w:r>
      <w:r w:rsidR="00823520" w:rsidRPr="004A7E35">
        <w:rPr>
          <w:rFonts w:ascii="Arial" w:hAnsi="Arial"/>
          <w:sz w:val="22"/>
          <w:szCs w:val="22"/>
          <w:lang w:val="en-US"/>
        </w:rPr>
        <w:t xml:space="preserve"> group</w:t>
      </w:r>
      <w:r w:rsidR="00A0040F" w:rsidRPr="004A7E35">
        <w:rPr>
          <w:rFonts w:ascii="Arial" w:hAnsi="Arial"/>
          <w:sz w:val="22"/>
          <w:szCs w:val="22"/>
          <w:lang w:val="en-US"/>
        </w:rPr>
        <w:t>, w</w:t>
      </w:r>
      <w:r w:rsidR="00823520" w:rsidRPr="004A7E35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4A7E35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4A7E35">
        <w:rPr>
          <w:rFonts w:ascii="Arial" w:hAnsi="Arial"/>
          <w:sz w:val="22"/>
          <w:szCs w:val="22"/>
          <w:lang w:val="en-US"/>
        </w:rPr>
        <w:t>6</w:t>
      </w:r>
      <w:r w:rsidR="00823520" w:rsidRPr="004A7E35">
        <w:rPr>
          <w:rFonts w:ascii="Arial" w:hAnsi="Arial"/>
          <w:sz w:val="22"/>
          <w:szCs w:val="22"/>
          <w:lang w:val="en-US"/>
        </w:rPr>
        <w:t xml:space="preserve"> participation banks.</w:t>
      </w:r>
      <w:r w:rsidR="00844EE9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584F4E" w:rsidRPr="004A7E35">
        <w:rPr>
          <w:rFonts w:ascii="Arial" w:hAnsi="Arial"/>
          <w:sz w:val="22"/>
          <w:szCs w:val="22"/>
        </w:rPr>
        <w:t>Misyon Yatırım Bankası</w:t>
      </w:r>
      <w:r w:rsidR="00584F4E" w:rsidRPr="004A7E35">
        <w:rPr>
          <w:rFonts w:ascii="Arial" w:hAnsi="Arial"/>
          <w:sz w:val="22"/>
          <w:szCs w:val="22"/>
          <w:lang w:val="en-US"/>
        </w:rPr>
        <w:t xml:space="preserve"> A.Ş</w:t>
      </w:r>
      <w:r w:rsidR="00174934" w:rsidRPr="004A7E35">
        <w:rPr>
          <w:rFonts w:ascii="Arial" w:hAnsi="Arial"/>
          <w:sz w:val="22"/>
          <w:szCs w:val="22"/>
          <w:lang w:val="en-US"/>
        </w:rPr>
        <w:t>.</w:t>
      </w:r>
      <w:r w:rsidR="00584F4E" w:rsidRPr="004A7E35">
        <w:rPr>
          <w:rFonts w:ascii="Arial" w:hAnsi="Arial"/>
          <w:sz w:val="22"/>
          <w:szCs w:val="22"/>
          <w:lang w:val="en-US"/>
        </w:rPr>
        <w:t xml:space="preserve"> started its activities</w:t>
      </w:r>
      <w:r w:rsidR="00174934" w:rsidRPr="004A7E35">
        <w:rPr>
          <w:rFonts w:ascii="Arial" w:hAnsi="Arial"/>
          <w:sz w:val="22"/>
          <w:szCs w:val="22"/>
          <w:lang w:val="en-US"/>
        </w:rPr>
        <w:t xml:space="preserve"> on 14 June 2023</w:t>
      </w:r>
      <w:r w:rsidR="00584F4E" w:rsidRPr="004A7E35">
        <w:rPr>
          <w:rFonts w:ascii="Arial" w:hAnsi="Arial"/>
          <w:sz w:val="22"/>
          <w:szCs w:val="22"/>
          <w:lang w:val="en-US"/>
        </w:rPr>
        <w:t xml:space="preserve">. Q </w:t>
      </w:r>
      <w:r w:rsidR="00584F4E" w:rsidRPr="004A7E35">
        <w:rPr>
          <w:rFonts w:ascii="Arial" w:hAnsi="Arial"/>
          <w:sz w:val="22"/>
          <w:szCs w:val="22"/>
        </w:rPr>
        <w:t>Yatırım Bankası</w:t>
      </w:r>
      <w:r w:rsidR="00584F4E" w:rsidRPr="004A7E35">
        <w:rPr>
          <w:rFonts w:ascii="Arial" w:hAnsi="Arial"/>
          <w:sz w:val="22"/>
          <w:szCs w:val="22"/>
          <w:lang w:val="en-US"/>
        </w:rPr>
        <w:t xml:space="preserve"> A.Ş. and Tera </w:t>
      </w:r>
      <w:r w:rsidR="00584F4E" w:rsidRPr="004A7E35">
        <w:rPr>
          <w:rFonts w:ascii="Arial" w:hAnsi="Arial"/>
          <w:sz w:val="22"/>
          <w:szCs w:val="22"/>
        </w:rPr>
        <w:t>Yatırım Bankası</w:t>
      </w:r>
      <w:r w:rsidR="00584F4E" w:rsidRPr="004A7E35">
        <w:rPr>
          <w:rFonts w:ascii="Arial" w:hAnsi="Arial"/>
          <w:sz w:val="22"/>
          <w:szCs w:val="22"/>
          <w:lang w:val="en-US"/>
        </w:rPr>
        <w:t xml:space="preserve"> A.Ş. have been granted operating licenses.</w:t>
      </w:r>
      <w:r w:rsidR="00174934" w:rsidRPr="004A7E35">
        <w:rPr>
          <w:rFonts w:ascii="Arial" w:hAnsi="Arial"/>
          <w:sz w:val="22"/>
          <w:szCs w:val="22"/>
        </w:rPr>
        <w:t xml:space="preserve"> Türk Ticaret Bankası</w:t>
      </w:r>
      <w:r w:rsidR="00174934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1A47CF" w:rsidRPr="004A7E35">
        <w:rPr>
          <w:rFonts w:ascii="Arial" w:hAnsi="Arial"/>
          <w:sz w:val="22"/>
          <w:szCs w:val="22"/>
          <w:lang w:val="en-US"/>
        </w:rPr>
        <w:t xml:space="preserve">A.Ş. </w:t>
      </w:r>
      <w:r w:rsidR="00174934" w:rsidRPr="004A7E35">
        <w:rPr>
          <w:rFonts w:ascii="Arial" w:hAnsi="Arial"/>
          <w:sz w:val="22"/>
          <w:szCs w:val="22"/>
          <w:lang w:val="en-US"/>
        </w:rPr>
        <w:t>was transferred to the privately owned deposit banks group.</w:t>
      </w:r>
    </w:p>
    <w:p w:rsidR="00F74E30" w:rsidRPr="004A7E35" w:rsidRDefault="00F74E30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</w:p>
    <w:p w:rsidR="00EC6DE3" w:rsidRPr="004A7E35" w:rsidRDefault="00996DEE" w:rsidP="004B4BF5">
      <w:pPr>
        <w:pStyle w:val="Heading9"/>
        <w:rPr>
          <w:rFonts w:ascii="Arial" w:hAnsi="Arial"/>
          <w:lang w:val="en-US"/>
        </w:rPr>
      </w:pPr>
      <w:r w:rsidRPr="004A7E35">
        <w:rPr>
          <w:rFonts w:ascii="Arial" w:hAnsi="Arial"/>
          <w:lang w:val="en-US"/>
        </w:rPr>
        <w:t>N</w:t>
      </w:r>
      <w:r w:rsidR="00EC6DE3" w:rsidRPr="004A7E35">
        <w:rPr>
          <w:rFonts w:ascii="Arial" w:hAnsi="Arial"/>
          <w:lang w:val="en-US"/>
        </w:rPr>
        <w:t>umber of B</w:t>
      </w:r>
      <w:r w:rsidR="00982ADE" w:rsidRPr="004A7E35">
        <w:rPr>
          <w:rFonts w:ascii="Arial" w:hAnsi="Arial"/>
          <w:lang w:val="en-US"/>
        </w:rPr>
        <w:t>anks in the System</w:t>
      </w:r>
    </w:p>
    <w:p w:rsidR="00AE7B4B" w:rsidRPr="00CF4D4C" w:rsidRDefault="00FB05FA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DCAC716" wp14:editId="5A2E218C">
            <wp:extent cx="5013960" cy="1363980"/>
            <wp:effectExtent l="0" t="0" r="0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CF4D4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CF4D4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CF4D4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CF4D4C" w:rsidRDefault="0024332E" w:rsidP="003F6C5A">
      <w:pPr>
        <w:pStyle w:val="Subtitle"/>
        <w:rPr>
          <w:color w:val="FF0000"/>
          <w:lang w:val="en-US"/>
        </w:rPr>
      </w:pPr>
    </w:p>
    <w:p w:rsidR="00EC6DE3" w:rsidRPr="004A7E35" w:rsidRDefault="003F6C5A" w:rsidP="003F6C5A">
      <w:pPr>
        <w:pStyle w:val="Subtitle"/>
        <w:rPr>
          <w:lang w:val="en-US"/>
        </w:rPr>
      </w:pPr>
      <w:r w:rsidRPr="004A7E35">
        <w:rPr>
          <w:lang w:val="en-US"/>
        </w:rPr>
        <w:t xml:space="preserve">Number of </w:t>
      </w:r>
      <w:r w:rsidR="000337BF" w:rsidRPr="004A7E35">
        <w:rPr>
          <w:lang w:val="en-US"/>
        </w:rPr>
        <w:t>E</w:t>
      </w:r>
      <w:r w:rsidR="00EC6DE3" w:rsidRPr="004A7E35">
        <w:rPr>
          <w:lang w:val="en-US"/>
        </w:rPr>
        <w:t>mployees</w:t>
      </w:r>
      <w:r w:rsidRPr="004A7E35">
        <w:rPr>
          <w:lang w:val="en-US"/>
        </w:rPr>
        <w:t xml:space="preserve"> </w:t>
      </w:r>
    </w:p>
    <w:p w:rsidR="0066600F" w:rsidRPr="004A7E35" w:rsidRDefault="0066600F" w:rsidP="003F6C5A">
      <w:pPr>
        <w:pStyle w:val="Subtitle"/>
        <w:rPr>
          <w:sz w:val="12"/>
          <w:szCs w:val="12"/>
          <w:lang w:val="en-US"/>
        </w:rPr>
      </w:pPr>
    </w:p>
    <w:p w:rsidR="000F7651" w:rsidRPr="004A7E35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As of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640330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Pr="004A7E35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4A7E35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FB05FA" w:rsidRPr="004A7E35">
        <w:rPr>
          <w:rFonts w:ascii="Arial" w:hAnsi="Arial" w:cs="Arial"/>
          <w:sz w:val="22"/>
          <w:szCs w:val="22"/>
          <w:lang w:val="en-US"/>
        </w:rPr>
        <w:t>188,850</w:t>
      </w:r>
      <w:r w:rsidR="0016512A" w:rsidRPr="004A7E35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7978EA" w:rsidRPr="004A7E35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7978EA" w:rsidRPr="004A7E35" w:rsidRDefault="00EC6DE3" w:rsidP="00640330">
      <w:pPr>
        <w:pStyle w:val="Heading9"/>
        <w:rPr>
          <w:rFonts w:ascii="Arial" w:hAnsi="Arial"/>
          <w:lang w:val="en-US"/>
        </w:rPr>
      </w:pPr>
      <w:r w:rsidRPr="004A7E35">
        <w:rPr>
          <w:rFonts w:ascii="Arial" w:hAnsi="Arial"/>
          <w:lang w:val="en-US"/>
        </w:rPr>
        <w:t>Number of Employees</w:t>
      </w:r>
    </w:p>
    <w:p w:rsidR="00EC6DE3" w:rsidRPr="004A7E35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4A7E35" w:rsidRPr="004A7E35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4A7E35" w:rsidRDefault="00C03169" w:rsidP="00C03169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4A7E35" w:rsidRDefault="00FB05FA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June</w:t>
            </w:r>
            <w:r w:rsidR="00640330"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4A7E35" w:rsidRDefault="00FB05FA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</w:t>
            </w:r>
            <w:r w:rsidR="00640330"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4A7E35" w:rsidRDefault="00FB05FA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June</w:t>
            </w:r>
            <w:r w:rsidR="00640330"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2023</w:t>
            </w:r>
          </w:p>
        </w:tc>
      </w:tr>
      <w:tr w:rsidR="004A7E35" w:rsidRPr="004A7E35" w:rsidTr="00373886">
        <w:trPr>
          <w:jc w:val="center"/>
        </w:trPr>
        <w:tc>
          <w:tcPr>
            <w:tcW w:w="2127" w:type="dxa"/>
          </w:tcPr>
          <w:p w:rsidR="00FB05FA" w:rsidRPr="004A7E35" w:rsidRDefault="00FB05FA" w:rsidP="00FB05FA">
            <w:pPr>
              <w:rPr>
                <w:rFonts w:ascii="Arial" w:hAnsi="Arial"/>
                <w:sz w:val="20"/>
                <w:lang w:val="en-US"/>
              </w:rPr>
            </w:pPr>
            <w:r w:rsidRPr="004A7E35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180,019</w:t>
            </w:r>
          </w:p>
        </w:tc>
        <w:tc>
          <w:tcPr>
            <w:tcW w:w="1843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185,605</w:t>
            </w:r>
          </w:p>
        </w:tc>
        <w:tc>
          <w:tcPr>
            <w:tcW w:w="1758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182,787</w:t>
            </w:r>
          </w:p>
        </w:tc>
      </w:tr>
      <w:tr w:rsidR="004A7E35" w:rsidRPr="004A7E35" w:rsidTr="00373886">
        <w:trPr>
          <w:jc w:val="center"/>
        </w:trPr>
        <w:tc>
          <w:tcPr>
            <w:tcW w:w="2127" w:type="dxa"/>
          </w:tcPr>
          <w:p w:rsidR="00FB05FA" w:rsidRPr="004A7E35" w:rsidRDefault="00FB05FA" w:rsidP="00FB05FA">
            <w:pPr>
              <w:rPr>
                <w:rFonts w:ascii="Arial" w:hAnsi="Arial"/>
                <w:sz w:val="20"/>
                <w:lang w:val="en-US"/>
              </w:rPr>
            </w:pPr>
            <w:r w:rsidRPr="004A7E35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5,096</w:t>
            </w:r>
          </w:p>
        </w:tc>
        <w:tc>
          <w:tcPr>
            <w:tcW w:w="1843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5,604</w:t>
            </w:r>
          </w:p>
        </w:tc>
        <w:tc>
          <w:tcPr>
            <w:tcW w:w="1758" w:type="dxa"/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6,063</w:t>
            </w:r>
          </w:p>
        </w:tc>
      </w:tr>
      <w:tr w:rsidR="00FB05FA" w:rsidRPr="004A7E35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FB05FA" w:rsidRPr="004A7E35" w:rsidRDefault="00FB05FA" w:rsidP="00FB05FA">
            <w:pPr>
              <w:rPr>
                <w:rFonts w:ascii="Arial" w:hAnsi="Arial"/>
                <w:sz w:val="20"/>
                <w:lang w:val="en-US"/>
              </w:rPr>
            </w:pPr>
            <w:r w:rsidRPr="004A7E35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185,115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191,209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FB05FA" w:rsidRPr="004A7E35" w:rsidRDefault="00FB05FA" w:rsidP="00FB05F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188,850</w:t>
            </w:r>
          </w:p>
        </w:tc>
      </w:tr>
    </w:tbl>
    <w:p w:rsidR="00B9402E" w:rsidRPr="004A7E35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4A7E35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C03169" w:rsidRPr="004A7E35" w:rsidRDefault="00C03169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E727B2" w:rsidRPr="004A7E35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8C30BD" w:rsidRPr="004A7E35">
        <w:rPr>
          <w:rFonts w:ascii="Arial" w:hAnsi="Arial"/>
          <w:sz w:val="22"/>
          <w:szCs w:val="22"/>
          <w:lang w:val="en-US"/>
        </w:rPr>
        <w:t>decrea</w:t>
      </w:r>
      <w:r w:rsidRPr="004A7E35">
        <w:rPr>
          <w:rFonts w:ascii="Arial" w:hAnsi="Arial"/>
          <w:sz w:val="22"/>
          <w:szCs w:val="22"/>
          <w:lang w:val="en-US"/>
        </w:rPr>
        <w:t xml:space="preserve">sed by </w:t>
      </w:r>
      <w:r w:rsidR="00FB05FA" w:rsidRPr="004A7E35">
        <w:rPr>
          <w:rFonts w:ascii="Arial" w:hAnsi="Arial"/>
          <w:sz w:val="22"/>
          <w:szCs w:val="22"/>
          <w:lang w:val="en-US"/>
        </w:rPr>
        <w:t>2,359</w:t>
      </w:r>
      <w:r w:rsidRPr="004A7E35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4A7E35">
        <w:rPr>
          <w:rFonts w:ascii="Arial" w:hAnsi="Arial"/>
          <w:sz w:val="22"/>
          <w:szCs w:val="22"/>
          <w:lang w:val="en-US"/>
        </w:rPr>
        <w:t xml:space="preserve">and by </w:t>
      </w:r>
      <w:r w:rsidR="00FB05FA" w:rsidRPr="004A7E35">
        <w:rPr>
          <w:rFonts w:ascii="Arial" w:hAnsi="Arial"/>
          <w:sz w:val="22"/>
          <w:szCs w:val="22"/>
          <w:lang w:val="en-US"/>
        </w:rPr>
        <w:t>3,735</w:t>
      </w:r>
      <w:r w:rsidR="0016512A" w:rsidRPr="004A7E35">
        <w:rPr>
          <w:rFonts w:ascii="Arial" w:hAnsi="Arial"/>
          <w:sz w:val="22"/>
          <w:szCs w:val="22"/>
          <w:lang w:val="en-US"/>
        </w:rPr>
        <w:t xml:space="preserve"> </w:t>
      </w:r>
      <w:r w:rsidRPr="004A7E35">
        <w:rPr>
          <w:rFonts w:ascii="Arial" w:hAnsi="Arial"/>
          <w:sz w:val="22"/>
          <w:szCs w:val="22"/>
          <w:lang w:val="en-US"/>
        </w:rPr>
        <w:t xml:space="preserve">as </w:t>
      </w:r>
      <w:r w:rsidR="008C30BD" w:rsidRPr="004A7E35">
        <w:rPr>
          <w:rFonts w:ascii="Arial" w:hAnsi="Arial"/>
          <w:sz w:val="22"/>
          <w:szCs w:val="22"/>
          <w:lang w:val="en-US"/>
        </w:rPr>
        <w:t>increased</w:t>
      </w:r>
      <w:r w:rsidRPr="004A7E35">
        <w:rPr>
          <w:rFonts w:ascii="Arial" w:hAnsi="Arial"/>
          <w:sz w:val="22"/>
          <w:szCs w:val="22"/>
          <w:lang w:val="en-US"/>
        </w:rPr>
        <w:t xml:space="preserve"> to</w:t>
      </w:r>
      <w:r w:rsidR="00C03169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Pr="004A7E35">
        <w:rPr>
          <w:rFonts w:ascii="Arial" w:hAnsi="Arial"/>
          <w:sz w:val="22"/>
          <w:szCs w:val="22"/>
          <w:lang w:val="en-US"/>
        </w:rPr>
        <w:t xml:space="preserve"> 202</w:t>
      </w:r>
      <w:r w:rsidR="00640330" w:rsidRPr="004A7E35">
        <w:rPr>
          <w:rFonts w:ascii="Arial" w:hAnsi="Arial"/>
          <w:sz w:val="22"/>
          <w:szCs w:val="22"/>
          <w:lang w:val="en-US"/>
        </w:rPr>
        <w:t>2</w:t>
      </w:r>
      <w:r w:rsidRPr="004A7E35">
        <w:rPr>
          <w:rFonts w:ascii="Arial" w:hAnsi="Arial"/>
          <w:sz w:val="22"/>
          <w:szCs w:val="22"/>
          <w:lang w:val="en-US"/>
        </w:rPr>
        <w:t>.</w:t>
      </w:r>
      <w:r w:rsidR="004A7E35" w:rsidRPr="004A7E35">
        <w:t xml:space="preserve"> </w:t>
      </w:r>
      <w:r w:rsidR="004A7E35" w:rsidRPr="004A7E35">
        <w:rPr>
          <w:rFonts w:ascii="Arial" w:hAnsi="Arial"/>
          <w:sz w:val="22"/>
          <w:szCs w:val="22"/>
          <w:lang w:val="en-US"/>
        </w:rPr>
        <w:t xml:space="preserve">The pension </w:t>
      </w:r>
      <w:r w:rsidR="004A7E35">
        <w:rPr>
          <w:rFonts w:ascii="Arial" w:hAnsi="Arial"/>
          <w:sz w:val="22"/>
          <w:szCs w:val="22"/>
          <w:lang w:val="en-US"/>
        </w:rPr>
        <w:t>regulation</w:t>
      </w:r>
      <w:r w:rsidR="004A7E35" w:rsidRPr="004A7E35">
        <w:rPr>
          <w:rFonts w:ascii="Arial" w:hAnsi="Arial"/>
          <w:sz w:val="22"/>
          <w:szCs w:val="22"/>
          <w:lang w:val="en-US"/>
        </w:rPr>
        <w:t xml:space="preserve"> was effective in the change in the number of employees in June</w:t>
      </w:r>
    </w:p>
    <w:p w:rsidR="007C0858" w:rsidRPr="004A7E35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C0858" w:rsidRPr="004A7E35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4A7E35">
        <w:rPr>
          <w:rFonts w:ascii="Arial" w:hAnsi="Arial"/>
          <w:sz w:val="22"/>
          <w:szCs w:val="22"/>
          <w:lang w:val="en-US"/>
        </w:rPr>
        <w:t>in</w:t>
      </w:r>
      <w:r w:rsidRPr="004A7E35">
        <w:rPr>
          <w:rFonts w:ascii="Arial" w:hAnsi="Arial"/>
          <w:sz w:val="22"/>
          <w:szCs w:val="22"/>
          <w:lang w:val="en-US"/>
        </w:rPr>
        <w:t xml:space="preserve">creased by </w:t>
      </w:r>
      <w:r w:rsidR="00FB05FA" w:rsidRPr="004A7E35">
        <w:rPr>
          <w:rFonts w:ascii="Arial" w:hAnsi="Arial"/>
          <w:sz w:val="22"/>
          <w:szCs w:val="22"/>
          <w:lang w:val="en-US"/>
        </w:rPr>
        <w:t>2,768</w:t>
      </w:r>
      <w:r w:rsidR="00382C51" w:rsidRPr="004A7E35">
        <w:rPr>
          <w:rFonts w:ascii="Arial" w:hAnsi="Arial"/>
          <w:sz w:val="22"/>
          <w:szCs w:val="22"/>
          <w:lang w:val="en-US"/>
        </w:rPr>
        <w:t xml:space="preserve"> </w:t>
      </w:r>
      <w:r w:rsidRPr="004A7E35">
        <w:rPr>
          <w:rFonts w:ascii="Arial" w:hAnsi="Arial"/>
          <w:sz w:val="22"/>
          <w:szCs w:val="22"/>
          <w:lang w:val="en-US"/>
        </w:rPr>
        <w:t xml:space="preserve">in deposit banks and by </w:t>
      </w:r>
      <w:r w:rsidR="00FB05FA" w:rsidRPr="004A7E35">
        <w:rPr>
          <w:rFonts w:ascii="Arial" w:hAnsi="Arial"/>
          <w:sz w:val="22"/>
          <w:szCs w:val="22"/>
          <w:lang w:val="en-US"/>
        </w:rPr>
        <w:t>967</w:t>
      </w:r>
      <w:r w:rsidRPr="004A7E35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:rsidR="00382C51" w:rsidRDefault="00382C51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6C7094" w:rsidRPr="00CF4D4C" w:rsidRDefault="006C7094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0F7651" w:rsidRPr="00CF4D4C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AE1176" w:rsidRDefault="006F1D37" w:rsidP="000B6A69">
      <w:pPr>
        <w:pStyle w:val="Heading9"/>
        <w:rPr>
          <w:rFonts w:ascii="Arial" w:hAnsi="Arial"/>
          <w:lang w:val="en-US"/>
        </w:rPr>
      </w:pPr>
      <w:r w:rsidRPr="00AE1176">
        <w:rPr>
          <w:rFonts w:ascii="Arial" w:hAnsi="Arial"/>
          <w:lang w:val="en-US"/>
        </w:rPr>
        <w:lastRenderedPageBreak/>
        <w:t>Number of Employees</w:t>
      </w:r>
      <w:r w:rsidR="000F5F1A" w:rsidRPr="00AE1176">
        <w:rPr>
          <w:rFonts w:ascii="Arial" w:hAnsi="Arial"/>
          <w:lang w:val="en-US"/>
        </w:rPr>
        <w:t xml:space="preserve"> </w:t>
      </w:r>
      <w:r w:rsidR="00E06A4C" w:rsidRPr="00AE1176">
        <w:rPr>
          <w:rFonts w:ascii="Arial" w:hAnsi="Arial"/>
          <w:lang w:val="en-US"/>
        </w:rPr>
        <w:t>(thousand people)</w:t>
      </w:r>
    </w:p>
    <w:p w:rsidR="005B73D0" w:rsidRPr="00CF4D4C" w:rsidRDefault="00FB05FA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CE12285" wp14:editId="59FB69B6">
            <wp:extent cx="4860000" cy="2076180"/>
            <wp:effectExtent l="0" t="0" r="1714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4A7E35" w:rsidRDefault="006F1D37" w:rsidP="005421C0">
      <w:pPr>
        <w:pStyle w:val="Heading9"/>
        <w:rPr>
          <w:rFonts w:ascii="Arial" w:hAnsi="Arial"/>
          <w:sz w:val="10"/>
          <w:szCs w:val="10"/>
          <w:lang w:val="en-US"/>
        </w:rPr>
      </w:pPr>
    </w:p>
    <w:p w:rsidR="00425999" w:rsidRPr="004A7E35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4A7E35">
        <w:rPr>
          <w:rFonts w:ascii="Arial" w:hAnsi="Arial"/>
          <w:szCs w:val="22"/>
          <w:lang w:val="en-US"/>
        </w:rPr>
        <w:t xml:space="preserve">Bank </w:t>
      </w:r>
      <w:r w:rsidRPr="004A7E35">
        <w:rPr>
          <w:rFonts w:ascii="Arial" w:hAnsi="Arial"/>
          <w:lang w:val="en-US"/>
        </w:rPr>
        <w:t xml:space="preserve">Employees by Gender and </w:t>
      </w:r>
      <w:r w:rsidR="00425999" w:rsidRPr="004A7E35">
        <w:rPr>
          <w:rFonts w:ascii="Arial" w:hAnsi="Arial"/>
          <w:lang w:val="en-US"/>
        </w:rPr>
        <w:t xml:space="preserve">Education Level </w:t>
      </w:r>
    </w:p>
    <w:p w:rsidR="00425999" w:rsidRPr="004A7E35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4A7E35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4A7E35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FB05FA" w:rsidRPr="004A7E35">
        <w:rPr>
          <w:rFonts w:ascii="Arial" w:hAnsi="Arial" w:cs="Arial"/>
          <w:snapToGrid w:val="0"/>
          <w:sz w:val="22"/>
          <w:szCs w:val="22"/>
          <w:lang w:val="en-US"/>
        </w:rPr>
        <w:t>June</w:t>
      </w:r>
      <w:r w:rsidR="00957602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 2023</w:t>
      </w:r>
      <w:r w:rsidR="00B93CFE" w:rsidRPr="004A7E35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4A7E35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4A7E35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FB05FA" w:rsidRPr="004A7E35">
        <w:rPr>
          <w:rFonts w:ascii="Arial" w:hAnsi="Arial" w:cs="Arial"/>
          <w:snapToGrid w:val="0"/>
          <w:sz w:val="22"/>
          <w:szCs w:val="22"/>
          <w:lang w:val="en-US"/>
        </w:rPr>
        <w:t>7</w:t>
      </w:r>
      <w:r w:rsidR="001B1AA9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4A7E35">
        <w:rPr>
          <w:rFonts w:ascii="Arial" w:hAnsi="Arial" w:cs="Arial"/>
          <w:snapToGrid w:val="0"/>
          <w:sz w:val="22"/>
          <w:szCs w:val="22"/>
          <w:lang w:val="en-US"/>
        </w:rPr>
        <w:t>and 49.3</w:t>
      </w:r>
      <w:r w:rsidR="00B93CFE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4A7E35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:rsidR="00300FE4" w:rsidRPr="004A7E35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4A7E35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2034F7" w:rsidRPr="004A7E35">
        <w:rPr>
          <w:rFonts w:ascii="Arial" w:hAnsi="Arial"/>
          <w:sz w:val="22"/>
          <w:szCs w:val="22"/>
          <w:lang w:val="en-US"/>
        </w:rPr>
        <w:t>9</w:t>
      </w:r>
      <w:r w:rsidR="003D3BA7" w:rsidRPr="004A7E35">
        <w:rPr>
          <w:rFonts w:ascii="Arial" w:hAnsi="Arial"/>
          <w:sz w:val="22"/>
          <w:szCs w:val="22"/>
          <w:lang w:val="en-US"/>
        </w:rPr>
        <w:t xml:space="preserve"> </w:t>
      </w:r>
      <w:r w:rsidRPr="004A7E35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2034F7" w:rsidRPr="004A7E35">
        <w:rPr>
          <w:rFonts w:ascii="Arial" w:hAnsi="Arial"/>
          <w:sz w:val="22"/>
          <w:szCs w:val="22"/>
          <w:lang w:val="en-US"/>
        </w:rPr>
        <w:t xml:space="preserve"> and 9</w:t>
      </w:r>
      <w:r w:rsidR="00116F15" w:rsidRPr="004A7E35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4A7E35">
        <w:rPr>
          <w:rFonts w:ascii="Arial" w:hAnsi="Arial"/>
          <w:sz w:val="22"/>
          <w:szCs w:val="22"/>
          <w:lang w:val="en-US"/>
        </w:rPr>
        <w:t xml:space="preserve">, as of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2034F7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Pr="004A7E35">
        <w:rPr>
          <w:rFonts w:ascii="Arial" w:hAnsi="Arial"/>
          <w:sz w:val="22"/>
          <w:szCs w:val="22"/>
          <w:lang w:val="en-US"/>
        </w:rPr>
        <w:t xml:space="preserve">. This </w:t>
      </w:r>
      <w:r w:rsidR="00220ED9" w:rsidRPr="004A7E35">
        <w:rPr>
          <w:rFonts w:ascii="Arial" w:hAnsi="Arial"/>
          <w:sz w:val="22"/>
          <w:szCs w:val="22"/>
          <w:lang w:val="en-US"/>
        </w:rPr>
        <w:t>share of</w:t>
      </w:r>
      <w:r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220ED9" w:rsidRPr="004A7E35">
        <w:rPr>
          <w:rFonts w:ascii="Arial" w:hAnsi="Arial"/>
          <w:sz w:val="22"/>
          <w:szCs w:val="22"/>
          <w:lang w:val="en-US"/>
        </w:rPr>
        <w:t xml:space="preserve">high-school graduates was </w:t>
      </w:r>
      <w:r w:rsidRPr="004A7E35">
        <w:rPr>
          <w:rFonts w:ascii="Arial" w:hAnsi="Arial"/>
          <w:sz w:val="22"/>
          <w:szCs w:val="22"/>
          <w:lang w:val="en-US"/>
        </w:rPr>
        <w:t>1</w:t>
      </w:r>
      <w:r w:rsidR="002034F7" w:rsidRPr="004A7E35">
        <w:rPr>
          <w:rFonts w:ascii="Arial" w:hAnsi="Arial"/>
          <w:sz w:val="22"/>
          <w:szCs w:val="22"/>
          <w:lang w:val="en-US"/>
        </w:rPr>
        <w:t>1</w:t>
      </w:r>
      <w:r w:rsidR="00220ED9" w:rsidRPr="004A7E35">
        <w:rPr>
          <w:rFonts w:ascii="Arial" w:hAnsi="Arial"/>
          <w:sz w:val="22"/>
          <w:szCs w:val="22"/>
          <w:lang w:val="en-US"/>
        </w:rPr>
        <w:t xml:space="preserve"> percent</w:t>
      </w:r>
      <w:r w:rsidR="003D3BA7" w:rsidRPr="004A7E35">
        <w:rPr>
          <w:rFonts w:ascii="Arial" w:hAnsi="Arial"/>
          <w:sz w:val="22"/>
          <w:szCs w:val="22"/>
          <w:lang w:val="en-US"/>
        </w:rPr>
        <w:t>.</w:t>
      </w:r>
    </w:p>
    <w:p w:rsidR="001E1244" w:rsidRPr="004A7E35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AF452C" w:rsidRPr="004A7E35" w:rsidRDefault="00300FE4" w:rsidP="00AF452C">
      <w:pPr>
        <w:pStyle w:val="Heading9"/>
        <w:rPr>
          <w:rFonts w:ascii="Arial" w:hAnsi="Arial"/>
          <w:lang w:val="en-US"/>
        </w:rPr>
      </w:pPr>
      <w:r w:rsidRPr="004A7E35">
        <w:rPr>
          <w:rFonts w:ascii="Arial" w:hAnsi="Arial"/>
          <w:szCs w:val="22"/>
          <w:lang w:val="en-US"/>
        </w:rPr>
        <w:t xml:space="preserve">Bank </w:t>
      </w:r>
      <w:r w:rsidRPr="004A7E35">
        <w:rPr>
          <w:rFonts w:ascii="Arial" w:hAnsi="Arial"/>
          <w:lang w:val="en-US"/>
        </w:rPr>
        <w:t>Employees by Gender</w:t>
      </w:r>
      <w:r w:rsidR="00AF452C" w:rsidRPr="004A7E35">
        <w:rPr>
          <w:rFonts w:ascii="Arial" w:hAnsi="Arial"/>
          <w:lang w:val="en-US"/>
        </w:rPr>
        <w:t xml:space="preserve"> and Education Level</w:t>
      </w:r>
    </w:p>
    <w:p w:rsidR="00AF452C" w:rsidRPr="004A7E35" w:rsidRDefault="00300FE4" w:rsidP="00AF452C">
      <w:pPr>
        <w:pStyle w:val="Heading9"/>
        <w:rPr>
          <w:rFonts w:ascii="Arial" w:hAnsi="Arial"/>
          <w:lang w:val="en-US"/>
        </w:rPr>
      </w:pPr>
      <w:r w:rsidRPr="004A7E35">
        <w:rPr>
          <w:rFonts w:ascii="Arial" w:hAnsi="Arial"/>
          <w:lang w:val="en-US"/>
        </w:rPr>
        <w:t xml:space="preserve"> </w:t>
      </w:r>
    </w:p>
    <w:p w:rsidR="00AF452C" w:rsidRPr="004A7E35" w:rsidRDefault="00EE3A50" w:rsidP="00AF452C">
      <w:pPr>
        <w:rPr>
          <w:lang w:val="en-US" w:eastAsia="tr-TR"/>
        </w:rPr>
      </w:pPr>
      <w:r w:rsidRPr="004A7E35">
        <w:rPr>
          <w:noProof/>
          <w:lang w:eastAsia="tr-TR"/>
        </w:rPr>
        <w:drawing>
          <wp:inline distT="0" distB="0" distL="0" distR="0" wp14:anchorId="46D4CDF8" wp14:editId="5044C048">
            <wp:extent cx="2028825" cy="1695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A7E35">
        <w:rPr>
          <w:noProof/>
          <w:lang w:eastAsia="tr-TR"/>
        </w:rPr>
        <w:drawing>
          <wp:inline distT="0" distB="0" distL="0" distR="0" wp14:anchorId="383C8105" wp14:editId="66ADD293">
            <wp:extent cx="2647950" cy="16478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52C" w:rsidRPr="004A7E35" w:rsidRDefault="00AF452C" w:rsidP="00AF452C">
      <w:pPr>
        <w:pStyle w:val="Heading9"/>
        <w:rPr>
          <w:rFonts w:ascii="Arial" w:hAnsi="Arial"/>
          <w:lang w:val="en-US"/>
        </w:rPr>
      </w:pPr>
    </w:p>
    <w:p w:rsidR="005D04BA" w:rsidRPr="004A7E35" w:rsidRDefault="005D04BA" w:rsidP="005D04BA">
      <w:pPr>
        <w:pStyle w:val="Heading9"/>
        <w:tabs>
          <w:tab w:val="left" w:pos="504"/>
        </w:tabs>
        <w:jc w:val="left"/>
        <w:rPr>
          <w:rFonts w:ascii="Arial" w:hAnsi="Arial"/>
          <w:lang w:val="en-US"/>
        </w:rPr>
      </w:pPr>
    </w:p>
    <w:p w:rsidR="00382C51" w:rsidRPr="004A7E35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lang w:val="en-US"/>
        </w:rPr>
      </w:pPr>
      <w:r w:rsidRPr="004A7E35">
        <w:rPr>
          <w:rFonts w:ascii="Arial" w:hAnsi="Arial" w:cs="Arial"/>
          <w:b w:val="0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220ED9" w:rsidRPr="004A7E35">
        <w:rPr>
          <w:rFonts w:ascii="Arial" w:hAnsi="Arial" w:cs="Arial"/>
          <w:b w:val="0"/>
          <w:szCs w:val="22"/>
          <w:lang w:val="en-US"/>
        </w:rPr>
        <w:t>December 2022</w:t>
      </w:r>
      <w:r w:rsidRPr="004A7E35">
        <w:rPr>
          <w:rFonts w:ascii="Arial" w:hAnsi="Arial" w:cs="Arial"/>
          <w:b w:val="0"/>
          <w:szCs w:val="22"/>
          <w:lang w:val="en-US"/>
        </w:rPr>
        <w:t xml:space="preserve">. Accordingly, 42 percent </w:t>
      </w:r>
      <w:r w:rsidR="00B93CFE" w:rsidRPr="004A7E35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Pr="004A7E35">
        <w:rPr>
          <w:rFonts w:ascii="Arial" w:hAnsi="Arial" w:cs="Arial"/>
          <w:b w:val="0"/>
          <w:szCs w:val="22"/>
          <w:lang w:val="en-US"/>
        </w:rPr>
        <w:t>ar</w:t>
      </w:r>
      <w:r w:rsidR="00CC7128" w:rsidRPr="004A7E35">
        <w:rPr>
          <w:rFonts w:ascii="Arial" w:hAnsi="Arial" w:cs="Arial"/>
          <w:b w:val="0"/>
          <w:szCs w:val="22"/>
          <w:lang w:val="en-US"/>
        </w:rPr>
        <w:t>e in the 36-45 age range, and 38</w:t>
      </w:r>
      <w:r w:rsidRPr="004A7E35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  <w:bookmarkStart w:id="0" w:name="_GoBack"/>
      <w:bookmarkEnd w:id="0"/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1E508C" w:rsidRDefault="001E508C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1E508C" w:rsidRDefault="001E508C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FB05FA" w:rsidRDefault="00FB05F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FB05FA" w:rsidRPr="007B5FCE" w:rsidRDefault="00FB05F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382C51" w:rsidRDefault="00382C51" w:rsidP="00382C51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382C51" w:rsidRPr="004A7E35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A7E35">
        <w:rPr>
          <w:rFonts w:ascii="Arial" w:hAnsi="Arial" w:cs="Arial"/>
          <w:b/>
          <w:sz w:val="22"/>
          <w:szCs w:val="22"/>
          <w:lang w:val="en-US"/>
        </w:rPr>
        <w:lastRenderedPageBreak/>
        <w:t>Bank Employees by Age (percent)</w:t>
      </w:r>
    </w:p>
    <w:p w:rsidR="00FA5643" w:rsidRPr="004A7E35" w:rsidRDefault="008C30BD" w:rsidP="00E06A4C">
      <w:pPr>
        <w:pStyle w:val="Subtitle"/>
        <w:jc w:val="center"/>
        <w:rPr>
          <w:szCs w:val="22"/>
          <w:lang w:val="en-US"/>
        </w:rPr>
      </w:pPr>
      <w:r w:rsidRPr="004A7E35">
        <w:rPr>
          <w:noProof/>
        </w:rPr>
        <w:drawing>
          <wp:inline distT="0" distB="0" distL="0" distR="0" wp14:anchorId="3560627A" wp14:editId="01171D43">
            <wp:extent cx="4503420" cy="2318385"/>
            <wp:effectExtent l="0" t="0" r="11430" b="571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4A7E35" w:rsidRDefault="00FA5643" w:rsidP="003B53F2">
      <w:pPr>
        <w:pStyle w:val="Subtitle"/>
        <w:rPr>
          <w:szCs w:val="22"/>
          <w:lang w:val="en-US"/>
        </w:rPr>
      </w:pPr>
    </w:p>
    <w:p w:rsidR="003B53F2" w:rsidRPr="004A7E35" w:rsidRDefault="003B53F2" w:rsidP="003B53F2">
      <w:pPr>
        <w:pStyle w:val="Subtitle"/>
        <w:rPr>
          <w:szCs w:val="22"/>
          <w:lang w:val="en-US"/>
        </w:rPr>
      </w:pPr>
      <w:r w:rsidRPr="004A7E35">
        <w:rPr>
          <w:szCs w:val="22"/>
          <w:lang w:val="en-US"/>
        </w:rPr>
        <w:t>Number of Branches</w:t>
      </w:r>
    </w:p>
    <w:p w:rsidR="003B53F2" w:rsidRPr="004A7E35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:rsidR="003B53F2" w:rsidRPr="004A7E35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As of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1E508C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="003B53F2" w:rsidRPr="004A7E35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4A7E35">
        <w:rPr>
          <w:rFonts w:ascii="Arial" w:hAnsi="Arial"/>
          <w:sz w:val="22"/>
          <w:szCs w:val="22"/>
          <w:lang w:val="en-US"/>
        </w:rPr>
        <w:t>9,</w:t>
      </w:r>
      <w:r w:rsidR="008C30BD" w:rsidRPr="004A7E35">
        <w:rPr>
          <w:rFonts w:ascii="Arial" w:hAnsi="Arial"/>
          <w:sz w:val="22"/>
          <w:szCs w:val="22"/>
          <w:lang w:val="en-US"/>
        </w:rPr>
        <w:t>639</w:t>
      </w:r>
      <w:r w:rsidR="003B53F2" w:rsidRPr="004A7E35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4A7E35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4A7E35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A7E35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4A7E35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4A7E35" w:rsidRPr="004A7E35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4A7E35" w:rsidRDefault="001E508C" w:rsidP="001E508C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4A7E35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4A7E35" w:rsidRDefault="00FB05FA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June</w:t>
            </w:r>
            <w:r w:rsidR="001E508C"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4A7E35" w:rsidRDefault="001E508C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 2022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4A7E35" w:rsidRDefault="00FB05FA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June</w:t>
            </w:r>
            <w:r w:rsidR="001E508C" w:rsidRPr="004A7E35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2023</w:t>
            </w:r>
          </w:p>
        </w:tc>
      </w:tr>
      <w:tr w:rsidR="004A7E35" w:rsidRPr="004A7E35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rPr>
                <w:rFonts w:ascii="Arial" w:hAnsi="Arial" w:cs="Arial"/>
                <w:sz w:val="20"/>
                <w:lang w:val="en-US"/>
              </w:rPr>
            </w:pPr>
            <w:r w:rsidRPr="004A7E35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A7E35">
              <w:rPr>
                <w:rFonts w:ascii="Arial" w:hAnsi="Arial" w:cs="Arial"/>
                <w:sz w:val="20"/>
                <w:lang w:eastAsia="tr-TR"/>
              </w:rPr>
              <w:t>9,682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9,567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9,567</w:t>
            </w:r>
          </w:p>
        </w:tc>
      </w:tr>
      <w:tr w:rsidR="004A7E35" w:rsidRPr="004A7E35" w:rsidTr="006C115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rPr>
                <w:rFonts w:ascii="Arial" w:hAnsi="Arial" w:cs="Arial"/>
                <w:sz w:val="20"/>
                <w:lang w:val="en-US"/>
              </w:rPr>
            </w:pPr>
            <w:r w:rsidRPr="004A7E35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sz w:val="20"/>
              </w:rPr>
            </w:pPr>
            <w:r w:rsidRPr="004A7E35">
              <w:rPr>
                <w:rFonts w:ascii="Arial" w:hAnsi="Arial" w:cs="Arial"/>
                <w:sz w:val="20"/>
              </w:rPr>
              <w:t>72</w:t>
            </w:r>
          </w:p>
        </w:tc>
      </w:tr>
      <w:tr w:rsidR="004A7E35" w:rsidRPr="004A7E35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A7E35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9,753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9,661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30BD" w:rsidRPr="004A7E35" w:rsidRDefault="008C30BD" w:rsidP="008C30B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7E35">
              <w:rPr>
                <w:rFonts w:ascii="Arial" w:hAnsi="Arial" w:cs="Arial"/>
                <w:b/>
                <w:bCs/>
                <w:sz w:val="20"/>
              </w:rPr>
              <w:t>9,639</w:t>
            </w:r>
          </w:p>
        </w:tc>
      </w:tr>
    </w:tbl>
    <w:p w:rsidR="003B53F2" w:rsidRPr="004A7E35" w:rsidRDefault="003B53F2" w:rsidP="003B53F2">
      <w:pPr>
        <w:rPr>
          <w:rFonts w:ascii="Arial" w:hAnsi="Arial"/>
          <w:i/>
          <w:sz w:val="16"/>
          <w:lang w:val="en-US"/>
        </w:rPr>
      </w:pPr>
      <w:r w:rsidRPr="004A7E35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2D557D" w:rsidRPr="004A7E35" w:rsidRDefault="002D557D" w:rsidP="00D04C4E">
      <w:pPr>
        <w:jc w:val="both"/>
        <w:rPr>
          <w:rFonts w:ascii="Arial" w:hAnsi="Arial"/>
          <w:sz w:val="22"/>
          <w:szCs w:val="22"/>
          <w:lang w:val="en-US"/>
        </w:rPr>
      </w:pPr>
    </w:p>
    <w:p w:rsidR="00EB02B3" w:rsidRPr="004A7E35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8C30BD" w:rsidRPr="004A7E35">
        <w:rPr>
          <w:rFonts w:ascii="Arial" w:hAnsi="Arial"/>
          <w:sz w:val="22"/>
          <w:szCs w:val="22"/>
          <w:lang w:val="en-US"/>
        </w:rPr>
        <w:t>114</w:t>
      </w:r>
      <w:r w:rsidRPr="004A7E35">
        <w:rPr>
          <w:rFonts w:ascii="Arial" w:hAnsi="Arial"/>
          <w:sz w:val="22"/>
          <w:szCs w:val="22"/>
          <w:lang w:val="en-US"/>
        </w:rPr>
        <w:t xml:space="preserve">, as compared to previous quarter and </w:t>
      </w:r>
      <w:r w:rsidR="001E508C" w:rsidRPr="004A7E35">
        <w:rPr>
          <w:rFonts w:ascii="Arial" w:hAnsi="Arial"/>
          <w:sz w:val="22"/>
          <w:szCs w:val="22"/>
          <w:lang w:val="en-US"/>
        </w:rPr>
        <w:t xml:space="preserve">increased </w:t>
      </w:r>
      <w:r w:rsidRPr="004A7E35">
        <w:rPr>
          <w:rFonts w:ascii="Arial" w:hAnsi="Arial"/>
          <w:sz w:val="22"/>
          <w:szCs w:val="22"/>
          <w:lang w:val="en-US"/>
        </w:rPr>
        <w:t xml:space="preserve">by </w:t>
      </w:r>
      <w:r w:rsidR="008C30BD" w:rsidRPr="004A7E35">
        <w:rPr>
          <w:rFonts w:ascii="Arial" w:hAnsi="Arial"/>
          <w:sz w:val="22"/>
          <w:szCs w:val="22"/>
          <w:lang w:val="en-US"/>
        </w:rPr>
        <w:t>22</w:t>
      </w:r>
      <w:r w:rsidRPr="004A7E35">
        <w:rPr>
          <w:rFonts w:ascii="Arial" w:hAnsi="Arial"/>
          <w:sz w:val="22"/>
          <w:szCs w:val="22"/>
          <w:lang w:val="en-US"/>
        </w:rPr>
        <w:t xml:space="preserve">, as compared to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1E508C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Pr="004A7E35">
        <w:rPr>
          <w:rFonts w:ascii="Arial" w:hAnsi="Arial"/>
          <w:sz w:val="22"/>
          <w:szCs w:val="22"/>
          <w:lang w:val="en-US"/>
        </w:rPr>
        <w:t>.</w:t>
      </w:r>
    </w:p>
    <w:p w:rsidR="00EB02B3" w:rsidRPr="004A7E35" w:rsidRDefault="00EB02B3" w:rsidP="00EB02B3">
      <w:pPr>
        <w:jc w:val="both"/>
        <w:rPr>
          <w:rFonts w:ascii="Arial" w:hAnsi="Arial"/>
          <w:sz w:val="10"/>
          <w:szCs w:val="10"/>
          <w:lang w:val="en-US"/>
        </w:rPr>
      </w:pPr>
    </w:p>
    <w:p w:rsidR="00EB02B3" w:rsidRPr="004A7E35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4A7E35">
        <w:rPr>
          <w:rFonts w:ascii="Arial" w:hAnsi="Arial"/>
          <w:sz w:val="22"/>
          <w:szCs w:val="22"/>
          <w:lang w:val="en-US"/>
        </w:rPr>
        <w:t>was 27</w:t>
      </w:r>
      <w:r w:rsidR="00802802" w:rsidRPr="004A7E35">
        <w:rPr>
          <w:rFonts w:ascii="Arial" w:hAnsi="Arial"/>
          <w:sz w:val="22"/>
          <w:szCs w:val="22"/>
          <w:lang w:val="en-US"/>
        </w:rPr>
        <w:t>4</w:t>
      </w:r>
      <w:r w:rsidR="00077C79" w:rsidRPr="004A7E35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4A7E35">
        <w:rPr>
          <w:rFonts w:ascii="Arial" w:hAnsi="Arial"/>
          <w:sz w:val="22"/>
          <w:szCs w:val="22"/>
          <w:lang w:val="en-US"/>
        </w:rPr>
        <w:t>f</w:t>
      </w:r>
      <w:r w:rsidR="00077C79" w:rsidRPr="004A7E35">
        <w:rPr>
          <w:rFonts w:ascii="Arial" w:hAnsi="Arial"/>
          <w:sz w:val="22"/>
          <w:szCs w:val="22"/>
          <w:lang w:val="en-US"/>
        </w:rPr>
        <w:t xml:space="preserve">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1E508C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="00077C79" w:rsidRPr="004A7E35">
        <w:rPr>
          <w:rFonts w:ascii="Arial" w:hAnsi="Arial"/>
          <w:sz w:val="22"/>
          <w:szCs w:val="22"/>
          <w:lang w:val="en-US"/>
        </w:rPr>
        <w:t>.</w:t>
      </w:r>
    </w:p>
    <w:p w:rsidR="00382C51" w:rsidRPr="004A7E35" w:rsidRDefault="00382C51" w:rsidP="00EB02B3">
      <w:pPr>
        <w:jc w:val="both"/>
        <w:rPr>
          <w:rFonts w:ascii="Arial" w:hAnsi="Arial"/>
          <w:sz w:val="22"/>
          <w:szCs w:val="22"/>
          <w:lang w:val="en-US"/>
        </w:rPr>
      </w:pPr>
    </w:p>
    <w:p w:rsidR="003B53F2" w:rsidRPr="004A7E35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4A7E35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4A7E35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4A7E35" w:rsidRDefault="003B050C" w:rsidP="003B53F2">
      <w:pPr>
        <w:jc w:val="center"/>
        <w:rPr>
          <w:rFonts w:ascii="Arial" w:hAnsi="Arial"/>
          <w:sz w:val="22"/>
          <w:szCs w:val="22"/>
          <w:lang w:val="en-US"/>
        </w:rPr>
      </w:pPr>
      <w:r w:rsidRPr="004A7E35">
        <w:rPr>
          <w:noProof/>
          <w:lang w:eastAsia="tr-TR"/>
        </w:rPr>
        <w:drawing>
          <wp:inline distT="0" distB="0" distL="0" distR="0" wp14:anchorId="625591D1" wp14:editId="21D52388">
            <wp:extent cx="4899660" cy="204216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2802" w:rsidRPr="004A7E35" w:rsidRDefault="00802802" w:rsidP="007D56A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D56A2" w:rsidRPr="004A7E35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A7E35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4A7E35">
        <w:rPr>
          <w:rFonts w:ascii="Arial" w:hAnsi="Arial" w:cs="Arial"/>
          <w:sz w:val="22"/>
          <w:szCs w:val="22"/>
          <w:lang w:val="en-US"/>
        </w:rPr>
        <w:t>non-branch</w:t>
      </w:r>
      <w:r w:rsidRPr="004A7E35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B5FCE" w:rsidRPr="004A7E35" w:rsidRDefault="007B5FCE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7B5FCE" w:rsidRPr="004A7E35" w:rsidRDefault="007B5FCE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4A7E35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A7E35">
        <w:rPr>
          <w:rFonts w:ascii="Arial" w:hAnsi="Arial"/>
          <w:b/>
          <w:sz w:val="22"/>
          <w:szCs w:val="22"/>
          <w:lang w:val="en-US"/>
        </w:rPr>
        <w:lastRenderedPageBreak/>
        <w:t>Branches and Employees per 100,000 people</w:t>
      </w:r>
    </w:p>
    <w:p w:rsidR="00926B08" w:rsidRPr="004A7E35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4A7E35" w:rsidRDefault="008601CB" w:rsidP="001E508C">
      <w:pPr>
        <w:jc w:val="both"/>
        <w:rPr>
          <w:rFonts w:ascii="Arial" w:hAnsi="Arial"/>
          <w:sz w:val="22"/>
          <w:szCs w:val="22"/>
          <w:lang w:val="en-US"/>
        </w:rPr>
      </w:pPr>
      <w:r w:rsidRPr="004A7E35">
        <w:rPr>
          <w:rFonts w:ascii="Arial" w:hAnsi="Arial"/>
          <w:sz w:val="22"/>
          <w:szCs w:val="22"/>
          <w:lang w:val="en-US"/>
        </w:rPr>
        <w:t xml:space="preserve">As of </w:t>
      </w:r>
      <w:r w:rsidR="00FB05FA" w:rsidRPr="004A7E35">
        <w:rPr>
          <w:rFonts w:ascii="Arial" w:hAnsi="Arial"/>
          <w:sz w:val="22"/>
          <w:szCs w:val="22"/>
          <w:lang w:val="en-US"/>
        </w:rPr>
        <w:t>June</w:t>
      </w:r>
      <w:r w:rsidR="001E508C" w:rsidRPr="004A7E35">
        <w:rPr>
          <w:rFonts w:ascii="Arial" w:hAnsi="Arial"/>
          <w:sz w:val="22"/>
          <w:szCs w:val="22"/>
          <w:lang w:val="en-US"/>
        </w:rPr>
        <w:t xml:space="preserve"> 2023</w:t>
      </w:r>
      <w:r w:rsidR="004170F1" w:rsidRPr="004A7E35">
        <w:rPr>
          <w:rFonts w:ascii="Arial" w:hAnsi="Arial" w:cs="Arial"/>
          <w:sz w:val="22"/>
          <w:szCs w:val="22"/>
          <w:lang w:val="en-US"/>
        </w:rPr>
        <w:t>,</w:t>
      </w:r>
      <w:r w:rsidR="006F7448" w:rsidRPr="004A7E35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4A7E35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4A7E35">
        <w:rPr>
          <w:rFonts w:ascii="Arial" w:hAnsi="Arial" w:cs="Arial"/>
          <w:sz w:val="22"/>
          <w:szCs w:val="22"/>
          <w:lang w:val="en-US"/>
        </w:rPr>
        <w:t xml:space="preserve"> 2</w:t>
      </w:r>
      <w:r w:rsidR="008C30BD" w:rsidRPr="004A7E35">
        <w:rPr>
          <w:rFonts w:ascii="Arial" w:hAnsi="Arial" w:cs="Arial"/>
          <w:sz w:val="22"/>
          <w:szCs w:val="22"/>
          <w:lang w:val="en-US"/>
        </w:rPr>
        <w:t>21</w:t>
      </w:r>
      <w:r w:rsidR="0024332E" w:rsidRPr="004A7E35">
        <w:rPr>
          <w:rFonts w:ascii="Arial" w:hAnsi="Arial" w:cs="Arial"/>
          <w:sz w:val="22"/>
          <w:szCs w:val="22"/>
          <w:lang w:val="en-US"/>
        </w:rPr>
        <w:t xml:space="preserve"> </w:t>
      </w:r>
      <w:r w:rsidRPr="004A7E35">
        <w:rPr>
          <w:rFonts w:ascii="Arial" w:hAnsi="Arial"/>
          <w:sz w:val="22"/>
          <w:szCs w:val="22"/>
          <w:lang w:val="en-US"/>
        </w:rPr>
        <w:t>and branches</w:t>
      </w:r>
      <w:r w:rsidRPr="004A7E35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4A7E35">
        <w:rPr>
          <w:rFonts w:ascii="Arial" w:hAnsi="Arial" w:cs="Arial"/>
          <w:sz w:val="22"/>
          <w:szCs w:val="22"/>
          <w:lang w:val="en-US"/>
        </w:rPr>
        <w:t>1.</w:t>
      </w:r>
      <w:r w:rsidR="00BE078A" w:rsidRPr="004A7E35">
        <w:rPr>
          <w:rFonts w:ascii="Arial" w:hAnsi="Arial" w:cs="Arial"/>
          <w:sz w:val="22"/>
          <w:szCs w:val="22"/>
          <w:lang w:val="en-US"/>
        </w:rPr>
        <w:t>3</w:t>
      </w:r>
      <w:r w:rsidRPr="004A7E35">
        <w:rPr>
          <w:rFonts w:ascii="Arial" w:hAnsi="Arial" w:cs="Arial"/>
          <w:sz w:val="22"/>
          <w:szCs w:val="22"/>
          <w:lang w:val="en-US"/>
        </w:rPr>
        <w:t>.</w:t>
      </w:r>
    </w:p>
    <w:p w:rsidR="007B5FCE" w:rsidRPr="004A7E35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B5FCE" w:rsidRPr="004A7E35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4A7E35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4A7E35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4A7E35">
        <w:rPr>
          <w:rFonts w:ascii="Arial" w:hAnsi="Arial" w:cs="Arial"/>
          <w:noProof/>
          <w:lang w:val="en-US" w:eastAsia="tr-TR"/>
        </w:rPr>
        <w:t xml:space="preserve">* </w:t>
      </w:r>
    </w:p>
    <w:p w:rsidR="00236CCD" w:rsidRPr="004A7E35" w:rsidRDefault="008C30BD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4A7E35">
        <w:rPr>
          <w:noProof/>
          <w:lang w:eastAsia="tr-TR"/>
        </w:rPr>
        <w:drawing>
          <wp:inline distT="0" distB="0" distL="0" distR="0" wp14:anchorId="2D5472B4" wp14:editId="565148D9">
            <wp:extent cx="4926675" cy="2277135"/>
            <wp:effectExtent l="0" t="0" r="7620" b="889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4A7E35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4A7E35">
        <w:rPr>
          <w:rFonts w:ascii="Arial" w:hAnsi="Arial" w:cs="Arial"/>
          <w:sz w:val="18"/>
          <w:szCs w:val="22"/>
          <w:lang w:val="en-US"/>
        </w:rPr>
        <w:t>*</w:t>
      </w:r>
      <w:r w:rsidR="00926BDD" w:rsidRPr="004A7E35">
        <w:rPr>
          <w:rFonts w:ascii="Arial" w:hAnsi="Arial" w:cs="Arial"/>
          <w:sz w:val="18"/>
          <w:szCs w:val="22"/>
          <w:lang w:val="en-US"/>
        </w:rPr>
        <w:t xml:space="preserve"> 20</w:t>
      </w:r>
      <w:r w:rsidR="000F7651" w:rsidRPr="004A7E35">
        <w:rPr>
          <w:rFonts w:ascii="Arial" w:hAnsi="Arial" w:cs="Arial"/>
          <w:sz w:val="18"/>
          <w:szCs w:val="22"/>
          <w:lang w:val="en-US"/>
        </w:rPr>
        <w:t>2</w:t>
      </w:r>
      <w:r w:rsidR="00BE078A" w:rsidRPr="004A7E35">
        <w:rPr>
          <w:rFonts w:ascii="Arial" w:hAnsi="Arial" w:cs="Arial"/>
          <w:sz w:val="18"/>
          <w:szCs w:val="22"/>
          <w:lang w:val="en-US"/>
        </w:rPr>
        <w:t>2</w:t>
      </w:r>
      <w:r w:rsidR="00926BDD" w:rsidRPr="004A7E35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BE078A" w:rsidRPr="004A7E35">
        <w:rPr>
          <w:rFonts w:ascii="Arial" w:hAnsi="Arial" w:cs="Arial"/>
          <w:sz w:val="18"/>
          <w:szCs w:val="22"/>
          <w:lang w:val="en-US"/>
        </w:rPr>
        <w:t>2023</w:t>
      </w:r>
      <w:r w:rsidR="004B6F89" w:rsidRPr="004A7E35">
        <w:rPr>
          <w:rFonts w:ascii="Arial" w:hAnsi="Arial" w:cs="Arial"/>
          <w:sz w:val="18"/>
          <w:szCs w:val="22"/>
          <w:lang w:val="en-US"/>
        </w:rPr>
        <w:t xml:space="preserve"> </w:t>
      </w:r>
      <w:r w:rsidR="00926BDD" w:rsidRPr="004A7E35">
        <w:rPr>
          <w:rFonts w:ascii="Arial" w:hAnsi="Arial" w:cs="Arial"/>
          <w:sz w:val="18"/>
          <w:szCs w:val="22"/>
          <w:lang w:val="en-US"/>
        </w:rPr>
        <w:t>calculations.</w:t>
      </w:r>
    </w:p>
    <w:p w:rsidR="00926B08" w:rsidRPr="00CF4D4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CF4D4C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1176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FB05FA">
      <w:rPr>
        <w:rFonts w:ascii="Arial" w:hAnsi="Arial"/>
        <w:sz w:val="18"/>
        <w:lang w:val="en-US"/>
      </w:rPr>
      <w:t>June</w:t>
    </w:r>
    <w:r w:rsidR="00220ED9">
      <w:rPr>
        <w:rFonts w:ascii="Arial" w:hAnsi="Arial"/>
        <w:sz w:val="18"/>
      </w:rPr>
      <w:t xml:space="preserve"> 2023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68D557A5-C1EF-4B4F-B77A-73275AB4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9F-4F91-922C-87445B5DBD5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3179568"/>
        <c:axId val="183173584"/>
      </c:barChart>
      <c:catAx>
        <c:axId val="183179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3173584"/>
        <c:crosses val="autoZero"/>
        <c:auto val="1"/>
        <c:lblAlgn val="ctr"/>
        <c:lblOffset val="100"/>
        <c:noMultiLvlLbl val="0"/>
      </c:catAx>
      <c:valAx>
        <c:axId val="183173584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8317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8326592155"/>
          <c:y val="0.7530411003093887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'çalışan grafik'!$B$29:$B$33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June-23</c:v>
                </c:pt>
              </c:strCache>
            </c:str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188.85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39-4A97-8082-AE591C4A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174128"/>
        <c:axId val="183172496"/>
      </c:barChart>
      <c:catAx>
        <c:axId val="18317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72496"/>
        <c:crosses val="autoZero"/>
        <c:auto val="1"/>
        <c:lblAlgn val="ctr"/>
        <c:lblOffset val="100"/>
        <c:noMultiLvlLbl val="0"/>
      </c:catAx>
      <c:valAx>
        <c:axId val="183172496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8317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79574568104362"/>
          <c:y val="0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73F-4634-A4DB-F0C12B15FFB7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73F-4634-A4DB-F0C12B15FFB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CA444147-A126-4B3D-A0F1-7B3E5FB0C9D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49.3%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73F-4634-A4DB-F0C12B15FFB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86EED465-F913-40D5-AC69-996F84CBA09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50.7%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73F-4634-A4DB-F0C12B15FFB7}"/>
                </c:ext>
                <c:ext xmlns:c15="http://schemas.microsoft.com/office/drawing/2012/chart" uri="{CE6537A1-D6FC-4f65-9D91-7224C49458BB}">
                  <c15:layout>
                    <c:manualLayout>
                      <c:w val="0.24109521521077465"/>
                      <c:h val="0.2849066619481552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73F-4634-A4DB-F0C12B15FFB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D6-4E56-95B7-48E999420722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D6-4E56-95B7-48E999420722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D6-4E56-95B7-48E99942072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4D6-4E56-95B7-48E999420722}"/>
              </c:ext>
            </c:extLst>
          </c:dPt>
          <c:dLbls>
            <c:dLbl>
              <c:idx val="0"/>
              <c:layout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30742049469964666"/>
                      <c:h val="0.2835249042145593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8268551236749116E-2"/>
                  <c:y val="-0.143740308323528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27326266195524146"/>
                      <c:h val="0.2969348659003831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9224098754440147E-3"/>
                  <c:y val="-0.146191208857513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36989584782467561"/>
                      <c:h val="0.3543313120342715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7.8797102658987331E-2"/>
                  <c:y val="-2.1915708812260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4D6-4E56-95B7-48E999420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4D6-4E56-95B7-48E999420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4654713134268205E-2"/>
                  <c:y val="-2.90895471328638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2.3489541964522109</c:v>
                </c:pt>
                <c:pt idx="1">
                  <c:v>16.510987556261583</c:v>
                </c:pt>
                <c:pt idx="2">
                  <c:v>22.429441355573207</c:v>
                </c:pt>
                <c:pt idx="3">
                  <c:v>7.3921101403230081</c:v>
                </c:pt>
                <c:pt idx="4" formatCode="0.0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70E-4C9E-BB39-EB913DF3A986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3.5774424146147741</c:v>
                </c:pt>
                <c:pt idx="1">
                  <c:v>21.774424146147737</c:v>
                </c:pt>
                <c:pt idx="2">
                  <c:v>19.843791368811225</c:v>
                </c:pt>
                <c:pt idx="3">
                  <c:v>5.2703203600741331</c:v>
                </c:pt>
                <c:pt idx="4" formatCode="0.0">
                  <c:v>0.24887476833465716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70E-4C9E-BB39-EB913DF3A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3174672"/>
        <c:axId val="183178480"/>
      </c:barChart>
      <c:catAx>
        <c:axId val="18317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78480"/>
        <c:crosses val="autoZero"/>
        <c:auto val="1"/>
        <c:lblAlgn val="ctr"/>
        <c:lblOffset val="100"/>
        <c:noMultiLvlLbl val="0"/>
      </c:catAx>
      <c:valAx>
        <c:axId val="183178480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7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grafik'!$F$33:$F$37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June-23</c:v>
                </c:pt>
              </c:strCache>
            </c:strRef>
          </c:cat>
          <c:val>
            <c:numRef>
              <c:f>'şube grafik'!$G$33:$G$37</c:f>
              <c:numCache>
                <c:formatCode>General</c:formatCode>
                <c:ptCount val="5"/>
                <c:pt idx="0">
                  <c:v>10.199</c:v>
                </c:pt>
                <c:pt idx="1">
                  <c:v>9.9390000000000001</c:v>
                </c:pt>
                <c:pt idx="2">
                  <c:v>9.7919999999999998</c:v>
                </c:pt>
                <c:pt idx="3">
                  <c:v>9.6609999999999996</c:v>
                </c:pt>
                <c:pt idx="4">
                  <c:v>9.6389999999999993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C8-45C2-83EB-A7C00FFEAB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176848"/>
        <c:axId val="183175760"/>
      </c:barChart>
      <c:catAx>
        <c:axId val="18317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75760"/>
        <c:crosses val="autoZero"/>
        <c:auto val="1"/>
        <c:lblAlgn val="ctr"/>
        <c:lblOffset val="100"/>
        <c:noMultiLvlLbl val="0"/>
      </c:catAx>
      <c:valAx>
        <c:axId val="1831757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317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45078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11.328624107586492</c:v>
                </c:pt>
                <c:pt idx="5">
                  <c:v>11.302826599009027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87184"/>
        <c:axId val="183180112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45078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221.25702277074552</c:v>
                </c:pt>
                <c:pt idx="5">
                  <c:v>221.44815885702403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85008"/>
        <c:axId val="183177392"/>
      </c:lineChart>
      <c:catAx>
        <c:axId val="18318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80112"/>
        <c:crosses val="autoZero"/>
        <c:auto val="1"/>
        <c:lblAlgn val="ctr"/>
        <c:lblOffset val="100"/>
        <c:noMultiLvlLbl val="0"/>
      </c:catAx>
      <c:valAx>
        <c:axId val="18318011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87184"/>
        <c:crosses val="autoZero"/>
        <c:crossBetween val="between"/>
        <c:majorUnit val="1"/>
      </c:valAx>
      <c:valAx>
        <c:axId val="18317739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185008"/>
        <c:crosses val="max"/>
        <c:crossBetween val="between"/>
        <c:majorUnit val="10"/>
      </c:valAx>
      <c:catAx>
        <c:axId val="1831850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3177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0.13616</cdr:x>
      <cdr:y>0.5094</cdr:y>
    </cdr:from>
    <cdr:to>
      <cdr:x>0.57879</cdr:x>
      <cdr:y>0.5981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2706" y="694806"/>
          <a:ext cx="2219329" cy="12098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0.03343</cdr:x>
      <cdr:y>0.41713</cdr:y>
    </cdr:from>
    <cdr:to>
      <cdr:x>0.6155</cdr:x>
      <cdr:y>0.53073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549399" y="-812802"/>
          <a:ext cx="154942" cy="2918461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0C70-D0E8-4C88-AEB0-E652773E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52</cp:revision>
  <cp:lastPrinted>2019-10-25T07:35:00Z</cp:lastPrinted>
  <dcterms:created xsi:type="dcterms:W3CDTF">2022-01-26T11:03:00Z</dcterms:created>
  <dcterms:modified xsi:type="dcterms:W3CDTF">2023-08-01T07:31:00Z</dcterms:modified>
</cp:coreProperties>
</file>