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E6335" w14:textId="77777777" w:rsidR="00DD0655" w:rsidRPr="00D93507" w:rsidRDefault="00874B66" w:rsidP="00AF23C4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D93507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D93507">
        <w:rPr>
          <w:rFonts w:ascii="Arial" w:hAnsi="Arial" w:cs="Arial"/>
          <w:sz w:val="28"/>
          <w:szCs w:val="28"/>
          <w:lang w:val="en-US"/>
        </w:rPr>
        <w:t>Employees and Branches</w:t>
      </w:r>
    </w:p>
    <w:p w14:paraId="2460B090" w14:textId="77777777" w:rsidR="00EC6DE3" w:rsidRPr="00D93507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D93507">
        <w:rPr>
          <w:rFonts w:ascii="Arial" w:hAnsi="Arial" w:cs="Arial"/>
          <w:sz w:val="28"/>
          <w:szCs w:val="28"/>
          <w:lang w:val="en-US"/>
        </w:rPr>
        <w:t>i</w:t>
      </w:r>
      <w:r w:rsidR="00DD0655" w:rsidRPr="00D93507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D93507">
        <w:rPr>
          <w:rStyle w:val="FootnoteReference"/>
          <w:rFonts w:ascii="Arial" w:hAnsi="Arial" w:cs="Arial"/>
          <w:sz w:val="28"/>
          <w:szCs w:val="28"/>
          <w:lang w:val="en-US"/>
        </w:rPr>
        <w:footnoteReference w:id="1"/>
      </w:r>
      <w:r w:rsidR="00C23A1D" w:rsidRPr="00D93507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2C6242A8" w14:textId="77777777" w:rsidR="007978EA" w:rsidRPr="00D93507" w:rsidRDefault="007978EA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</w:p>
    <w:p w14:paraId="50A3DF4D" w14:textId="3E5A6D8A" w:rsidR="00C3793B" w:rsidRPr="00D93507" w:rsidRDefault="00C405D2" w:rsidP="00D56E83">
      <w:pPr>
        <w:pStyle w:val="Title"/>
        <w:rPr>
          <w:rFonts w:ascii="Arial" w:hAnsi="Arial" w:cs="Arial"/>
          <w:szCs w:val="24"/>
          <w:lang w:val="en-US"/>
        </w:rPr>
      </w:pPr>
      <w:r w:rsidRPr="00D93507">
        <w:rPr>
          <w:rFonts w:ascii="Arial" w:hAnsi="Arial" w:cs="Arial"/>
          <w:szCs w:val="24"/>
          <w:lang w:val="en-US"/>
        </w:rPr>
        <w:t>September</w:t>
      </w:r>
      <w:r w:rsidR="00846D65" w:rsidRPr="00D93507">
        <w:rPr>
          <w:rFonts w:ascii="Arial" w:hAnsi="Arial" w:cs="Arial"/>
          <w:szCs w:val="24"/>
          <w:lang w:val="en-US"/>
        </w:rPr>
        <w:t xml:space="preserve"> 2024</w:t>
      </w:r>
    </w:p>
    <w:p w14:paraId="39BA769F" w14:textId="77777777" w:rsidR="00C3793B" w:rsidRPr="00D93507" w:rsidRDefault="00C3793B" w:rsidP="00B07B3D">
      <w:pPr>
        <w:pStyle w:val="Subtitle"/>
        <w:rPr>
          <w:rFonts w:cs="Arial"/>
          <w:sz w:val="16"/>
          <w:szCs w:val="16"/>
          <w:lang w:val="en-US"/>
        </w:rPr>
      </w:pPr>
    </w:p>
    <w:p w14:paraId="41658FF2" w14:textId="77777777" w:rsidR="007978EA" w:rsidRPr="00D93507" w:rsidRDefault="007978EA" w:rsidP="00B07B3D">
      <w:pPr>
        <w:pStyle w:val="Subtitle"/>
        <w:rPr>
          <w:rFonts w:cs="Arial"/>
          <w:sz w:val="16"/>
          <w:szCs w:val="16"/>
          <w:lang w:val="en-US"/>
        </w:rPr>
      </w:pPr>
    </w:p>
    <w:p w14:paraId="70501D1D" w14:textId="77777777" w:rsidR="00EC6DE3" w:rsidRPr="00D93507" w:rsidRDefault="00A27B2E" w:rsidP="00B07B3D">
      <w:pPr>
        <w:pStyle w:val="Subtitle"/>
        <w:rPr>
          <w:rFonts w:cs="Arial"/>
          <w:szCs w:val="22"/>
          <w:lang w:val="en-US"/>
        </w:rPr>
      </w:pPr>
      <w:r w:rsidRPr="00D93507">
        <w:rPr>
          <w:rFonts w:cs="Arial"/>
          <w:szCs w:val="22"/>
          <w:lang w:val="en-US"/>
        </w:rPr>
        <w:t>Number of Banks</w:t>
      </w:r>
    </w:p>
    <w:p w14:paraId="4C79D872" w14:textId="77777777" w:rsidR="00EC6DE3" w:rsidRPr="00D93507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 w:cs="Arial"/>
          <w:snapToGrid/>
          <w:sz w:val="12"/>
          <w:szCs w:val="12"/>
        </w:rPr>
      </w:pPr>
    </w:p>
    <w:p w14:paraId="79717171" w14:textId="176CFDF8" w:rsidR="00F74E30" w:rsidRPr="00D93507" w:rsidRDefault="00EC6DE3" w:rsidP="00A25F9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93507">
        <w:rPr>
          <w:rFonts w:ascii="Arial" w:hAnsi="Arial" w:cs="Arial"/>
          <w:sz w:val="22"/>
          <w:szCs w:val="22"/>
          <w:lang w:val="en-US"/>
        </w:rPr>
        <w:t xml:space="preserve">The number of </w:t>
      </w:r>
      <w:r w:rsidR="00893871" w:rsidRPr="00D93507">
        <w:rPr>
          <w:rFonts w:ascii="Arial" w:hAnsi="Arial" w:cs="Arial"/>
          <w:sz w:val="22"/>
          <w:szCs w:val="22"/>
          <w:lang w:val="en-US"/>
        </w:rPr>
        <w:t xml:space="preserve">deposit, development and investment </w:t>
      </w:r>
      <w:r w:rsidR="00B31FCD" w:rsidRPr="00D93507">
        <w:rPr>
          <w:rFonts w:ascii="Arial" w:hAnsi="Arial" w:cs="Arial"/>
          <w:sz w:val="22"/>
          <w:szCs w:val="22"/>
          <w:lang w:val="en-US"/>
        </w:rPr>
        <w:t>banks was</w:t>
      </w:r>
      <w:r w:rsidR="003023F5" w:rsidRPr="00D93507">
        <w:rPr>
          <w:rFonts w:ascii="Arial" w:hAnsi="Arial" w:cs="Arial"/>
          <w:sz w:val="22"/>
          <w:szCs w:val="22"/>
          <w:lang w:val="en-US"/>
        </w:rPr>
        <w:t xml:space="preserve"> </w:t>
      </w:r>
      <w:r w:rsidR="00A25F98" w:rsidRPr="00D93507">
        <w:rPr>
          <w:rFonts w:ascii="Arial" w:hAnsi="Arial" w:cs="Arial"/>
          <w:sz w:val="22"/>
          <w:szCs w:val="22"/>
          <w:lang w:val="en-US"/>
        </w:rPr>
        <w:t>6</w:t>
      </w:r>
      <w:r w:rsidR="00C405D2" w:rsidRPr="00D93507">
        <w:rPr>
          <w:rFonts w:ascii="Arial" w:hAnsi="Arial" w:cs="Arial"/>
          <w:sz w:val="22"/>
          <w:szCs w:val="22"/>
          <w:lang w:val="en-US"/>
        </w:rPr>
        <w:t>4</w:t>
      </w:r>
      <w:r w:rsidR="006E45EF" w:rsidRPr="00D93507">
        <w:rPr>
          <w:rFonts w:ascii="Arial" w:hAnsi="Arial" w:cs="Arial"/>
          <w:sz w:val="22"/>
          <w:szCs w:val="22"/>
          <w:lang w:val="en-US"/>
        </w:rPr>
        <w:t xml:space="preserve"> at the end of</w:t>
      </w:r>
      <w:r w:rsidR="00DB26D8" w:rsidRPr="00D93507">
        <w:rPr>
          <w:rFonts w:ascii="Arial" w:hAnsi="Arial" w:cs="Arial"/>
          <w:sz w:val="22"/>
          <w:szCs w:val="22"/>
          <w:lang w:val="en-US"/>
        </w:rPr>
        <w:t xml:space="preserve">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September</w:t>
      </w:r>
      <w:r w:rsidR="00846D65" w:rsidRPr="00D93507">
        <w:rPr>
          <w:rFonts w:ascii="Arial" w:hAnsi="Arial" w:cs="Arial"/>
          <w:sz w:val="22"/>
          <w:szCs w:val="22"/>
          <w:lang w:val="en-US"/>
        </w:rPr>
        <w:t xml:space="preserve"> 2024</w:t>
      </w:r>
      <w:r w:rsidR="00F21E0F" w:rsidRPr="00D93507">
        <w:rPr>
          <w:rFonts w:ascii="Arial" w:hAnsi="Arial" w:cs="Arial"/>
          <w:sz w:val="22"/>
          <w:szCs w:val="22"/>
          <w:lang w:val="en-US"/>
        </w:rPr>
        <w:t xml:space="preserve"> with </w:t>
      </w:r>
      <w:r w:rsidRPr="00D93507">
        <w:rPr>
          <w:rFonts w:ascii="Arial" w:hAnsi="Arial" w:cs="Arial"/>
          <w:sz w:val="22"/>
          <w:szCs w:val="22"/>
          <w:lang w:val="en-US"/>
        </w:rPr>
        <w:t>3</w:t>
      </w:r>
      <w:r w:rsidR="00C405D2" w:rsidRPr="00D93507">
        <w:rPr>
          <w:rFonts w:ascii="Arial" w:hAnsi="Arial" w:cs="Arial"/>
          <w:sz w:val="22"/>
          <w:szCs w:val="22"/>
          <w:lang w:val="en-US"/>
        </w:rPr>
        <w:t>5</w:t>
      </w:r>
      <w:r w:rsidRPr="00D93507">
        <w:rPr>
          <w:rFonts w:ascii="Arial" w:hAnsi="Arial" w:cs="Arial"/>
          <w:sz w:val="22"/>
          <w:szCs w:val="22"/>
          <w:lang w:val="en-US"/>
        </w:rPr>
        <w:t xml:space="preserve"> </w:t>
      </w:r>
      <w:r w:rsidR="00823520" w:rsidRPr="00D93507">
        <w:rPr>
          <w:rFonts w:ascii="Arial" w:hAnsi="Arial" w:cs="Arial"/>
          <w:sz w:val="22"/>
          <w:szCs w:val="22"/>
          <w:lang w:val="en-US"/>
        </w:rPr>
        <w:t xml:space="preserve">in deposit banks group and </w:t>
      </w:r>
      <w:r w:rsidR="00A25F98" w:rsidRPr="00D93507">
        <w:rPr>
          <w:rFonts w:ascii="Arial" w:hAnsi="Arial" w:cs="Arial"/>
          <w:sz w:val="22"/>
          <w:szCs w:val="22"/>
          <w:lang w:val="en-US"/>
        </w:rPr>
        <w:t>20</w:t>
      </w:r>
      <w:r w:rsidR="00823520" w:rsidRPr="00D93507">
        <w:rPr>
          <w:rFonts w:ascii="Arial" w:hAnsi="Arial" w:cs="Arial"/>
          <w:sz w:val="22"/>
          <w:szCs w:val="22"/>
          <w:lang w:val="en-US"/>
        </w:rPr>
        <w:t xml:space="preserve"> in </w:t>
      </w:r>
      <w:r w:rsidR="00682C5D" w:rsidRPr="00D93507">
        <w:rPr>
          <w:rFonts w:ascii="Arial" w:hAnsi="Arial" w:cs="Arial"/>
          <w:sz w:val="22"/>
          <w:szCs w:val="22"/>
          <w:lang w:val="en-US"/>
        </w:rPr>
        <w:t>development and investment banks</w:t>
      </w:r>
      <w:r w:rsidR="00823520" w:rsidRPr="00D93507">
        <w:rPr>
          <w:rFonts w:ascii="Arial" w:hAnsi="Arial" w:cs="Arial"/>
          <w:sz w:val="22"/>
          <w:szCs w:val="22"/>
          <w:lang w:val="en-US"/>
        </w:rPr>
        <w:t xml:space="preserve"> group</w:t>
      </w:r>
      <w:r w:rsidR="00A0040F" w:rsidRPr="00D93507">
        <w:rPr>
          <w:rFonts w:ascii="Arial" w:hAnsi="Arial" w:cs="Arial"/>
          <w:sz w:val="22"/>
          <w:szCs w:val="22"/>
          <w:lang w:val="en-US"/>
        </w:rPr>
        <w:t>, w</w:t>
      </w:r>
      <w:r w:rsidR="00823520" w:rsidRPr="00D93507">
        <w:rPr>
          <w:rFonts w:ascii="Arial" w:hAnsi="Arial" w:cs="Arial"/>
          <w:sz w:val="22"/>
          <w:szCs w:val="22"/>
          <w:lang w:val="en-US"/>
        </w:rPr>
        <w:t xml:space="preserve">hile there were </w:t>
      </w:r>
      <w:r w:rsidR="00F21E0F" w:rsidRPr="00D93507">
        <w:rPr>
          <w:rFonts w:ascii="Arial" w:hAnsi="Arial" w:cs="Arial"/>
          <w:sz w:val="22"/>
          <w:szCs w:val="22"/>
          <w:lang w:val="en-US"/>
        </w:rPr>
        <w:t xml:space="preserve">also </w:t>
      </w:r>
      <w:r w:rsidR="00A25F98" w:rsidRPr="00D93507">
        <w:rPr>
          <w:rFonts w:ascii="Arial" w:hAnsi="Arial" w:cs="Arial"/>
          <w:sz w:val="22"/>
          <w:szCs w:val="22"/>
          <w:lang w:val="en-US"/>
        </w:rPr>
        <w:t xml:space="preserve">9 </w:t>
      </w:r>
      <w:r w:rsidR="00823520" w:rsidRPr="00D93507">
        <w:rPr>
          <w:rFonts w:ascii="Arial" w:hAnsi="Arial" w:cs="Arial"/>
          <w:sz w:val="22"/>
          <w:szCs w:val="22"/>
          <w:lang w:val="en-US"/>
        </w:rPr>
        <w:t>participation banks.</w:t>
      </w:r>
      <w:r w:rsidR="00844EE9" w:rsidRPr="00D93507">
        <w:rPr>
          <w:rFonts w:ascii="Arial" w:hAnsi="Arial" w:cs="Arial"/>
          <w:sz w:val="22"/>
          <w:szCs w:val="22"/>
          <w:lang w:val="en-US"/>
        </w:rPr>
        <w:t xml:space="preserve">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With the decision of the Banking Regulation and Supervision Agency, "</w:t>
      </w:r>
      <w:r w:rsidR="00C405D2" w:rsidRPr="00D93507">
        <w:rPr>
          <w:rFonts w:ascii="Arial" w:hAnsi="Arial" w:cs="Arial"/>
          <w:sz w:val="22"/>
          <w:szCs w:val="22"/>
        </w:rPr>
        <w:t xml:space="preserve"> Enpara Bank A.Ş.</w:t>
      </w:r>
      <w:r w:rsidR="00C405D2" w:rsidRPr="00D93507">
        <w:rPr>
          <w:rFonts w:ascii="Arial" w:hAnsi="Arial" w:cs="Arial"/>
          <w:sz w:val="22"/>
          <w:szCs w:val="22"/>
          <w:lang w:val="en-US"/>
        </w:rPr>
        <w:t>" was licenced to operate. The commercial title of QNB Finansbank A.Ş. has been renamed as ‘’QNB Bank A.</w:t>
      </w:r>
      <w:r w:rsidR="002F77B0" w:rsidRPr="00D93507">
        <w:rPr>
          <w:rFonts w:ascii="Arial" w:hAnsi="Arial" w:cs="Arial"/>
          <w:sz w:val="22"/>
          <w:szCs w:val="22"/>
          <w:lang w:val="en-US"/>
        </w:rPr>
        <w:t>Ş.</w:t>
      </w:r>
      <w:r w:rsidR="00372702">
        <w:rPr>
          <w:rFonts w:ascii="Arial" w:hAnsi="Arial" w:cs="Arial"/>
          <w:sz w:val="22"/>
          <w:szCs w:val="22"/>
          <w:lang w:val="en-US"/>
        </w:rPr>
        <w:t>’</w:t>
      </w:r>
      <w:r w:rsidR="00C405D2" w:rsidRPr="00D93507">
        <w:rPr>
          <w:rFonts w:ascii="Arial" w:hAnsi="Arial" w:cs="Arial"/>
          <w:sz w:val="22"/>
          <w:szCs w:val="22"/>
          <w:lang w:val="en-US"/>
        </w:rPr>
        <w:t>.</w:t>
      </w:r>
    </w:p>
    <w:p w14:paraId="1019E8B3" w14:textId="77777777" w:rsidR="00A25F98" w:rsidRPr="00D93507" w:rsidRDefault="00A25F98" w:rsidP="00A25F98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D00DD30" w14:textId="77777777" w:rsidR="00EC6DE3" w:rsidRPr="00D93507" w:rsidRDefault="00996DEE" w:rsidP="004B4BF5">
      <w:pPr>
        <w:pStyle w:val="Heading9"/>
        <w:rPr>
          <w:rFonts w:ascii="Arial" w:hAnsi="Arial" w:cs="Arial"/>
          <w:lang w:val="en-US"/>
        </w:rPr>
      </w:pPr>
      <w:r w:rsidRPr="00D93507">
        <w:rPr>
          <w:rFonts w:ascii="Arial" w:hAnsi="Arial" w:cs="Arial"/>
          <w:lang w:val="en-US"/>
        </w:rPr>
        <w:t>N</w:t>
      </w:r>
      <w:r w:rsidR="00EC6DE3" w:rsidRPr="00D93507">
        <w:rPr>
          <w:rFonts w:ascii="Arial" w:hAnsi="Arial" w:cs="Arial"/>
          <w:lang w:val="en-US"/>
        </w:rPr>
        <w:t>umber of B</w:t>
      </w:r>
      <w:r w:rsidR="00982ADE" w:rsidRPr="00D93507">
        <w:rPr>
          <w:rFonts w:ascii="Arial" w:hAnsi="Arial" w:cs="Arial"/>
          <w:lang w:val="en-US"/>
        </w:rPr>
        <w:t>anks in the System</w:t>
      </w:r>
    </w:p>
    <w:p w14:paraId="35326330" w14:textId="7D8A7180" w:rsidR="00AE7B4B" w:rsidRPr="00D93507" w:rsidRDefault="00C405D2" w:rsidP="00AE7B4B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D93507">
        <w:rPr>
          <w:rFonts w:ascii="Arial" w:hAnsi="Arial" w:cs="Arial"/>
          <w:b/>
          <w:bCs/>
          <w:noProof/>
        </w:rPr>
        <w:drawing>
          <wp:inline distT="0" distB="0" distL="0" distR="0" wp14:anchorId="43312992" wp14:editId="3F1189FD">
            <wp:extent cx="5043949" cy="1266825"/>
            <wp:effectExtent l="0" t="0" r="4445" b="0"/>
            <wp:docPr id="20926080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13FFBA" w14:textId="77777777" w:rsidR="00EC6DE3" w:rsidRPr="00D93507" w:rsidRDefault="003825FF" w:rsidP="00FC4EA3">
      <w:pPr>
        <w:rPr>
          <w:rFonts w:ascii="Arial" w:hAnsi="Arial" w:cs="Arial"/>
          <w:sz w:val="16"/>
          <w:szCs w:val="16"/>
          <w:lang w:val="en-US"/>
        </w:rPr>
      </w:pPr>
      <w:r w:rsidRPr="00D93507">
        <w:rPr>
          <w:rFonts w:ascii="Arial" w:hAnsi="Arial" w:cs="Arial"/>
          <w:i/>
          <w:sz w:val="16"/>
          <w:lang w:val="en-US"/>
        </w:rPr>
        <w:t xml:space="preserve">* </w:t>
      </w:r>
      <w:r w:rsidR="00EC6DE3" w:rsidRPr="00D93507">
        <w:rPr>
          <w:rFonts w:ascii="Arial" w:hAnsi="Arial" w:cs="Arial"/>
          <w:i/>
          <w:sz w:val="16"/>
          <w:lang w:val="en-US"/>
        </w:rPr>
        <w:t>Banks under the Deposit Insurance Fund</w:t>
      </w:r>
    </w:p>
    <w:p w14:paraId="3F4673DD" w14:textId="77777777" w:rsidR="008835CB" w:rsidRPr="00D93507" w:rsidRDefault="008835CB" w:rsidP="008835CB">
      <w:pPr>
        <w:jc w:val="both"/>
        <w:rPr>
          <w:rFonts w:ascii="Arial" w:hAnsi="Arial" w:cs="Arial"/>
          <w:sz w:val="12"/>
          <w:szCs w:val="12"/>
          <w:lang w:val="en-US"/>
        </w:rPr>
      </w:pPr>
    </w:p>
    <w:p w14:paraId="49BB1818" w14:textId="1D7F1AB1" w:rsidR="00EC6DE3" w:rsidRPr="00D93507" w:rsidRDefault="003F6C5A" w:rsidP="003F6C5A">
      <w:pPr>
        <w:pStyle w:val="Subtitle"/>
        <w:rPr>
          <w:rFonts w:cs="Arial"/>
          <w:lang w:val="en-US"/>
        </w:rPr>
      </w:pPr>
      <w:r w:rsidRPr="00D93507">
        <w:rPr>
          <w:rFonts w:cs="Arial"/>
          <w:lang w:val="en-US"/>
        </w:rPr>
        <w:t xml:space="preserve">Number of </w:t>
      </w:r>
      <w:r w:rsidR="000337BF" w:rsidRPr="00D93507">
        <w:rPr>
          <w:rFonts w:cs="Arial"/>
          <w:lang w:val="en-US"/>
        </w:rPr>
        <w:t>E</w:t>
      </w:r>
      <w:r w:rsidR="00EC6DE3" w:rsidRPr="00D93507">
        <w:rPr>
          <w:rFonts w:cs="Arial"/>
          <w:lang w:val="en-US"/>
        </w:rPr>
        <w:t>mployees</w:t>
      </w:r>
      <w:r w:rsidRPr="00D93507">
        <w:rPr>
          <w:rFonts w:cs="Arial"/>
          <w:lang w:val="en-US"/>
        </w:rPr>
        <w:t xml:space="preserve"> </w:t>
      </w:r>
    </w:p>
    <w:p w14:paraId="2998211E" w14:textId="77777777" w:rsidR="0066600F" w:rsidRPr="00D93507" w:rsidRDefault="0066600F" w:rsidP="003F6C5A">
      <w:pPr>
        <w:pStyle w:val="Subtitle"/>
        <w:rPr>
          <w:rFonts w:cs="Arial"/>
          <w:sz w:val="12"/>
          <w:szCs w:val="12"/>
          <w:lang w:val="en-US"/>
        </w:rPr>
      </w:pPr>
    </w:p>
    <w:p w14:paraId="4C3B51EA" w14:textId="467A770F" w:rsidR="000F7651" w:rsidRPr="00D93507" w:rsidRDefault="006A0843" w:rsidP="00B61AF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93507">
        <w:rPr>
          <w:rFonts w:ascii="Arial" w:hAnsi="Arial" w:cs="Arial"/>
          <w:sz w:val="22"/>
          <w:szCs w:val="22"/>
          <w:lang w:val="en-US"/>
        </w:rPr>
        <w:t xml:space="preserve">As of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September</w:t>
      </w:r>
      <w:r w:rsidR="00846D65" w:rsidRPr="00D93507">
        <w:rPr>
          <w:rFonts w:ascii="Arial" w:hAnsi="Arial" w:cs="Arial"/>
          <w:sz w:val="22"/>
          <w:szCs w:val="22"/>
          <w:lang w:val="en-US"/>
        </w:rPr>
        <w:t xml:space="preserve"> 2024</w:t>
      </w:r>
      <w:r w:rsidRPr="00D93507">
        <w:rPr>
          <w:rFonts w:ascii="Arial" w:hAnsi="Arial" w:cs="Arial"/>
          <w:sz w:val="22"/>
          <w:szCs w:val="22"/>
          <w:lang w:val="en-US"/>
        </w:rPr>
        <w:t xml:space="preserve">, the number of employees </w:t>
      </w:r>
      <w:r w:rsidR="00191359" w:rsidRPr="00D93507">
        <w:rPr>
          <w:rFonts w:ascii="Arial" w:hAnsi="Arial" w:cs="Arial"/>
          <w:sz w:val="22"/>
          <w:szCs w:val="22"/>
          <w:lang w:val="en-US"/>
        </w:rPr>
        <w:t xml:space="preserve">in deposit banks and development and investment banks was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188,56</w:t>
      </w:r>
      <w:r w:rsidR="004F1F77">
        <w:rPr>
          <w:rFonts w:ascii="Arial" w:hAnsi="Arial" w:cs="Arial"/>
          <w:sz w:val="22"/>
          <w:szCs w:val="22"/>
          <w:lang w:val="en-US"/>
        </w:rPr>
        <w:t>6</w:t>
      </w:r>
      <w:r w:rsidR="00465595" w:rsidRPr="00D93507">
        <w:rPr>
          <w:rFonts w:ascii="Arial" w:hAnsi="Arial" w:cs="Arial"/>
          <w:sz w:val="22"/>
          <w:szCs w:val="22"/>
          <w:lang w:val="en-US"/>
        </w:rPr>
        <w:t>.</w:t>
      </w:r>
      <w:r w:rsidR="00846D65" w:rsidRPr="00D9350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A3E64A6" w14:textId="77777777" w:rsidR="00C405D2" w:rsidRPr="00D93507" w:rsidRDefault="00C405D2" w:rsidP="00E727B2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8191A36" w14:textId="56E2D045" w:rsidR="00E727B2" w:rsidRPr="00D93507" w:rsidRDefault="00E727B2" w:rsidP="00E727B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93507">
        <w:rPr>
          <w:rFonts w:ascii="Arial" w:hAnsi="Arial" w:cs="Arial"/>
          <w:sz w:val="22"/>
          <w:szCs w:val="22"/>
          <w:lang w:val="en-US"/>
        </w:rPr>
        <w:t xml:space="preserve">The number of employees </w:t>
      </w:r>
      <w:r w:rsidR="00AF23C4" w:rsidRPr="00D93507">
        <w:rPr>
          <w:rFonts w:ascii="Arial" w:hAnsi="Arial" w:cs="Arial"/>
          <w:sz w:val="22"/>
          <w:szCs w:val="22"/>
          <w:lang w:val="en-US"/>
        </w:rPr>
        <w:t>decreased</w:t>
      </w:r>
      <w:r w:rsidRPr="00D93507">
        <w:rPr>
          <w:rFonts w:ascii="Arial" w:hAnsi="Arial" w:cs="Arial"/>
          <w:sz w:val="22"/>
          <w:szCs w:val="22"/>
          <w:lang w:val="en-US"/>
        </w:rPr>
        <w:t xml:space="preserve"> by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1,02</w:t>
      </w:r>
      <w:r w:rsidR="00F2527C">
        <w:rPr>
          <w:rFonts w:ascii="Arial" w:hAnsi="Arial" w:cs="Arial"/>
          <w:sz w:val="22"/>
          <w:szCs w:val="22"/>
          <w:lang w:val="en-US"/>
        </w:rPr>
        <w:t>6</w:t>
      </w:r>
      <w:r w:rsidRPr="00D93507">
        <w:rPr>
          <w:rFonts w:ascii="Arial" w:hAnsi="Arial" w:cs="Arial"/>
          <w:sz w:val="22"/>
          <w:szCs w:val="22"/>
          <w:lang w:val="en-US"/>
        </w:rPr>
        <w:t xml:space="preserve"> as compared to previous quarter </w:t>
      </w:r>
      <w:r w:rsidR="007C0858" w:rsidRPr="00D93507">
        <w:rPr>
          <w:rFonts w:ascii="Arial" w:hAnsi="Arial" w:cs="Arial"/>
          <w:sz w:val="22"/>
          <w:szCs w:val="22"/>
          <w:lang w:val="en-US"/>
        </w:rPr>
        <w:t>and</w:t>
      </w:r>
      <w:r w:rsidR="00F75937" w:rsidRPr="00D93507">
        <w:rPr>
          <w:rFonts w:ascii="Arial" w:hAnsi="Arial" w:cs="Arial"/>
          <w:sz w:val="22"/>
          <w:szCs w:val="22"/>
          <w:lang w:val="en-US"/>
        </w:rPr>
        <w:t xml:space="preserve"> it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decreased</w:t>
      </w:r>
      <w:r w:rsidR="007C0858" w:rsidRPr="00D93507">
        <w:rPr>
          <w:rFonts w:ascii="Arial" w:hAnsi="Arial" w:cs="Arial"/>
          <w:sz w:val="22"/>
          <w:szCs w:val="22"/>
          <w:lang w:val="en-US"/>
        </w:rPr>
        <w:t xml:space="preserve"> by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68</w:t>
      </w:r>
      <w:r w:rsidR="00F2527C">
        <w:rPr>
          <w:rFonts w:ascii="Arial" w:hAnsi="Arial" w:cs="Arial"/>
          <w:sz w:val="22"/>
          <w:szCs w:val="22"/>
          <w:lang w:val="en-US"/>
        </w:rPr>
        <w:t>6</w:t>
      </w:r>
      <w:r w:rsidR="00B83D90" w:rsidRPr="00D93507">
        <w:rPr>
          <w:rFonts w:ascii="Arial" w:hAnsi="Arial" w:cs="Arial"/>
          <w:sz w:val="22"/>
          <w:szCs w:val="22"/>
          <w:lang w:val="en-US"/>
        </w:rPr>
        <w:t xml:space="preserve"> </w:t>
      </w:r>
      <w:r w:rsidRPr="00D93507">
        <w:rPr>
          <w:rFonts w:ascii="Arial" w:hAnsi="Arial" w:cs="Arial"/>
          <w:sz w:val="22"/>
          <w:szCs w:val="22"/>
          <w:lang w:val="en-US"/>
        </w:rPr>
        <w:t>to</w:t>
      </w:r>
      <w:r w:rsidR="00C03169" w:rsidRPr="00D93507">
        <w:rPr>
          <w:rFonts w:ascii="Arial" w:hAnsi="Arial" w:cs="Arial"/>
          <w:sz w:val="22"/>
          <w:szCs w:val="22"/>
          <w:lang w:val="en-US"/>
        </w:rPr>
        <w:t xml:space="preserve">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September</w:t>
      </w:r>
      <w:r w:rsidR="002B25AE" w:rsidRPr="00D93507">
        <w:rPr>
          <w:rFonts w:ascii="Arial" w:hAnsi="Arial" w:cs="Arial"/>
          <w:sz w:val="22"/>
          <w:szCs w:val="22"/>
          <w:lang w:val="en-US"/>
        </w:rPr>
        <w:t xml:space="preserve"> 2023</w:t>
      </w:r>
      <w:r w:rsidRPr="00D93507">
        <w:rPr>
          <w:rFonts w:ascii="Arial" w:hAnsi="Arial" w:cs="Arial"/>
          <w:sz w:val="22"/>
          <w:szCs w:val="22"/>
          <w:lang w:val="en-US"/>
        </w:rPr>
        <w:t>.</w:t>
      </w:r>
      <w:r w:rsidR="004A7E35" w:rsidRPr="00D93507">
        <w:rPr>
          <w:rFonts w:ascii="Arial" w:hAnsi="Arial" w:cs="Arial"/>
        </w:rPr>
        <w:t xml:space="preserve"> </w:t>
      </w:r>
    </w:p>
    <w:p w14:paraId="560F7E6E" w14:textId="77777777" w:rsidR="007C0858" w:rsidRPr="00D93507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B72229F" w14:textId="5ECACAFB" w:rsidR="007C0858" w:rsidRPr="00D93507" w:rsidRDefault="00FF63FD" w:rsidP="007C085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93507">
        <w:rPr>
          <w:rFonts w:ascii="Arial" w:hAnsi="Arial" w:cs="Arial"/>
          <w:sz w:val="22"/>
          <w:szCs w:val="22"/>
          <w:lang w:val="en-US"/>
        </w:rPr>
        <w:t xml:space="preserve">Compared to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September</w:t>
      </w:r>
      <w:r w:rsidRPr="00D93507">
        <w:rPr>
          <w:rFonts w:ascii="Arial" w:hAnsi="Arial" w:cs="Arial"/>
          <w:sz w:val="22"/>
          <w:szCs w:val="22"/>
          <w:lang w:val="en-US"/>
        </w:rPr>
        <w:t xml:space="preserve"> 2023, t</w:t>
      </w:r>
      <w:r w:rsidR="007C0858" w:rsidRPr="00D93507">
        <w:rPr>
          <w:rFonts w:ascii="Arial" w:hAnsi="Arial" w:cs="Arial"/>
          <w:sz w:val="22"/>
          <w:szCs w:val="22"/>
          <w:lang w:val="en-US"/>
        </w:rPr>
        <w:t xml:space="preserve">he number of employees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decreased</w:t>
      </w:r>
      <w:r w:rsidR="007C0858" w:rsidRPr="00D93507">
        <w:rPr>
          <w:rFonts w:ascii="Arial" w:hAnsi="Arial" w:cs="Arial"/>
          <w:sz w:val="22"/>
          <w:szCs w:val="22"/>
          <w:lang w:val="en-US"/>
        </w:rPr>
        <w:t xml:space="preserve"> by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1,04</w:t>
      </w:r>
      <w:r w:rsidR="00F2527C">
        <w:rPr>
          <w:rFonts w:ascii="Arial" w:hAnsi="Arial" w:cs="Arial"/>
          <w:sz w:val="22"/>
          <w:szCs w:val="22"/>
          <w:lang w:val="en-US"/>
        </w:rPr>
        <w:t>1</w:t>
      </w:r>
      <w:r w:rsidR="00AF23C4" w:rsidRPr="00D93507">
        <w:rPr>
          <w:rFonts w:ascii="Arial" w:hAnsi="Arial" w:cs="Arial"/>
          <w:sz w:val="22"/>
          <w:szCs w:val="22"/>
          <w:lang w:val="en-US"/>
        </w:rPr>
        <w:t xml:space="preserve"> </w:t>
      </w:r>
      <w:r w:rsidR="007C0858" w:rsidRPr="00D93507">
        <w:rPr>
          <w:rFonts w:ascii="Arial" w:hAnsi="Arial" w:cs="Arial"/>
          <w:sz w:val="22"/>
          <w:szCs w:val="22"/>
          <w:lang w:val="en-US"/>
        </w:rPr>
        <w:t xml:space="preserve">in deposit banks and </w:t>
      </w:r>
      <w:r w:rsidR="00F75937" w:rsidRPr="00D93507">
        <w:rPr>
          <w:rFonts w:ascii="Arial" w:hAnsi="Arial" w:cs="Arial"/>
          <w:sz w:val="22"/>
          <w:szCs w:val="22"/>
          <w:lang w:val="en-US"/>
        </w:rPr>
        <w:t xml:space="preserve">it increased </w:t>
      </w:r>
      <w:r w:rsidR="007C0858" w:rsidRPr="00D93507">
        <w:rPr>
          <w:rFonts w:ascii="Arial" w:hAnsi="Arial" w:cs="Arial"/>
          <w:sz w:val="22"/>
          <w:szCs w:val="22"/>
          <w:lang w:val="en-US"/>
        </w:rPr>
        <w:t xml:space="preserve">by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355</w:t>
      </w:r>
      <w:r w:rsidR="007C0858" w:rsidRPr="00D93507">
        <w:rPr>
          <w:rFonts w:ascii="Arial" w:hAnsi="Arial" w:cs="Arial"/>
          <w:sz w:val="22"/>
          <w:szCs w:val="22"/>
          <w:lang w:val="en-US"/>
        </w:rPr>
        <w:t xml:space="preserve"> in development and investment banks. </w:t>
      </w:r>
    </w:p>
    <w:p w14:paraId="54A6ED60" w14:textId="77777777" w:rsidR="000F7651" w:rsidRPr="00D93507" w:rsidRDefault="000F7651" w:rsidP="009B41D0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22ED5DE2" w14:textId="1993DF8C" w:rsidR="005421C0" w:rsidRPr="00D93507" w:rsidRDefault="006F1D37" w:rsidP="000B6A69">
      <w:pPr>
        <w:pStyle w:val="Heading9"/>
        <w:rPr>
          <w:rFonts w:ascii="Arial" w:hAnsi="Arial" w:cs="Arial"/>
          <w:lang w:val="en-US"/>
        </w:rPr>
      </w:pPr>
      <w:r w:rsidRPr="00D93507">
        <w:rPr>
          <w:rFonts w:ascii="Arial" w:hAnsi="Arial" w:cs="Arial"/>
          <w:lang w:val="en-US"/>
        </w:rPr>
        <w:t>Number of Employees</w:t>
      </w:r>
      <w:r w:rsidR="000F5F1A" w:rsidRPr="00D93507">
        <w:rPr>
          <w:rFonts w:ascii="Arial" w:hAnsi="Arial" w:cs="Arial"/>
          <w:lang w:val="en-US"/>
        </w:rPr>
        <w:t xml:space="preserve"> </w:t>
      </w:r>
      <w:r w:rsidR="007365E1" w:rsidRPr="00D93507">
        <w:rPr>
          <w:rFonts w:ascii="Arial" w:hAnsi="Arial" w:cs="Arial"/>
          <w:lang w:val="en-US"/>
        </w:rPr>
        <w:t>(</w:t>
      </w:r>
      <w:r w:rsidR="00AF23C4" w:rsidRPr="00D93507">
        <w:rPr>
          <w:rFonts w:ascii="Arial" w:hAnsi="Arial" w:cs="Arial"/>
          <w:bCs/>
          <w:lang w:val="en-US"/>
        </w:rPr>
        <w:t>thousand people</w:t>
      </w:r>
      <w:r w:rsidR="00E06A4C" w:rsidRPr="00D93507">
        <w:rPr>
          <w:rFonts w:ascii="Arial" w:hAnsi="Arial" w:cs="Arial"/>
          <w:lang w:val="en-US"/>
        </w:rPr>
        <w:t>)</w:t>
      </w:r>
    </w:p>
    <w:p w14:paraId="0FDF6618" w14:textId="0A1E065C" w:rsidR="005F796C" w:rsidRPr="00D93507" w:rsidRDefault="003A1172" w:rsidP="005F796C">
      <w:pPr>
        <w:jc w:val="center"/>
        <w:rPr>
          <w:rFonts w:ascii="Arial" w:hAnsi="Arial" w:cs="Arial"/>
          <w:noProof/>
        </w:rPr>
      </w:pPr>
      <w:r w:rsidRPr="00D93507">
        <w:rPr>
          <w:rFonts w:ascii="Arial" w:hAnsi="Arial" w:cs="Arial"/>
          <w:noProof/>
        </w:rPr>
        <w:drawing>
          <wp:inline distT="0" distB="0" distL="0" distR="0" wp14:anchorId="3CE69E9C" wp14:editId="6E200716">
            <wp:extent cx="3723967" cy="2234380"/>
            <wp:effectExtent l="0" t="0" r="0" b="0"/>
            <wp:docPr id="10" name="Picture 9" descr="A graph of numbers and numbe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8056BD9-79B3-AFEB-E86F-7C915E04C6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graph of numbers and numbers&#10;&#10;Description automatically generated">
                      <a:extLst>
                        <a:ext uri="{FF2B5EF4-FFF2-40B4-BE49-F238E27FC236}">
                          <a16:creationId xmlns:a16="http://schemas.microsoft.com/office/drawing/2014/main" id="{68056BD9-79B3-AFEB-E86F-7C915E04C6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6770" cy="224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0647" w14:textId="0ED8C62D" w:rsidR="00425999" w:rsidRPr="00D93507" w:rsidRDefault="00300FE4" w:rsidP="00425999">
      <w:pPr>
        <w:pStyle w:val="Heading9"/>
        <w:jc w:val="left"/>
        <w:rPr>
          <w:rFonts w:ascii="Arial" w:hAnsi="Arial" w:cs="Arial"/>
          <w:lang w:val="en-US"/>
        </w:rPr>
      </w:pPr>
      <w:r w:rsidRPr="00D93507">
        <w:rPr>
          <w:rFonts w:ascii="Arial" w:hAnsi="Arial" w:cs="Arial"/>
          <w:szCs w:val="22"/>
          <w:lang w:val="en-US"/>
        </w:rPr>
        <w:lastRenderedPageBreak/>
        <w:t xml:space="preserve">Bank </w:t>
      </w:r>
      <w:r w:rsidRPr="00D93507">
        <w:rPr>
          <w:rFonts w:ascii="Arial" w:hAnsi="Arial" w:cs="Arial"/>
          <w:lang w:val="en-US"/>
        </w:rPr>
        <w:t xml:space="preserve">Employees by Gender and </w:t>
      </w:r>
      <w:r w:rsidR="00425999" w:rsidRPr="00D93507">
        <w:rPr>
          <w:rFonts w:ascii="Arial" w:hAnsi="Arial" w:cs="Arial"/>
          <w:lang w:val="en-US"/>
        </w:rPr>
        <w:t xml:space="preserve">Education Level </w:t>
      </w:r>
    </w:p>
    <w:p w14:paraId="2E6F9D66" w14:textId="77777777" w:rsidR="00425999" w:rsidRPr="00D93507" w:rsidRDefault="00425999" w:rsidP="001E1244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0AF61019" w14:textId="2ADCC53C" w:rsidR="00300FE4" w:rsidRPr="00D93507" w:rsidRDefault="001C07FB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D93507">
        <w:rPr>
          <w:rFonts w:ascii="Arial" w:hAnsi="Arial" w:cs="Arial"/>
          <w:snapToGrid w:val="0"/>
          <w:sz w:val="22"/>
          <w:szCs w:val="22"/>
          <w:lang w:val="en-US"/>
        </w:rPr>
        <w:t>As of</w:t>
      </w:r>
      <w:r w:rsidR="00300FE4" w:rsidRPr="00D93507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C405D2" w:rsidRPr="00D93507">
        <w:rPr>
          <w:rFonts w:ascii="Arial" w:hAnsi="Arial" w:cs="Arial"/>
          <w:snapToGrid w:val="0"/>
          <w:sz w:val="22"/>
          <w:szCs w:val="22"/>
          <w:lang w:val="en-US"/>
        </w:rPr>
        <w:t>September</w:t>
      </w:r>
      <w:r w:rsidR="00846D65" w:rsidRPr="00D93507">
        <w:rPr>
          <w:rFonts w:ascii="Arial" w:hAnsi="Arial" w:cs="Arial"/>
          <w:snapToGrid w:val="0"/>
          <w:sz w:val="22"/>
          <w:szCs w:val="22"/>
          <w:lang w:val="en-US"/>
        </w:rPr>
        <w:t xml:space="preserve"> 2024</w:t>
      </w:r>
      <w:r w:rsidR="00B93CFE" w:rsidRPr="00D93507">
        <w:rPr>
          <w:rFonts w:ascii="Arial" w:hAnsi="Arial" w:cs="Arial"/>
          <w:snapToGrid w:val="0"/>
          <w:sz w:val="22"/>
          <w:szCs w:val="22"/>
          <w:lang w:val="en-US"/>
        </w:rPr>
        <w:t>,</w:t>
      </w:r>
      <w:r w:rsidR="00E727B2" w:rsidRPr="00D93507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A1172" w:rsidRPr="00D93507">
        <w:rPr>
          <w:rFonts w:ascii="Arial" w:hAnsi="Arial" w:cs="Arial"/>
          <w:snapToGrid w:val="0"/>
          <w:sz w:val="22"/>
          <w:szCs w:val="22"/>
          <w:lang w:val="en-US"/>
        </w:rPr>
        <w:t>51.1</w:t>
      </w:r>
      <w:r w:rsidR="001B1AA9" w:rsidRPr="00D93507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D93507">
        <w:rPr>
          <w:rFonts w:ascii="Arial" w:hAnsi="Arial" w:cs="Arial"/>
          <w:snapToGrid w:val="0"/>
          <w:sz w:val="22"/>
          <w:szCs w:val="22"/>
          <w:lang w:val="en-US"/>
        </w:rPr>
        <w:t xml:space="preserve">percent of the employees were female </w:t>
      </w:r>
      <w:r w:rsidR="00FB05FA" w:rsidRPr="00D93507">
        <w:rPr>
          <w:rFonts w:ascii="Arial" w:hAnsi="Arial" w:cs="Arial"/>
          <w:snapToGrid w:val="0"/>
          <w:sz w:val="22"/>
          <w:szCs w:val="22"/>
          <w:lang w:val="en-US"/>
        </w:rPr>
        <w:t xml:space="preserve">and </w:t>
      </w:r>
      <w:r w:rsidR="003A1172" w:rsidRPr="00D93507">
        <w:rPr>
          <w:rFonts w:ascii="Arial" w:hAnsi="Arial" w:cs="Arial"/>
          <w:snapToGrid w:val="0"/>
          <w:sz w:val="22"/>
          <w:szCs w:val="22"/>
          <w:lang w:val="en-US"/>
        </w:rPr>
        <w:t>48.9</w:t>
      </w:r>
      <w:r w:rsidR="00B93CFE" w:rsidRPr="00D93507">
        <w:rPr>
          <w:rFonts w:ascii="Arial" w:hAnsi="Arial" w:cs="Arial"/>
          <w:snapToGrid w:val="0"/>
          <w:sz w:val="22"/>
          <w:szCs w:val="22"/>
          <w:lang w:val="en-US"/>
        </w:rPr>
        <w:t xml:space="preserve"> percent were male, </w:t>
      </w:r>
      <w:r w:rsidR="00300FE4" w:rsidRPr="00D93507">
        <w:rPr>
          <w:rFonts w:ascii="Arial" w:hAnsi="Arial" w:cs="Arial"/>
          <w:snapToGrid w:val="0"/>
          <w:sz w:val="22"/>
          <w:szCs w:val="22"/>
          <w:lang w:val="en-US"/>
        </w:rPr>
        <w:t xml:space="preserve">regarding the distribution of bank employees by gender. </w:t>
      </w:r>
    </w:p>
    <w:p w14:paraId="1CD451D8" w14:textId="77777777" w:rsidR="00300FE4" w:rsidRPr="00D93507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14:paraId="18549F3E" w14:textId="526D994A" w:rsidR="001E1244" w:rsidRDefault="001E1244" w:rsidP="001E124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93507">
        <w:rPr>
          <w:rFonts w:ascii="Arial" w:hAnsi="Arial" w:cs="Arial"/>
          <w:sz w:val="22"/>
          <w:szCs w:val="22"/>
          <w:lang w:val="en-US"/>
        </w:rPr>
        <w:t>Regarding the education level of bank employees, 7</w:t>
      </w:r>
      <w:r w:rsidR="002034F7" w:rsidRPr="00D93507">
        <w:rPr>
          <w:rFonts w:ascii="Arial" w:hAnsi="Arial" w:cs="Arial"/>
          <w:sz w:val="22"/>
          <w:szCs w:val="22"/>
          <w:lang w:val="en-US"/>
        </w:rPr>
        <w:t>9</w:t>
      </w:r>
      <w:r w:rsidR="003D3BA7" w:rsidRPr="00D93507">
        <w:rPr>
          <w:rFonts w:ascii="Arial" w:hAnsi="Arial" w:cs="Arial"/>
          <w:sz w:val="22"/>
          <w:szCs w:val="22"/>
          <w:lang w:val="en-US"/>
        </w:rPr>
        <w:t xml:space="preserve"> </w:t>
      </w:r>
      <w:r w:rsidRPr="00D93507">
        <w:rPr>
          <w:rFonts w:ascii="Arial" w:hAnsi="Arial" w:cs="Arial"/>
          <w:sz w:val="22"/>
          <w:szCs w:val="22"/>
          <w:lang w:val="en-US"/>
        </w:rPr>
        <w:t>percent of the employees had undergraduate degrees</w:t>
      </w:r>
      <w:r w:rsidR="002034F7" w:rsidRPr="00D93507">
        <w:rPr>
          <w:rFonts w:ascii="Arial" w:hAnsi="Arial" w:cs="Arial"/>
          <w:sz w:val="22"/>
          <w:szCs w:val="22"/>
          <w:lang w:val="en-US"/>
        </w:rPr>
        <w:t xml:space="preserve"> and </w:t>
      </w:r>
      <w:r w:rsidR="003A1172" w:rsidRPr="00D93507">
        <w:rPr>
          <w:rFonts w:ascii="Arial" w:hAnsi="Arial" w:cs="Arial"/>
          <w:sz w:val="22"/>
          <w:szCs w:val="22"/>
          <w:lang w:val="en-US"/>
        </w:rPr>
        <w:t>9</w:t>
      </w:r>
      <w:r w:rsidR="00116F15" w:rsidRPr="00D93507">
        <w:rPr>
          <w:rFonts w:ascii="Arial" w:hAnsi="Arial" w:cs="Arial"/>
          <w:sz w:val="22"/>
          <w:szCs w:val="22"/>
          <w:lang w:val="en-US"/>
        </w:rPr>
        <w:t xml:space="preserve"> percent in postgraduate degrees</w:t>
      </w:r>
      <w:r w:rsidRPr="00D93507">
        <w:rPr>
          <w:rFonts w:ascii="Arial" w:hAnsi="Arial" w:cs="Arial"/>
          <w:sz w:val="22"/>
          <w:szCs w:val="22"/>
          <w:lang w:val="en-US"/>
        </w:rPr>
        <w:t xml:space="preserve">, as of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September</w:t>
      </w:r>
      <w:r w:rsidR="00846D65" w:rsidRPr="00D93507">
        <w:rPr>
          <w:rFonts w:ascii="Arial" w:hAnsi="Arial" w:cs="Arial"/>
          <w:sz w:val="22"/>
          <w:szCs w:val="22"/>
          <w:lang w:val="en-US"/>
        </w:rPr>
        <w:t xml:space="preserve"> 2024</w:t>
      </w:r>
      <w:r w:rsidRPr="00D93507">
        <w:rPr>
          <w:rFonts w:ascii="Arial" w:hAnsi="Arial" w:cs="Arial"/>
          <w:sz w:val="22"/>
          <w:szCs w:val="22"/>
          <w:lang w:val="en-US"/>
        </w:rPr>
        <w:t xml:space="preserve">. This </w:t>
      </w:r>
      <w:r w:rsidR="00220ED9" w:rsidRPr="00D93507">
        <w:rPr>
          <w:rFonts w:ascii="Arial" w:hAnsi="Arial" w:cs="Arial"/>
          <w:sz w:val="22"/>
          <w:szCs w:val="22"/>
          <w:lang w:val="en-US"/>
        </w:rPr>
        <w:t>share of</w:t>
      </w:r>
      <w:r w:rsidRPr="00D93507">
        <w:rPr>
          <w:rFonts w:ascii="Arial" w:hAnsi="Arial" w:cs="Arial"/>
          <w:sz w:val="22"/>
          <w:szCs w:val="22"/>
          <w:lang w:val="en-US"/>
        </w:rPr>
        <w:t xml:space="preserve"> </w:t>
      </w:r>
      <w:r w:rsidR="00220ED9" w:rsidRPr="00D93507">
        <w:rPr>
          <w:rFonts w:ascii="Arial" w:hAnsi="Arial" w:cs="Arial"/>
          <w:sz w:val="22"/>
          <w:szCs w:val="22"/>
          <w:lang w:val="en-US"/>
        </w:rPr>
        <w:t xml:space="preserve">high-school graduates was </w:t>
      </w:r>
      <w:r w:rsidRPr="00D93507">
        <w:rPr>
          <w:rFonts w:ascii="Arial" w:hAnsi="Arial" w:cs="Arial"/>
          <w:sz w:val="22"/>
          <w:szCs w:val="22"/>
          <w:lang w:val="en-US"/>
        </w:rPr>
        <w:t>1</w:t>
      </w:r>
      <w:r w:rsidR="002034F7" w:rsidRPr="00D93507">
        <w:rPr>
          <w:rFonts w:ascii="Arial" w:hAnsi="Arial" w:cs="Arial"/>
          <w:sz w:val="22"/>
          <w:szCs w:val="22"/>
          <w:lang w:val="en-US"/>
        </w:rPr>
        <w:t>1</w:t>
      </w:r>
      <w:r w:rsidR="00220ED9" w:rsidRPr="00D93507">
        <w:rPr>
          <w:rFonts w:ascii="Arial" w:hAnsi="Arial" w:cs="Arial"/>
          <w:sz w:val="22"/>
          <w:szCs w:val="22"/>
          <w:lang w:val="en-US"/>
        </w:rPr>
        <w:t xml:space="preserve"> percent</w:t>
      </w:r>
      <w:r w:rsidR="003D3BA7" w:rsidRPr="00D93507">
        <w:rPr>
          <w:rFonts w:ascii="Arial" w:hAnsi="Arial" w:cs="Arial"/>
          <w:sz w:val="22"/>
          <w:szCs w:val="22"/>
          <w:lang w:val="en-US"/>
        </w:rPr>
        <w:t>.</w:t>
      </w:r>
    </w:p>
    <w:p w14:paraId="44BA3E1E" w14:textId="77777777" w:rsidR="00D93507" w:rsidRPr="00D93507" w:rsidRDefault="00D93507" w:rsidP="001E124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AFF29C1" w14:textId="77777777" w:rsidR="001E1244" w:rsidRPr="00D93507" w:rsidRDefault="001E1244" w:rsidP="00FA7FDA">
      <w:pPr>
        <w:rPr>
          <w:rFonts w:ascii="Arial" w:hAnsi="Arial" w:cs="Arial"/>
          <w:sz w:val="22"/>
          <w:szCs w:val="22"/>
          <w:lang w:val="en-US" w:eastAsia="ko-KR"/>
        </w:rPr>
      </w:pPr>
    </w:p>
    <w:p w14:paraId="59F1CDB8" w14:textId="77777777" w:rsidR="00AF452C" w:rsidRPr="00D93507" w:rsidRDefault="00300FE4" w:rsidP="00AF452C">
      <w:pPr>
        <w:pStyle w:val="Heading9"/>
        <w:rPr>
          <w:rFonts w:ascii="Arial" w:hAnsi="Arial" w:cs="Arial"/>
          <w:lang w:val="en-US"/>
        </w:rPr>
      </w:pPr>
      <w:r w:rsidRPr="00D93507">
        <w:rPr>
          <w:rFonts w:ascii="Arial" w:hAnsi="Arial" w:cs="Arial"/>
          <w:szCs w:val="22"/>
          <w:lang w:val="en-US"/>
        </w:rPr>
        <w:t xml:space="preserve">Bank </w:t>
      </w:r>
      <w:r w:rsidRPr="00D93507">
        <w:rPr>
          <w:rFonts w:ascii="Arial" w:hAnsi="Arial" w:cs="Arial"/>
          <w:lang w:val="en-US"/>
        </w:rPr>
        <w:t>Employees by Gender</w:t>
      </w:r>
      <w:r w:rsidR="00AF452C" w:rsidRPr="00D93507">
        <w:rPr>
          <w:rFonts w:ascii="Arial" w:hAnsi="Arial" w:cs="Arial"/>
          <w:lang w:val="en-US"/>
        </w:rPr>
        <w:t xml:space="preserve"> and Education Level</w:t>
      </w:r>
    </w:p>
    <w:p w14:paraId="2C6DF3EC" w14:textId="1D9EAFF3" w:rsidR="00AF452C" w:rsidRPr="00D93507" w:rsidRDefault="00300FE4" w:rsidP="00AF452C">
      <w:pPr>
        <w:pStyle w:val="Heading9"/>
        <w:rPr>
          <w:rFonts w:ascii="Arial" w:hAnsi="Arial" w:cs="Arial"/>
          <w:lang w:val="en-US"/>
        </w:rPr>
      </w:pPr>
      <w:r w:rsidRPr="00D93507">
        <w:rPr>
          <w:rFonts w:ascii="Arial" w:hAnsi="Arial" w:cs="Arial"/>
          <w:lang w:val="en-US"/>
        </w:rPr>
        <w:t xml:space="preserve"> </w:t>
      </w:r>
    </w:p>
    <w:p w14:paraId="113363AD" w14:textId="092039B7" w:rsidR="00AF452C" w:rsidRPr="00D93507" w:rsidRDefault="003A1172" w:rsidP="002C5381">
      <w:pPr>
        <w:jc w:val="right"/>
        <w:rPr>
          <w:rFonts w:ascii="Arial" w:hAnsi="Arial" w:cs="Arial"/>
          <w:lang w:val="en-US" w:eastAsia="tr-TR"/>
        </w:rPr>
      </w:pPr>
      <w:r w:rsidRPr="00D93507">
        <w:rPr>
          <w:rFonts w:ascii="Arial" w:hAnsi="Arial" w:cs="Arial"/>
          <w:noProof/>
        </w:rPr>
        <w:drawing>
          <wp:inline distT="0" distB="0" distL="0" distR="0" wp14:anchorId="011AC36B" wp14:editId="5F4092E0">
            <wp:extent cx="2116394" cy="1659193"/>
            <wp:effectExtent l="0" t="0" r="0" b="0"/>
            <wp:docPr id="1875748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D93507">
        <w:rPr>
          <w:rFonts w:ascii="Arial" w:hAnsi="Arial" w:cs="Arial"/>
          <w:noProof/>
        </w:rPr>
        <w:drawing>
          <wp:inline distT="0" distB="0" distL="0" distR="0" wp14:anchorId="1211DB9B" wp14:editId="03994E8B">
            <wp:extent cx="2831691" cy="1651820"/>
            <wp:effectExtent l="0" t="0" r="6985" b="5715"/>
            <wp:docPr id="12365272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E3613D3" w14:textId="20240E16" w:rsidR="00382C51" w:rsidRPr="00D93507" w:rsidRDefault="000C440E" w:rsidP="0091459E">
      <w:pPr>
        <w:pStyle w:val="Heading9"/>
        <w:tabs>
          <w:tab w:val="left" w:pos="504"/>
        </w:tabs>
        <w:jc w:val="left"/>
        <w:rPr>
          <w:rFonts w:ascii="Arial" w:hAnsi="Arial" w:cs="Arial"/>
          <w:lang w:val="en-US"/>
        </w:rPr>
      </w:pPr>
      <w:r w:rsidRPr="00D93507">
        <w:rPr>
          <w:rFonts w:ascii="Arial" w:hAnsi="Arial" w:cs="Arial"/>
          <w:b w:val="0"/>
          <w:szCs w:val="22"/>
          <w:lang w:val="en-US"/>
        </w:rPr>
        <w:t>4</w:t>
      </w:r>
      <w:r w:rsidR="003A1172" w:rsidRPr="00D93507">
        <w:rPr>
          <w:rFonts w:ascii="Arial" w:hAnsi="Arial" w:cs="Arial"/>
          <w:b w:val="0"/>
          <w:szCs w:val="22"/>
          <w:lang w:val="en-US"/>
        </w:rPr>
        <w:t>4</w:t>
      </w:r>
      <w:r w:rsidR="00CF4D4C" w:rsidRPr="00D93507">
        <w:rPr>
          <w:rFonts w:ascii="Arial" w:hAnsi="Arial" w:cs="Arial"/>
          <w:b w:val="0"/>
          <w:szCs w:val="22"/>
          <w:lang w:val="en-US"/>
        </w:rPr>
        <w:t xml:space="preserve"> percent </w:t>
      </w:r>
      <w:r w:rsidR="00B93CFE" w:rsidRPr="00D93507">
        <w:rPr>
          <w:rFonts w:ascii="Arial" w:hAnsi="Arial" w:cs="Arial"/>
          <w:b w:val="0"/>
          <w:szCs w:val="22"/>
          <w:lang w:val="en-US"/>
        </w:rPr>
        <w:t xml:space="preserve">of employees </w:t>
      </w:r>
      <w:r w:rsidR="00CF4D4C" w:rsidRPr="00D93507">
        <w:rPr>
          <w:rFonts w:ascii="Arial" w:hAnsi="Arial" w:cs="Arial"/>
          <w:b w:val="0"/>
          <w:szCs w:val="22"/>
          <w:lang w:val="en-US"/>
        </w:rPr>
        <w:t>ar</w:t>
      </w:r>
      <w:r w:rsidRPr="00D93507">
        <w:rPr>
          <w:rFonts w:ascii="Arial" w:hAnsi="Arial" w:cs="Arial"/>
          <w:b w:val="0"/>
          <w:szCs w:val="22"/>
          <w:lang w:val="en-US"/>
        </w:rPr>
        <w:t>e in the 36-45 age range, and 38</w:t>
      </w:r>
      <w:r w:rsidR="00CF4D4C" w:rsidRPr="00D93507">
        <w:rPr>
          <w:rFonts w:ascii="Arial" w:hAnsi="Arial" w:cs="Arial"/>
          <w:b w:val="0"/>
          <w:szCs w:val="22"/>
          <w:lang w:val="en-US"/>
        </w:rPr>
        <w:t xml:space="preserve"> percent are in the 26-35 age range.</w:t>
      </w:r>
    </w:p>
    <w:p w14:paraId="7E026B09" w14:textId="77777777" w:rsidR="00AE26A5" w:rsidRPr="00D93507" w:rsidRDefault="00AE26A5" w:rsidP="00382C5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71A4414" w14:textId="77777777" w:rsidR="00382C51" w:rsidRPr="00D93507" w:rsidRDefault="00382C51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D93507">
        <w:rPr>
          <w:rFonts w:ascii="Arial" w:hAnsi="Arial" w:cs="Arial"/>
          <w:b/>
          <w:sz w:val="22"/>
          <w:szCs w:val="22"/>
          <w:lang w:val="en-US"/>
        </w:rPr>
        <w:t>Bank Employees by Age (percent)</w:t>
      </w:r>
    </w:p>
    <w:p w14:paraId="75B2A321" w14:textId="77777777" w:rsidR="006A3537" w:rsidRPr="00D93507" w:rsidRDefault="006A3537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61293075" w14:textId="03A522CE" w:rsidR="00FA5643" w:rsidRPr="00D93507" w:rsidRDefault="00AE26A5" w:rsidP="00E06A4C">
      <w:pPr>
        <w:pStyle w:val="Subtitle"/>
        <w:jc w:val="center"/>
        <w:rPr>
          <w:rFonts w:cs="Arial"/>
          <w:szCs w:val="22"/>
          <w:lang w:val="en-US"/>
        </w:rPr>
      </w:pPr>
      <w:r w:rsidRPr="00D93507">
        <w:rPr>
          <w:rFonts w:cs="Arial"/>
          <w:noProof/>
        </w:rPr>
        <w:drawing>
          <wp:inline distT="0" distB="0" distL="0" distR="0" wp14:anchorId="7134F0BB" wp14:editId="1E40114C">
            <wp:extent cx="4181642" cy="2441749"/>
            <wp:effectExtent l="0" t="0" r="0" b="0"/>
            <wp:docPr id="140821184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ECDF063-A1CA-AB28-11AF-DBDD83D433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2ECDF063-A1CA-AB28-11AF-DBDD83D433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8869" cy="245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825C5" w14:textId="77777777" w:rsidR="00AE26A5" w:rsidRPr="00D93507" w:rsidRDefault="00AE26A5" w:rsidP="003B53F2">
      <w:pPr>
        <w:pStyle w:val="Subtitle"/>
        <w:rPr>
          <w:rFonts w:cs="Arial"/>
          <w:szCs w:val="22"/>
          <w:lang w:val="en-US"/>
        </w:rPr>
      </w:pPr>
    </w:p>
    <w:p w14:paraId="341839DD" w14:textId="77777777" w:rsidR="00AE26A5" w:rsidRPr="00D93507" w:rsidRDefault="00AE26A5" w:rsidP="003B53F2">
      <w:pPr>
        <w:pStyle w:val="Subtitle"/>
        <w:rPr>
          <w:rFonts w:cs="Arial"/>
          <w:szCs w:val="22"/>
          <w:lang w:val="en-US"/>
        </w:rPr>
      </w:pPr>
    </w:p>
    <w:p w14:paraId="1A3EDDE0" w14:textId="77777777" w:rsidR="00AE26A5" w:rsidRPr="00D93507" w:rsidRDefault="00AE26A5" w:rsidP="003B53F2">
      <w:pPr>
        <w:pStyle w:val="Subtitle"/>
        <w:rPr>
          <w:rFonts w:cs="Arial"/>
          <w:szCs w:val="22"/>
          <w:lang w:val="en-US"/>
        </w:rPr>
      </w:pPr>
    </w:p>
    <w:p w14:paraId="3FC9BF2E" w14:textId="77777777" w:rsidR="00AE26A5" w:rsidRPr="00D93507" w:rsidRDefault="00AE26A5" w:rsidP="003B53F2">
      <w:pPr>
        <w:pStyle w:val="Subtitle"/>
        <w:rPr>
          <w:rFonts w:cs="Arial"/>
          <w:szCs w:val="22"/>
          <w:lang w:val="en-US"/>
        </w:rPr>
      </w:pPr>
    </w:p>
    <w:p w14:paraId="66598200" w14:textId="77777777" w:rsidR="00AE26A5" w:rsidRPr="00D93507" w:rsidRDefault="00AE26A5" w:rsidP="003B53F2">
      <w:pPr>
        <w:pStyle w:val="Subtitle"/>
        <w:rPr>
          <w:rFonts w:cs="Arial"/>
          <w:szCs w:val="22"/>
          <w:lang w:val="en-US"/>
        </w:rPr>
      </w:pPr>
    </w:p>
    <w:p w14:paraId="46772EF7" w14:textId="77777777" w:rsidR="00AE26A5" w:rsidRPr="00D93507" w:rsidRDefault="00AE26A5" w:rsidP="003B53F2">
      <w:pPr>
        <w:pStyle w:val="Subtitle"/>
        <w:rPr>
          <w:rFonts w:cs="Arial"/>
          <w:szCs w:val="22"/>
          <w:lang w:val="en-US"/>
        </w:rPr>
      </w:pPr>
    </w:p>
    <w:p w14:paraId="085FF9A4" w14:textId="77777777" w:rsidR="00AE26A5" w:rsidRPr="00D93507" w:rsidRDefault="00AE26A5" w:rsidP="003B53F2">
      <w:pPr>
        <w:pStyle w:val="Subtitle"/>
        <w:rPr>
          <w:rFonts w:cs="Arial"/>
          <w:szCs w:val="22"/>
          <w:lang w:val="en-US"/>
        </w:rPr>
      </w:pPr>
    </w:p>
    <w:p w14:paraId="3752DFBD" w14:textId="77777777" w:rsidR="00AE26A5" w:rsidRPr="00D93507" w:rsidRDefault="00AE26A5" w:rsidP="003B53F2">
      <w:pPr>
        <w:pStyle w:val="Subtitle"/>
        <w:rPr>
          <w:rFonts w:cs="Arial"/>
          <w:szCs w:val="22"/>
          <w:lang w:val="en-US"/>
        </w:rPr>
      </w:pPr>
    </w:p>
    <w:p w14:paraId="385AE6D0" w14:textId="77777777" w:rsidR="00AE26A5" w:rsidRDefault="00AE26A5" w:rsidP="003B53F2">
      <w:pPr>
        <w:pStyle w:val="Subtitle"/>
        <w:rPr>
          <w:rFonts w:cs="Arial"/>
          <w:szCs w:val="22"/>
          <w:lang w:val="en-US"/>
        </w:rPr>
      </w:pPr>
    </w:p>
    <w:p w14:paraId="45C6871E" w14:textId="77777777" w:rsidR="002F77B0" w:rsidRPr="00D93507" w:rsidRDefault="002F77B0" w:rsidP="003B53F2">
      <w:pPr>
        <w:pStyle w:val="Subtitle"/>
        <w:rPr>
          <w:rFonts w:cs="Arial"/>
          <w:szCs w:val="22"/>
          <w:lang w:val="en-US"/>
        </w:rPr>
      </w:pPr>
    </w:p>
    <w:p w14:paraId="7BCC30BD" w14:textId="7E8B3D12" w:rsidR="003B53F2" w:rsidRPr="00D93507" w:rsidRDefault="003B53F2" w:rsidP="003B53F2">
      <w:pPr>
        <w:pStyle w:val="Subtitle"/>
        <w:rPr>
          <w:rFonts w:cs="Arial"/>
          <w:szCs w:val="22"/>
          <w:lang w:val="en-US"/>
        </w:rPr>
      </w:pPr>
      <w:r w:rsidRPr="00D93507">
        <w:rPr>
          <w:rFonts w:cs="Arial"/>
          <w:szCs w:val="22"/>
          <w:lang w:val="en-US"/>
        </w:rPr>
        <w:lastRenderedPageBreak/>
        <w:t>Number of Branches</w:t>
      </w:r>
    </w:p>
    <w:p w14:paraId="6376B539" w14:textId="77777777" w:rsidR="003B53F2" w:rsidRPr="00D93507" w:rsidRDefault="003B53F2" w:rsidP="003B53F2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5C134191" w14:textId="2F602375" w:rsidR="003B53F2" w:rsidRPr="00D93507" w:rsidRDefault="000F7651" w:rsidP="003B53F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93507">
        <w:rPr>
          <w:rFonts w:ascii="Arial" w:hAnsi="Arial" w:cs="Arial"/>
          <w:sz w:val="22"/>
          <w:szCs w:val="22"/>
          <w:lang w:val="en-US"/>
        </w:rPr>
        <w:t xml:space="preserve">As of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September</w:t>
      </w:r>
      <w:r w:rsidR="00846D65" w:rsidRPr="00D93507">
        <w:rPr>
          <w:rFonts w:ascii="Arial" w:hAnsi="Arial" w:cs="Arial"/>
          <w:sz w:val="22"/>
          <w:szCs w:val="22"/>
          <w:lang w:val="en-US"/>
        </w:rPr>
        <w:t xml:space="preserve"> 2024</w:t>
      </w:r>
      <w:r w:rsidR="003B53F2" w:rsidRPr="00D93507">
        <w:rPr>
          <w:rFonts w:ascii="Arial" w:hAnsi="Arial" w:cs="Arial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D93507">
        <w:rPr>
          <w:rFonts w:ascii="Arial" w:hAnsi="Arial" w:cs="Arial"/>
          <w:sz w:val="22"/>
          <w:szCs w:val="22"/>
          <w:lang w:val="en-US"/>
        </w:rPr>
        <w:t>9,</w:t>
      </w:r>
      <w:r w:rsidR="0091459E" w:rsidRPr="00D93507">
        <w:rPr>
          <w:rFonts w:ascii="Arial" w:hAnsi="Arial" w:cs="Arial"/>
          <w:sz w:val="22"/>
          <w:szCs w:val="22"/>
          <w:lang w:val="en-US"/>
        </w:rPr>
        <w:t>4</w:t>
      </w:r>
      <w:r w:rsidR="003A1172" w:rsidRPr="00D93507">
        <w:rPr>
          <w:rFonts w:ascii="Arial" w:hAnsi="Arial" w:cs="Arial"/>
          <w:sz w:val="22"/>
          <w:szCs w:val="22"/>
          <w:lang w:val="en-US"/>
        </w:rPr>
        <w:t>59</w:t>
      </w:r>
      <w:r w:rsidR="0091459E" w:rsidRPr="00D93507">
        <w:rPr>
          <w:rFonts w:ascii="Arial" w:hAnsi="Arial" w:cs="Arial"/>
          <w:sz w:val="22"/>
          <w:szCs w:val="22"/>
          <w:lang w:val="en-US"/>
        </w:rPr>
        <w:t>.</w:t>
      </w:r>
      <w:r w:rsidR="003B53F2" w:rsidRPr="00D9350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2A63668" w14:textId="77777777" w:rsidR="00AE26A5" w:rsidRPr="00D93507" w:rsidRDefault="00AE26A5" w:rsidP="003B53F2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9C74D29" w14:textId="77777777" w:rsidR="00CC088E" w:rsidRPr="00D93507" w:rsidRDefault="00CC088E" w:rsidP="003B53F2">
      <w:pPr>
        <w:jc w:val="center"/>
        <w:rPr>
          <w:rFonts w:ascii="Arial" w:hAnsi="Arial" w:cs="Arial"/>
          <w:b/>
          <w:sz w:val="12"/>
          <w:szCs w:val="12"/>
          <w:lang w:val="en-US"/>
        </w:rPr>
      </w:pPr>
    </w:p>
    <w:p w14:paraId="1DE816E8" w14:textId="77777777" w:rsidR="00FC4EA3" w:rsidRPr="00D93507" w:rsidRDefault="005126D8" w:rsidP="003B53F2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D93507">
        <w:rPr>
          <w:rFonts w:ascii="Arial" w:hAnsi="Arial" w:cs="Arial"/>
          <w:b/>
          <w:sz w:val="22"/>
          <w:szCs w:val="22"/>
          <w:lang w:val="en-US"/>
        </w:rPr>
        <w:t>Number of Branches*</w:t>
      </w:r>
    </w:p>
    <w:p w14:paraId="4367519A" w14:textId="7577C4FB" w:rsidR="00047F97" w:rsidRPr="00D93507" w:rsidRDefault="005D520C" w:rsidP="003B53F2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D93507">
        <w:rPr>
          <w:rFonts w:ascii="Arial" w:hAnsi="Arial" w:cs="Arial"/>
          <w:noProof/>
        </w:rPr>
        <w:drawing>
          <wp:inline distT="0" distB="0" distL="0" distR="0" wp14:anchorId="0ECCD942" wp14:editId="17AC1DDE">
            <wp:extent cx="3878826" cy="2330403"/>
            <wp:effectExtent l="0" t="0" r="7620" b="0"/>
            <wp:docPr id="1366512732" name="Picture 2" descr="A graph of numbers and a number of bank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7DBD475-B11F-D9B3-9229-535848ABB9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12732" name="Picture 2" descr="A graph of numbers and a number of banks&#10;&#10;Description automatically generated">
                      <a:extLst>
                        <a:ext uri="{FF2B5EF4-FFF2-40B4-BE49-F238E27FC236}">
                          <a16:creationId xmlns:a16="http://schemas.microsoft.com/office/drawing/2014/main" id="{27DBD475-B11F-D9B3-9229-535848ABB9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6320" cy="234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3832B" w14:textId="77777777" w:rsidR="005126D8" w:rsidRPr="00D93507" w:rsidRDefault="005126D8" w:rsidP="003B53F2">
      <w:pPr>
        <w:jc w:val="center"/>
        <w:rPr>
          <w:rFonts w:ascii="Arial" w:hAnsi="Arial" w:cs="Arial"/>
          <w:b/>
          <w:sz w:val="12"/>
          <w:szCs w:val="12"/>
          <w:lang w:val="en-US"/>
        </w:rPr>
      </w:pPr>
    </w:p>
    <w:p w14:paraId="66F318C5" w14:textId="77777777" w:rsidR="003B53F2" w:rsidRPr="00D93507" w:rsidRDefault="003B53F2" w:rsidP="003B53F2">
      <w:pPr>
        <w:rPr>
          <w:rFonts w:ascii="Arial" w:hAnsi="Arial" w:cs="Arial"/>
          <w:i/>
          <w:sz w:val="16"/>
          <w:lang w:val="en-US"/>
        </w:rPr>
      </w:pPr>
      <w:r w:rsidRPr="00D93507">
        <w:rPr>
          <w:rFonts w:ascii="Arial" w:hAnsi="Arial" w:cs="Arial"/>
          <w:i/>
          <w:sz w:val="16"/>
          <w:lang w:val="en-US"/>
        </w:rPr>
        <w:t xml:space="preserve"> * Branches in foreign countries and Turkish Republic of Northern Cyprus are included.</w:t>
      </w:r>
    </w:p>
    <w:p w14:paraId="170A1948" w14:textId="77777777" w:rsidR="002D557D" w:rsidRPr="00D93507" w:rsidRDefault="002D557D" w:rsidP="00D04C4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9789F37" w14:textId="230C8E4C" w:rsidR="00EB02B3" w:rsidRPr="00D93507" w:rsidRDefault="00EB02B3" w:rsidP="00EB02B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93507">
        <w:rPr>
          <w:rFonts w:ascii="Arial" w:hAnsi="Arial" w:cs="Arial"/>
          <w:sz w:val="22"/>
          <w:szCs w:val="22"/>
          <w:lang w:val="en-US"/>
        </w:rPr>
        <w:t xml:space="preserve">The number of branches decreased by </w:t>
      </w:r>
      <w:r w:rsidR="00047F97" w:rsidRPr="00D93507">
        <w:rPr>
          <w:rFonts w:ascii="Arial" w:hAnsi="Arial" w:cs="Arial"/>
          <w:sz w:val="22"/>
          <w:szCs w:val="22"/>
          <w:lang w:val="en-US"/>
        </w:rPr>
        <w:t>2</w:t>
      </w:r>
      <w:r w:rsidRPr="00D93507">
        <w:rPr>
          <w:rFonts w:ascii="Arial" w:hAnsi="Arial" w:cs="Arial"/>
          <w:sz w:val="22"/>
          <w:szCs w:val="22"/>
          <w:lang w:val="en-US"/>
        </w:rPr>
        <w:t>, as c</w:t>
      </w:r>
      <w:r w:rsidR="002574F4" w:rsidRPr="00D93507">
        <w:rPr>
          <w:rFonts w:ascii="Arial" w:hAnsi="Arial" w:cs="Arial"/>
          <w:sz w:val="22"/>
          <w:szCs w:val="22"/>
          <w:lang w:val="en-US"/>
        </w:rPr>
        <w:t>ompared to previous quarter and</w:t>
      </w:r>
      <w:r w:rsidR="001E508C" w:rsidRPr="00D93507">
        <w:rPr>
          <w:rFonts w:ascii="Arial" w:hAnsi="Arial" w:cs="Arial"/>
          <w:sz w:val="22"/>
          <w:szCs w:val="22"/>
          <w:lang w:val="en-US"/>
        </w:rPr>
        <w:t xml:space="preserve"> </w:t>
      </w:r>
      <w:r w:rsidRPr="00D93507">
        <w:rPr>
          <w:rFonts w:ascii="Arial" w:hAnsi="Arial" w:cs="Arial"/>
          <w:sz w:val="22"/>
          <w:szCs w:val="22"/>
          <w:lang w:val="en-US"/>
        </w:rPr>
        <w:t xml:space="preserve">by </w:t>
      </w:r>
      <w:r w:rsidR="007365E1" w:rsidRPr="00D93507">
        <w:rPr>
          <w:rFonts w:ascii="Arial" w:hAnsi="Arial" w:cs="Arial"/>
          <w:sz w:val="22"/>
          <w:szCs w:val="22"/>
          <w:lang w:val="en-US"/>
        </w:rPr>
        <w:t>1</w:t>
      </w:r>
      <w:r w:rsidR="00AE26A5" w:rsidRPr="00D93507">
        <w:rPr>
          <w:rFonts w:ascii="Arial" w:hAnsi="Arial" w:cs="Arial"/>
          <w:sz w:val="22"/>
          <w:szCs w:val="22"/>
          <w:lang w:val="en-US"/>
        </w:rPr>
        <w:t>5</w:t>
      </w:r>
      <w:r w:rsidR="00047F97" w:rsidRPr="00D93507">
        <w:rPr>
          <w:rFonts w:ascii="Arial" w:hAnsi="Arial" w:cs="Arial"/>
          <w:sz w:val="22"/>
          <w:szCs w:val="22"/>
          <w:lang w:val="en-US"/>
        </w:rPr>
        <w:t>7</w:t>
      </w:r>
      <w:r w:rsidRPr="00D93507">
        <w:rPr>
          <w:rFonts w:ascii="Arial" w:hAnsi="Arial" w:cs="Arial"/>
          <w:sz w:val="22"/>
          <w:szCs w:val="22"/>
          <w:lang w:val="en-US"/>
        </w:rPr>
        <w:t xml:space="preserve">, as compared to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September</w:t>
      </w:r>
      <w:r w:rsidR="00923370" w:rsidRPr="00D93507">
        <w:rPr>
          <w:rFonts w:ascii="Arial" w:hAnsi="Arial" w:cs="Arial"/>
          <w:sz w:val="22"/>
          <w:szCs w:val="22"/>
          <w:lang w:val="en-US"/>
        </w:rPr>
        <w:t xml:space="preserve"> 2023</w:t>
      </w:r>
      <w:r w:rsidRPr="00D93507">
        <w:rPr>
          <w:rFonts w:ascii="Arial" w:hAnsi="Arial" w:cs="Arial"/>
          <w:sz w:val="22"/>
          <w:szCs w:val="22"/>
          <w:lang w:val="en-US"/>
        </w:rPr>
        <w:t>.</w:t>
      </w:r>
    </w:p>
    <w:p w14:paraId="5129F061" w14:textId="77777777" w:rsidR="00047F97" w:rsidRPr="00D93507" w:rsidRDefault="00047F97" w:rsidP="00EB02B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95F3A7C" w14:textId="34C31ABE" w:rsidR="00244D70" w:rsidRPr="00D93507" w:rsidRDefault="006F7448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93507">
        <w:rPr>
          <w:rFonts w:ascii="Arial" w:hAnsi="Arial" w:cs="Arial"/>
          <w:b/>
          <w:sz w:val="22"/>
          <w:szCs w:val="22"/>
          <w:lang w:val="en-US"/>
        </w:rPr>
        <w:t>Branches and Employees per 100,000 people</w:t>
      </w:r>
    </w:p>
    <w:p w14:paraId="15536D55" w14:textId="77777777" w:rsidR="00926B08" w:rsidRPr="00D93507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14:paraId="3C9617E4" w14:textId="1F97A301" w:rsidR="00926B08" w:rsidRPr="00D93507" w:rsidRDefault="008601CB" w:rsidP="001E508C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93507">
        <w:rPr>
          <w:rFonts w:ascii="Arial" w:hAnsi="Arial" w:cs="Arial"/>
          <w:sz w:val="22"/>
          <w:szCs w:val="22"/>
          <w:lang w:val="en-US"/>
        </w:rPr>
        <w:t xml:space="preserve">As of </w:t>
      </w:r>
      <w:r w:rsidR="00C405D2" w:rsidRPr="00D93507">
        <w:rPr>
          <w:rFonts w:ascii="Arial" w:hAnsi="Arial" w:cs="Arial"/>
          <w:sz w:val="22"/>
          <w:szCs w:val="22"/>
          <w:lang w:val="en-US"/>
        </w:rPr>
        <w:t>September</w:t>
      </w:r>
      <w:r w:rsidR="00846D65" w:rsidRPr="00D93507">
        <w:rPr>
          <w:rFonts w:ascii="Arial" w:hAnsi="Arial" w:cs="Arial"/>
          <w:sz w:val="22"/>
          <w:szCs w:val="22"/>
          <w:lang w:val="en-US"/>
        </w:rPr>
        <w:t xml:space="preserve"> 2024</w:t>
      </w:r>
      <w:r w:rsidR="004170F1" w:rsidRPr="00D93507">
        <w:rPr>
          <w:rFonts w:ascii="Arial" w:hAnsi="Arial" w:cs="Arial"/>
          <w:sz w:val="22"/>
          <w:szCs w:val="22"/>
          <w:lang w:val="en-US"/>
        </w:rPr>
        <w:t>,</w:t>
      </w:r>
      <w:r w:rsidR="006F7448" w:rsidRPr="00D93507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Pr="00D93507">
        <w:rPr>
          <w:rFonts w:ascii="Arial" w:hAnsi="Arial" w:cs="Arial"/>
          <w:sz w:val="22"/>
          <w:szCs w:val="22"/>
          <w:lang w:val="en-US"/>
        </w:rPr>
        <w:t>100,000 people was</w:t>
      </w:r>
      <w:r w:rsidR="0024332E" w:rsidRPr="00D93507">
        <w:rPr>
          <w:rFonts w:ascii="Arial" w:hAnsi="Arial" w:cs="Arial"/>
          <w:sz w:val="22"/>
          <w:szCs w:val="22"/>
          <w:lang w:val="en-US"/>
        </w:rPr>
        <w:t xml:space="preserve"> 2</w:t>
      </w:r>
      <w:r w:rsidR="008C30BD" w:rsidRPr="00D93507">
        <w:rPr>
          <w:rFonts w:ascii="Arial" w:hAnsi="Arial" w:cs="Arial"/>
          <w:sz w:val="22"/>
          <w:szCs w:val="22"/>
          <w:lang w:val="en-US"/>
        </w:rPr>
        <w:t>2</w:t>
      </w:r>
      <w:r w:rsidR="00AE26A5" w:rsidRPr="00D93507">
        <w:rPr>
          <w:rFonts w:ascii="Arial" w:hAnsi="Arial" w:cs="Arial"/>
          <w:sz w:val="22"/>
          <w:szCs w:val="22"/>
          <w:lang w:val="en-US"/>
        </w:rPr>
        <w:t>1</w:t>
      </w:r>
      <w:r w:rsidR="0024332E" w:rsidRPr="00D93507">
        <w:rPr>
          <w:rFonts w:ascii="Arial" w:hAnsi="Arial" w:cs="Arial"/>
          <w:sz w:val="22"/>
          <w:szCs w:val="22"/>
          <w:lang w:val="en-US"/>
        </w:rPr>
        <w:t xml:space="preserve"> </w:t>
      </w:r>
      <w:r w:rsidRPr="00D93507">
        <w:rPr>
          <w:rFonts w:ascii="Arial" w:hAnsi="Arial" w:cs="Arial"/>
          <w:sz w:val="22"/>
          <w:szCs w:val="22"/>
          <w:lang w:val="en-US"/>
        </w:rPr>
        <w:t>and branches per 100,000 people was 1</w:t>
      </w:r>
      <w:r w:rsidR="00F74E30" w:rsidRPr="00D93507">
        <w:rPr>
          <w:rFonts w:ascii="Arial" w:hAnsi="Arial" w:cs="Arial"/>
          <w:sz w:val="22"/>
          <w:szCs w:val="22"/>
          <w:lang w:val="en-US"/>
        </w:rPr>
        <w:t>1.</w:t>
      </w:r>
    </w:p>
    <w:p w14:paraId="7FCB531C" w14:textId="77777777" w:rsidR="007B5FCE" w:rsidRPr="00D93507" w:rsidRDefault="007B5FCE" w:rsidP="00244D7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64049B7" w14:textId="77777777" w:rsidR="005126D8" w:rsidRPr="00D93507" w:rsidRDefault="0024332E" w:rsidP="005126D8">
      <w:pPr>
        <w:jc w:val="center"/>
        <w:rPr>
          <w:rFonts w:ascii="Arial" w:hAnsi="Arial" w:cs="Arial"/>
          <w:noProof/>
          <w:lang w:val="en-US" w:eastAsia="tr-TR"/>
        </w:rPr>
      </w:pPr>
      <w:r w:rsidRPr="00D93507">
        <w:rPr>
          <w:rFonts w:ascii="Arial" w:hAnsi="Arial" w:cs="Arial"/>
          <w:b/>
          <w:sz w:val="22"/>
          <w:lang w:val="en-US" w:eastAsia="tr-TR"/>
        </w:rPr>
        <w:t>Branches and Employees per 100,000 people</w:t>
      </w:r>
      <w:r w:rsidR="00926BDD" w:rsidRPr="00D93507">
        <w:rPr>
          <w:rFonts w:ascii="Arial" w:hAnsi="Arial" w:cs="Arial"/>
          <w:noProof/>
          <w:lang w:val="en-US" w:eastAsia="tr-TR"/>
        </w:rPr>
        <w:t xml:space="preserve">* </w:t>
      </w:r>
    </w:p>
    <w:p w14:paraId="5B58C4B9" w14:textId="6C73D35D" w:rsidR="00236CCD" w:rsidRPr="00D93507" w:rsidRDefault="00AE26A5" w:rsidP="005126D8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93507">
        <w:rPr>
          <w:rFonts w:ascii="Arial" w:hAnsi="Arial" w:cs="Arial"/>
          <w:noProof/>
        </w:rPr>
        <w:drawing>
          <wp:inline distT="0" distB="0" distL="0" distR="0" wp14:anchorId="3280811C" wp14:editId="7CD16F37">
            <wp:extent cx="4549877" cy="2241755"/>
            <wp:effectExtent l="0" t="0" r="3175" b="6350"/>
            <wp:docPr id="17766365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77FE5D7" w14:textId="6799E267" w:rsidR="00926BDD" w:rsidRPr="00D93507" w:rsidRDefault="007754DA" w:rsidP="00926BDD">
      <w:pPr>
        <w:jc w:val="both"/>
        <w:rPr>
          <w:rFonts w:ascii="Arial" w:hAnsi="Arial" w:cs="Arial"/>
          <w:sz w:val="18"/>
          <w:szCs w:val="22"/>
          <w:lang w:val="en-US"/>
        </w:rPr>
      </w:pPr>
      <w:r w:rsidRPr="00D93507">
        <w:rPr>
          <w:rFonts w:ascii="Arial" w:hAnsi="Arial" w:cs="Arial"/>
          <w:sz w:val="18"/>
          <w:szCs w:val="22"/>
          <w:lang w:val="en-US"/>
        </w:rPr>
        <w:t>*</w:t>
      </w:r>
      <w:r w:rsidR="00926BDD" w:rsidRPr="00D93507">
        <w:rPr>
          <w:rFonts w:ascii="Arial" w:hAnsi="Arial" w:cs="Arial"/>
          <w:sz w:val="18"/>
          <w:szCs w:val="22"/>
          <w:lang w:val="en-US"/>
        </w:rPr>
        <w:t xml:space="preserve"> </w:t>
      </w:r>
      <w:r w:rsidR="00C405D2" w:rsidRPr="00D93507">
        <w:rPr>
          <w:rFonts w:ascii="Arial" w:hAnsi="Arial" w:cs="Arial"/>
          <w:sz w:val="18"/>
          <w:szCs w:val="22"/>
          <w:lang w:val="en-US"/>
        </w:rPr>
        <w:t>September</w:t>
      </w:r>
      <w:r w:rsidR="00E7510A" w:rsidRPr="00D93507">
        <w:rPr>
          <w:rFonts w:ascii="Arial" w:hAnsi="Arial" w:cs="Arial"/>
          <w:sz w:val="18"/>
          <w:szCs w:val="22"/>
          <w:lang w:val="en-US"/>
        </w:rPr>
        <w:t xml:space="preserve"> 2024</w:t>
      </w:r>
      <w:r w:rsidR="00926BDD" w:rsidRPr="00D93507">
        <w:rPr>
          <w:rFonts w:ascii="Arial" w:hAnsi="Arial" w:cs="Arial"/>
          <w:sz w:val="18"/>
          <w:szCs w:val="22"/>
          <w:lang w:val="en-US"/>
        </w:rPr>
        <w:t xml:space="preserve"> population data were used in the </w:t>
      </w:r>
      <w:r w:rsidR="00BE078A" w:rsidRPr="00D93507">
        <w:rPr>
          <w:rFonts w:ascii="Arial" w:hAnsi="Arial" w:cs="Arial"/>
          <w:sz w:val="18"/>
          <w:szCs w:val="22"/>
          <w:lang w:val="en-US"/>
        </w:rPr>
        <w:t>2023</w:t>
      </w:r>
      <w:r w:rsidR="004B6F89" w:rsidRPr="00D93507">
        <w:rPr>
          <w:rFonts w:ascii="Arial" w:hAnsi="Arial" w:cs="Arial"/>
          <w:sz w:val="18"/>
          <w:szCs w:val="22"/>
          <w:lang w:val="en-US"/>
        </w:rPr>
        <w:t xml:space="preserve"> </w:t>
      </w:r>
      <w:r w:rsidR="00926BDD" w:rsidRPr="00D93507">
        <w:rPr>
          <w:rFonts w:ascii="Arial" w:hAnsi="Arial" w:cs="Arial"/>
          <w:sz w:val="18"/>
          <w:szCs w:val="22"/>
          <w:lang w:val="en-US"/>
        </w:rPr>
        <w:t>calculations.</w:t>
      </w:r>
    </w:p>
    <w:p w14:paraId="00A153E2" w14:textId="77777777" w:rsidR="00926B08" w:rsidRPr="00D93507" w:rsidRDefault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sectPr w:rsidR="00926B08" w:rsidRPr="00D93507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805D2" w14:textId="77777777" w:rsidR="003A5F74" w:rsidRDefault="003A5F74">
      <w:r>
        <w:separator/>
      </w:r>
    </w:p>
  </w:endnote>
  <w:endnote w:type="continuationSeparator" w:id="0">
    <w:p w14:paraId="55C7FE2B" w14:textId="77777777" w:rsidR="003A5F74" w:rsidRDefault="003A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C0922" w14:textId="77777777"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8749C6" w14:textId="77777777"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3A43B" w14:textId="47BE1336"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4629F4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204049D8" w14:textId="78649ED6"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C405D2">
      <w:rPr>
        <w:rFonts w:ascii="Arial" w:hAnsi="Arial"/>
        <w:sz w:val="18"/>
        <w:lang w:val="en-US"/>
      </w:rPr>
      <w:t>September</w:t>
    </w:r>
    <w:r w:rsidR="00846D65">
      <w:rPr>
        <w:rFonts w:ascii="Arial" w:hAnsi="Arial"/>
        <w:sz w:val="18"/>
        <w:lang w:val="en-US"/>
      </w:rPr>
      <w:t xml:space="preserve"> 2024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F586E" w14:textId="77777777"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D87CD1">
      <w:rPr>
        <w:rFonts w:ascii="Arial" w:hAnsi="Arial"/>
        <w:sz w:val="18"/>
        <w:lang w:val="en-US"/>
      </w:rPr>
      <w:t>December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59F87" w14:textId="77777777" w:rsidR="003A5F74" w:rsidRDefault="003A5F74">
      <w:r>
        <w:separator/>
      </w:r>
    </w:p>
  </w:footnote>
  <w:footnote w:type="continuationSeparator" w:id="0">
    <w:p w14:paraId="54FF75E1" w14:textId="77777777" w:rsidR="003A5F74" w:rsidRDefault="003A5F74">
      <w:r>
        <w:continuationSeparator/>
      </w:r>
    </w:p>
  </w:footnote>
  <w:footnote w:id="1">
    <w:p w14:paraId="11F6B778" w14:textId="77777777"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2966" w14:textId="77777777" w:rsidR="00C23A1D" w:rsidRDefault="00D62DB9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9264" behindDoc="0" locked="0" layoutInCell="1" allowOverlap="1" wp14:anchorId="139EFAAA" wp14:editId="5502FE7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6192" behindDoc="0" locked="0" layoutInCell="1" allowOverlap="1" wp14:anchorId="6EE9B3C2" wp14:editId="16A21C14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0DA2A" w14:textId="77777777" w:rsidR="00C23A1D" w:rsidRDefault="00D62DB9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 wp14:anchorId="641BF5D1" wp14:editId="1FB248DD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7216" behindDoc="0" locked="0" layoutInCell="1" allowOverlap="1" wp14:anchorId="15A21C61" wp14:editId="072783C4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31"/>
    <w:rsid w:val="0000213C"/>
    <w:rsid w:val="00004188"/>
    <w:rsid w:val="0000466B"/>
    <w:rsid w:val="000050AF"/>
    <w:rsid w:val="000050B9"/>
    <w:rsid w:val="000069DC"/>
    <w:rsid w:val="00006AA5"/>
    <w:rsid w:val="00010374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47F97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67A63"/>
    <w:rsid w:val="00070C35"/>
    <w:rsid w:val="00072556"/>
    <w:rsid w:val="00074145"/>
    <w:rsid w:val="0007424E"/>
    <w:rsid w:val="00075B25"/>
    <w:rsid w:val="00075E89"/>
    <w:rsid w:val="000769A9"/>
    <w:rsid w:val="00077C79"/>
    <w:rsid w:val="000849AA"/>
    <w:rsid w:val="000863FF"/>
    <w:rsid w:val="00086874"/>
    <w:rsid w:val="00087638"/>
    <w:rsid w:val="0009049A"/>
    <w:rsid w:val="00093979"/>
    <w:rsid w:val="00093E22"/>
    <w:rsid w:val="00094AB0"/>
    <w:rsid w:val="00094B92"/>
    <w:rsid w:val="00095340"/>
    <w:rsid w:val="000962A9"/>
    <w:rsid w:val="000A0422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2123"/>
    <w:rsid w:val="000C2B4B"/>
    <w:rsid w:val="000C31D0"/>
    <w:rsid w:val="000C3A2B"/>
    <w:rsid w:val="000C440E"/>
    <w:rsid w:val="000C455F"/>
    <w:rsid w:val="000C4966"/>
    <w:rsid w:val="000C49AD"/>
    <w:rsid w:val="000C57F1"/>
    <w:rsid w:val="000C5B28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060B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57EB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47B76"/>
    <w:rsid w:val="001524A6"/>
    <w:rsid w:val="00152F16"/>
    <w:rsid w:val="00155587"/>
    <w:rsid w:val="0015743F"/>
    <w:rsid w:val="0015793B"/>
    <w:rsid w:val="00164459"/>
    <w:rsid w:val="0016512A"/>
    <w:rsid w:val="00167C0B"/>
    <w:rsid w:val="00174934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7CF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E508C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2021A0"/>
    <w:rsid w:val="002034F7"/>
    <w:rsid w:val="00204092"/>
    <w:rsid w:val="002044C6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0ED9"/>
    <w:rsid w:val="00221BC6"/>
    <w:rsid w:val="00231114"/>
    <w:rsid w:val="00235332"/>
    <w:rsid w:val="0023669B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574F4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3578"/>
    <w:rsid w:val="002963C0"/>
    <w:rsid w:val="002A0A76"/>
    <w:rsid w:val="002A1998"/>
    <w:rsid w:val="002A4FB6"/>
    <w:rsid w:val="002A562E"/>
    <w:rsid w:val="002A5A6A"/>
    <w:rsid w:val="002B0CE4"/>
    <w:rsid w:val="002B25AE"/>
    <w:rsid w:val="002B2666"/>
    <w:rsid w:val="002B3000"/>
    <w:rsid w:val="002B56D6"/>
    <w:rsid w:val="002B5BD1"/>
    <w:rsid w:val="002B780D"/>
    <w:rsid w:val="002C26CE"/>
    <w:rsid w:val="002C5381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31AD"/>
    <w:rsid w:val="002F5768"/>
    <w:rsid w:val="002F5840"/>
    <w:rsid w:val="002F6901"/>
    <w:rsid w:val="002F721E"/>
    <w:rsid w:val="002F77B0"/>
    <w:rsid w:val="00300FE4"/>
    <w:rsid w:val="00301C5E"/>
    <w:rsid w:val="003023F5"/>
    <w:rsid w:val="003024B6"/>
    <w:rsid w:val="0030412D"/>
    <w:rsid w:val="00306FAF"/>
    <w:rsid w:val="00311537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2702"/>
    <w:rsid w:val="00373886"/>
    <w:rsid w:val="00374138"/>
    <w:rsid w:val="003751EA"/>
    <w:rsid w:val="0037538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172"/>
    <w:rsid w:val="003A1599"/>
    <w:rsid w:val="003A2365"/>
    <w:rsid w:val="003A3F79"/>
    <w:rsid w:val="003A5F74"/>
    <w:rsid w:val="003A718C"/>
    <w:rsid w:val="003A72A0"/>
    <w:rsid w:val="003B050C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50C3E"/>
    <w:rsid w:val="00452541"/>
    <w:rsid w:val="00454CD5"/>
    <w:rsid w:val="004600C1"/>
    <w:rsid w:val="00460C9D"/>
    <w:rsid w:val="0046246E"/>
    <w:rsid w:val="004624B7"/>
    <w:rsid w:val="00462985"/>
    <w:rsid w:val="004629F4"/>
    <w:rsid w:val="00463494"/>
    <w:rsid w:val="00463816"/>
    <w:rsid w:val="0046398B"/>
    <w:rsid w:val="00465595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A7E35"/>
    <w:rsid w:val="004B18F3"/>
    <w:rsid w:val="004B1D46"/>
    <w:rsid w:val="004B2378"/>
    <w:rsid w:val="004B3A57"/>
    <w:rsid w:val="004B40F3"/>
    <w:rsid w:val="004B4BF5"/>
    <w:rsid w:val="004B5D5E"/>
    <w:rsid w:val="004B63B0"/>
    <w:rsid w:val="004B6EF9"/>
    <w:rsid w:val="004B6F89"/>
    <w:rsid w:val="004C19C1"/>
    <w:rsid w:val="004C1EEA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4F1F77"/>
    <w:rsid w:val="00502BB2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1F9D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339E"/>
    <w:rsid w:val="00584F4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04BA"/>
    <w:rsid w:val="005D39F2"/>
    <w:rsid w:val="005D3E6D"/>
    <w:rsid w:val="005D481C"/>
    <w:rsid w:val="005D484D"/>
    <w:rsid w:val="005D520C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5F796C"/>
    <w:rsid w:val="00602956"/>
    <w:rsid w:val="00604D6E"/>
    <w:rsid w:val="00606292"/>
    <w:rsid w:val="00620DFE"/>
    <w:rsid w:val="00624797"/>
    <w:rsid w:val="006251AB"/>
    <w:rsid w:val="0062539E"/>
    <w:rsid w:val="006261F9"/>
    <w:rsid w:val="006309CF"/>
    <w:rsid w:val="00634029"/>
    <w:rsid w:val="00634250"/>
    <w:rsid w:val="006372CD"/>
    <w:rsid w:val="00640330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77D43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719"/>
    <w:rsid w:val="006A0843"/>
    <w:rsid w:val="006A0C48"/>
    <w:rsid w:val="006A123B"/>
    <w:rsid w:val="006A3537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094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0FD7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086D"/>
    <w:rsid w:val="007365E1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2700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055E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0C4"/>
    <w:rsid w:val="007F77A3"/>
    <w:rsid w:val="007F7EF8"/>
    <w:rsid w:val="008004E2"/>
    <w:rsid w:val="00802802"/>
    <w:rsid w:val="00803447"/>
    <w:rsid w:val="0080379E"/>
    <w:rsid w:val="0081044F"/>
    <w:rsid w:val="0081159C"/>
    <w:rsid w:val="00811BEA"/>
    <w:rsid w:val="00815BBE"/>
    <w:rsid w:val="00817196"/>
    <w:rsid w:val="00823520"/>
    <w:rsid w:val="0082471E"/>
    <w:rsid w:val="00827238"/>
    <w:rsid w:val="0083335C"/>
    <w:rsid w:val="008449F5"/>
    <w:rsid w:val="00844EE9"/>
    <w:rsid w:val="0084584F"/>
    <w:rsid w:val="00846766"/>
    <w:rsid w:val="00846D65"/>
    <w:rsid w:val="00847325"/>
    <w:rsid w:val="00847592"/>
    <w:rsid w:val="008508DE"/>
    <w:rsid w:val="00853579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142B"/>
    <w:rsid w:val="008C30BD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D4D11"/>
    <w:rsid w:val="008E1973"/>
    <w:rsid w:val="008E3608"/>
    <w:rsid w:val="008E51A4"/>
    <w:rsid w:val="008F1042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459E"/>
    <w:rsid w:val="009148F6"/>
    <w:rsid w:val="00916AA5"/>
    <w:rsid w:val="00922613"/>
    <w:rsid w:val="00923370"/>
    <w:rsid w:val="0092482C"/>
    <w:rsid w:val="00925EB8"/>
    <w:rsid w:val="00926B08"/>
    <w:rsid w:val="00926BDD"/>
    <w:rsid w:val="009321A6"/>
    <w:rsid w:val="00932DFF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0F6C"/>
    <w:rsid w:val="00954202"/>
    <w:rsid w:val="009576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ED1"/>
    <w:rsid w:val="009F1F6D"/>
    <w:rsid w:val="009F2376"/>
    <w:rsid w:val="009F4F3C"/>
    <w:rsid w:val="009F54BA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5F98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47C46"/>
    <w:rsid w:val="00A53D77"/>
    <w:rsid w:val="00A558CE"/>
    <w:rsid w:val="00A6024B"/>
    <w:rsid w:val="00A637F7"/>
    <w:rsid w:val="00A65F89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176"/>
    <w:rsid w:val="00AE1576"/>
    <w:rsid w:val="00AE26A5"/>
    <w:rsid w:val="00AE2797"/>
    <w:rsid w:val="00AE2F25"/>
    <w:rsid w:val="00AE323B"/>
    <w:rsid w:val="00AE4D5F"/>
    <w:rsid w:val="00AE7B4B"/>
    <w:rsid w:val="00AF23C4"/>
    <w:rsid w:val="00AF3596"/>
    <w:rsid w:val="00AF452C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14FF4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3D90"/>
    <w:rsid w:val="00B84D02"/>
    <w:rsid w:val="00B8565E"/>
    <w:rsid w:val="00B85AFC"/>
    <w:rsid w:val="00B87BFD"/>
    <w:rsid w:val="00B93CFE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78A"/>
    <w:rsid w:val="00BE0FF6"/>
    <w:rsid w:val="00BE2D97"/>
    <w:rsid w:val="00BE39AA"/>
    <w:rsid w:val="00BE61D0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075A3"/>
    <w:rsid w:val="00C11892"/>
    <w:rsid w:val="00C12902"/>
    <w:rsid w:val="00C15A4F"/>
    <w:rsid w:val="00C15EC0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05D2"/>
    <w:rsid w:val="00C44F1F"/>
    <w:rsid w:val="00C44F9F"/>
    <w:rsid w:val="00C46318"/>
    <w:rsid w:val="00C50E75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76E"/>
    <w:rsid w:val="00C91C59"/>
    <w:rsid w:val="00C930AD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128"/>
    <w:rsid w:val="00CC72A9"/>
    <w:rsid w:val="00CD032E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6E83"/>
    <w:rsid w:val="00D57CA8"/>
    <w:rsid w:val="00D622D7"/>
    <w:rsid w:val="00D62DB9"/>
    <w:rsid w:val="00D63169"/>
    <w:rsid w:val="00D6334E"/>
    <w:rsid w:val="00D63502"/>
    <w:rsid w:val="00D638AE"/>
    <w:rsid w:val="00D649C1"/>
    <w:rsid w:val="00D6592D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87CD1"/>
    <w:rsid w:val="00D900D0"/>
    <w:rsid w:val="00D9237E"/>
    <w:rsid w:val="00D933CE"/>
    <w:rsid w:val="00D93507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0FBC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540"/>
    <w:rsid w:val="00E00709"/>
    <w:rsid w:val="00E02F62"/>
    <w:rsid w:val="00E05055"/>
    <w:rsid w:val="00E0566F"/>
    <w:rsid w:val="00E05684"/>
    <w:rsid w:val="00E06A4C"/>
    <w:rsid w:val="00E06C98"/>
    <w:rsid w:val="00E113C4"/>
    <w:rsid w:val="00E1169F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22F7"/>
    <w:rsid w:val="00E531F0"/>
    <w:rsid w:val="00E5376F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7B2"/>
    <w:rsid w:val="00E72F71"/>
    <w:rsid w:val="00E74A75"/>
    <w:rsid w:val="00E7510A"/>
    <w:rsid w:val="00E770F9"/>
    <w:rsid w:val="00E82660"/>
    <w:rsid w:val="00E83224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3A50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711"/>
    <w:rsid w:val="00F21BE2"/>
    <w:rsid w:val="00F21E0F"/>
    <w:rsid w:val="00F22B15"/>
    <w:rsid w:val="00F2338E"/>
    <w:rsid w:val="00F24853"/>
    <w:rsid w:val="00F24B63"/>
    <w:rsid w:val="00F24C8C"/>
    <w:rsid w:val="00F2527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4E30"/>
    <w:rsid w:val="00F75582"/>
    <w:rsid w:val="00F75937"/>
    <w:rsid w:val="00F76D1D"/>
    <w:rsid w:val="00F81792"/>
    <w:rsid w:val="00F8271B"/>
    <w:rsid w:val="00F85B0B"/>
    <w:rsid w:val="00F86124"/>
    <w:rsid w:val="00F87EDC"/>
    <w:rsid w:val="00F91A4A"/>
    <w:rsid w:val="00F92584"/>
    <w:rsid w:val="00F9316F"/>
    <w:rsid w:val="00F959FB"/>
    <w:rsid w:val="00F95A0B"/>
    <w:rsid w:val="00F95F50"/>
    <w:rsid w:val="00FA0944"/>
    <w:rsid w:val="00FA2D19"/>
    <w:rsid w:val="00FA4204"/>
    <w:rsid w:val="00FA4F51"/>
    <w:rsid w:val="00FA5100"/>
    <w:rsid w:val="00FA51E3"/>
    <w:rsid w:val="00FA5643"/>
    <w:rsid w:val="00FA5731"/>
    <w:rsid w:val="00FA721F"/>
    <w:rsid w:val="00FA7FDA"/>
    <w:rsid w:val="00FB05FA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15F87046"/>
  <w15:docId w15:val="{486B4C77-51CE-4156-837E-ACFBE3E6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Eyl&#252;l%202024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Eyl&#252;l%202024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Eyl&#252;l%202024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Eyl&#252;l%202024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18-425C-97C7-68BD4FC0B272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18-425C-97C7-68BD4FC0B272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18-425C-97C7-68BD4FC0B272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418-425C-97C7-68BD4FC0B272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418-425C-97C7-68BD4FC0B272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18-425C-97C7-68BD4FC0B2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418-425C-97C7-68BD4FC0B2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22038144"/>
        <c:axId val="1722048480"/>
      </c:barChart>
      <c:catAx>
        <c:axId val="1722038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22048480"/>
        <c:crosses val="autoZero"/>
        <c:auto val="1"/>
        <c:lblAlgn val="ctr"/>
        <c:lblOffset val="100"/>
        <c:noMultiLvlLbl val="0"/>
      </c:catAx>
      <c:valAx>
        <c:axId val="1722048480"/>
        <c:scaling>
          <c:orientation val="minMax"/>
          <c:max val="63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72203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809521779688157E-2"/>
          <c:y val="0.74249324097645686"/>
          <c:w val="0.93381544290471186"/>
          <c:h val="0.230210171097033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79574568104362"/>
          <c:y val="0"/>
          <c:w val="0.78645865162377093"/>
          <c:h val="0.9735374943687769"/>
        </c:manualLayout>
      </c:layout>
      <c:doughnutChart>
        <c:varyColors val="1"/>
        <c:ser>
          <c:idx val="0"/>
          <c:order val="0"/>
          <c:tx>
            <c:strRef>
              <c:f>'cinsiyet-pay chart'!$A$23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rgbClr val="507DFA"/>
            </a:solidFill>
          </c:spPr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C11-4FA7-B154-91FCA0544FEE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C11-4FA7-B154-91FCA0544FEE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'cinsiyet-pay chart'!$B$22:$C$22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'cinsiyet-pay chart'!$B$23:$C$23</c:f>
              <c:numCache>
                <c:formatCode>#,##0</c:formatCode>
                <c:ptCount val="2"/>
                <c:pt idx="0">
                  <c:v>92298</c:v>
                </c:pt>
                <c:pt idx="1">
                  <c:v>96266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C11-4FA7-B154-91FCA0544FE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885-42D6-AF35-4722C08C1F51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885-42D6-AF35-4722C08C1F51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885-42D6-AF35-4722C08C1F51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885-42D6-AF35-4722C08C1F51}"/>
              </c:ext>
            </c:extLst>
          </c:dPt>
          <c:dLbls>
            <c:dLbl>
              <c:idx val="0"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893473873065711"/>
                      <c:h val="0.251826220684352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885-42D6-AF35-4722C08C1F51}"/>
                </c:ext>
              </c:extLst>
            </c:dLbl>
            <c:dLbl>
              <c:idx val="1"/>
              <c:layout>
                <c:manualLayout>
                  <c:x val="9.8676833370710926E-2"/>
                  <c:y val="-8.751328229300060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1172908723929132"/>
                      <c:h val="0.176855055747789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885-42D6-AF35-4722C08C1F51}"/>
                </c:ext>
              </c:extLst>
            </c:dLbl>
            <c:dLbl>
              <c:idx val="2"/>
              <c:layout>
                <c:manualLayout>
                  <c:x val="1.8865675542519507E-2"/>
                  <c:y val="-8.0964619906940705E-2"/>
                </c:manualLayout>
              </c:layout>
              <c:tx>
                <c:rich>
                  <a:bodyPr/>
                  <a:lstStyle/>
                  <a:p>
                    <a:fld id="{EF96D89A-8403-48E5-A035-50F398A9D6B4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970398715859099"/>
                      <c:h val="0.208923279053786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885-42D6-AF35-4722C08C1F5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E28B04D-AE90-4D3F-A502-652E949F962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5994617627270686"/>
                      <c:h val="0.184544405997693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885-42D6-AF35-4722C08C1F51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148.74100000000001</c:v>
                </c:pt>
                <c:pt idx="1">
                  <c:v>20.667999999999999</c:v>
                </c:pt>
                <c:pt idx="2">
                  <c:v>18.552</c:v>
                </c:pt>
                <c:pt idx="3">
                  <c:v>0.60299999999999998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885-42D6-AF35-4722C08C1F5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göre'!$J$2:$O$2</c:f>
              <c:strCach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Mar-2024</c:v>
                </c:pt>
                <c:pt idx="4">
                  <c:v>Jun-24</c:v>
                </c:pt>
                <c:pt idx="5">
                  <c:v>Sep-24</c:v>
                </c:pt>
              </c:strCache>
            </c:strRef>
          </c:cat>
          <c:val>
            <c:numRef>
              <c:f>'nüfusa göre'!$J$3:$O$3</c:f>
              <c:numCache>
                <c:formatCode>#,#00</c:formatCode>
                <c:ptCount val="6"/>
                <c:pt idx="0">
                  <c:v>11.563496022267193</c:v>
                </c:pt>
                <c:pt idx="1">
                  <c:v>11.328624107586492</c:v>
                </c:pt>
                <c:pt idx="2">
                  <c:v>11.136315407281742</c:v>
                </c:pt>
                <c:pt idx="3">
                  <c:v>11.123035733209115</c:v>
                </c:pt>
                <c:pt idx="4">
                  <c:v>11.082038866037431</c:v>
                </c:pt>
                <c:pt idx="5">
                  <c:v>11.079696187913335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35E-4EED-8FFF-0215051868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5697328"/>
        <c:axId val="1515702224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göre'!$J$2:$O$2</c:f>
              <c:strCach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Mar-2024</c:v>
                </c:pt>
                <c:pt idx="4">
                  <c:v>Jun-24</c:v>
                </c:pt>
                <c:pt idx="5">
                  <c:v>Sep-24</c:v>
                </c:pt>
              </c:strCache>
            </c:strRef>
          </c:cat>
          <c:val>
            <c:numRef>
              <c:f>'nüfusa göre'!$J$4:$O$4</c:f>
              <c:numCache>
                <c:formatCode>0</c:formatCode>
                <c:ptCount val="6"/>
                <c:pt idx="0">
                  <c:v>218.76169435589799</c:v>
                </c:pt>
                <c:pt idx="1">
                  <c:v>221.25702277074552</c:v>
                </c:pt>
                <c:pt idx="2">
                  <c:v>221.74952066176988</c:v>
                </c:pt>
                <c:pt idx="3">
                  <c:v>222.59776133444194</c:v>
                </c:pt>
                <c:pt idx="4">
                  <c:v>222.07651545183052</c:v>
                </c:pt>
                <c:pt idx="5">
                  <c:v>220.87237889604503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35E-4EED-8FFF-0215051868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3336064"/>
        <c:axId val="1515704400"/>
      </c:lineChart>
      <c:catAx>
        <c:axId val="151569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702224"/>
        <c:crosses val="autoZero"/>
        <c:auto val="1"/>
        <c:lblAlgn val="ctr"/>
        <c:lblOffset val="100"/>
        <c:noMultiLvlLbl val="0"/>
      </c:catAx>
      <c:valAx>
        <c:axId val="151570222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697328"/>
        <c:crosses val="autoZero"/>
        <c:crossBetween val="between"/>
        <c:majorUnit val="1"/>
      </c:valAx>
      <c:valAx>
        <c:axId val="1515704400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336064"/>
        <c:crosses val="max"/>
        <c:crossBetween val="between"/>
        <c:majorUnit val="10"/>
      </c:valAx>
      <c:catAx>
        <c:axId val="1953336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157044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0.10277</cdr:x>
      <cdr:y>0.58019</cdr:y>
    </cdr:from>
    <cdr:to>
      <cdr:x>0.5454</cdr:x>
      <cdr:y>0.66888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8328" y="735000"/>
          <a:ext cx="2232539" cy="11235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  <cdr:relSizeAnchor xmlns:cdr="http://schemas.openxmlformats.org/drawingml/2006/chartDrawing">
    <cdr:from>
      <cdr:x>0.03216</cdr:x>
      <cdr:y>0.47377</cdr:y>
    </cdr:from>
    <cdr:to>
      <cdr:x>0.55557</cdr:x>
      <cdr:y>0.63449</cdr:y>
    </cdr:to>
    <cdr:sp macro="" textlink="">
      <cdr:nvSpPr>
        <cdr:cNvPr id="3" name="Left Brace 2"/>
        <cdr:cNvSpPr/>
      </cdr:nvSpPr>
      <cdr:spPr>
        <a:xfrm xmlns:a="http://schemas.openxmlformats.org/drawingml/2006/main" rot="16200000">
          <a:off x="1380412" y="-617997"/>
          <a:ext cx="203604" cy="2639961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AA8CC-AFEE-473B-BA14-F25873AC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Güneş Taş Memiş</cp:lastModifiedBy>
  <cp:revision>85</cp:revision>
  <cp:lastPrinted>2019-10-25T07:35:00Z</cp:lastPrinted>
  <dcterms:created xsi:type="dcterms:W3CDTF">2022-01-26T11:03:00Z</dcterms:created>
  <dcterms:modified xsi:type="dcterms:W3CDTF">2024-12-10T07:03:00Z</dcterms:modified>
</cp:coreProperties>
</file>