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4E011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3802EDAC" w:rsidR="00C3793B" w:rsidRPr="004E0114" w:rsidRDefault="009F559B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September</w:t>
      </w:r>
      <w:r w:rsidR="00B22161">
        <w:rPr>
          <w:rFonts w:ascii="Arial" w:hAnsi="Arial" w:cs="Arial"/>
          <w:color w:val="000000" w:themeColor="text1"/>
          <w:szCs w:val="24"/>
          <w:lang w:val="en-US"/>
        </w:rPr>
        <w:t xml:space="preserve"> 2025</w:t>
      </w:r>
    </w:p>
    <w:p w14:paraId="39BA769F" w14:textId="77777777" w:rsidR="00C3793B" w:rsidRPr="004E0114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4E0114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4E0114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AA387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sz w:val="12"/>
          <w:szCs w:val="12"/>
        </w:rPr>
      </w:pPr>
    </w:p>
    <w:p w14:paraId="79717171" w14:textId="09481970" w:rsidR="00F74E30" w:rsidRPr="00AA387C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A387C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AA387C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AA387C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AA387C">
        <w:rPr>
          <w:rFonts w:ascii="Arial" w:hAnsi="Arial" w:cs="Arial"/>
          <w:sz w:val="22"/>
          <w:szCs w:val="22"/>
          <w:lang w:val="en-US"/>
        </w:rPr>
        <w:t xml:space="preserve"> </w:t>
      </w:r>
      <w:r w:rsidR="00A25F98" w:rsidRPr="00AA387C">
        <w:rPr>
          <w:rFonts w:ascii="Arial" w:hAnsi="Arial" w:cs="Arial"/>
          <w:sz w:val="22"/>
          <w:szCs w:val="22"/>
          <w:lang w:val="en-US"/>
        </w:rPr>
        <w:t>6</w:t>
      </w:r>
      <w:r w:rsidR="00AA387C" w:rsidRPr="00AA387C">
        <w:rPr>
          <w:rFonts w:ascii="Arial" w:hAnsi="Arial" w:cs="Arial"/>
          <w:sz w:val="22"/>
          <w:szCs w:val="22"/>
          <w:lang w:val="en-US"/>
        </w:rPr>
        <w:t>8</w:t>
      </w:r>
      <w:r w:rsidR="006E45EF" w:rsidRPr="00AA387C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AA387C">
        <w:rPr>
          <w:rFonts w:ascii="Arial" w:hAnsi="Arial" w:cs="Arial"/>
          <w:sz w:val="22"/>
          <w:szCs w:val="22"/>
          <w:lang w:val="en-US"/>
        </w:rPr>
        <w:t xml:space="preserve"> </w:t>
      </w:r>
      <w:r w:rsidR="00AA387C" w:rsidRPr="00AA387C">
        <w:rPr>
          <w:rFonts w:ascii="Arial" w:hAnsi="Arial" w:cs="Arial"/>
          <w:sz w:val="22"/>
          <w:szCs w:val="22"/>
          <w:lang w:val="en-US"/>
        </w:rPr>
        <w:t>September</w:t>
      </w:r>
      <w:r w:rsidR="00C17A9E" w:rsidRPr="00AA387C">
        <w:rPr>
          <w:rFonts w:ascii="Arial" w:hAnsi="Arial" w:cs="Arial"/>
          <w:sz w:val="22"/>
          <w:szCs w:val="22"/>
          <w:lang w:val="en-US"/>
        </w:rPr>
        <w:t xml:space="preserve"> 2025</w:t>
      </w:r>
      <w:r w:rsidR="00F21E0F" w:rsidRPr="00AA387C">
        <w:rPr>
          <w:rFonts w:ascii="Arial" w:hAnsi="Arial" w:cs="Arial"/>
          <w:sz w:val="22"/>
          <w:szCs w:val="22"/>
          <w:lang w:val="en-US"/>
        </w:rPr>
        <w:t xml:space="preserve"> with </w:t>
      </w:r>
      <w:r w:rsidRPr="00AA387C">
        <w:rPr>
          <w:rFonts w:ascii="Arial" w:hAnsi="Arial" w:cs="Arial"/>
          <w:sz w:val="22"/>
          <w:szCs w:val="22"/>
          <w:lang w:val="en-US"/>
        </w:rPr>
        <w:t>3</w:t>
      </w:r>
      <w:r w:rsidR="000C703E" w:rsidRPr="00AA387C">
        <w:rPr>
          <w:rFonts w:ascii="Arial" w:hAnsi="Arial" w:cs="Arial"/>
          <w:sz w:val="22"/>
          <w:szCs w:val="22"/>
          <w:lang w:val="en-US"/>
        </w:rPr>
        <w:t>8</w:t>
      </w:r>
      <w:r w:rsidRPr="00AA387C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AA387C">
        <w:rPr>
          <w:rFonts w:ascii="Arial" w:hAnsi="Arial" w:cs="Arial"/>
          <w:sz w:val="22"/>
          <w:szCs w:val="22"/>
          <w:lang w:val="en-US"/>
        </w:rPr>
        <w:t xml:space="preserve">in deposit banks group and </w:t>
      </w:r>
      <w:r w:rsidR="00A25F98" w:rsidRPr="00AA387C">
        <w:rPr>
          <w:rFonts w:ascii="Arial" w:hAnsi="Arial" w:cs="Arial"/>
          <w:sz w:val="22"/>
          <w:szCs w:val="22"/>
          <w:lang w:val="en-US"/>
        </w:rPr>
        <w:t>2</w:t>
      </w:r>
      <w:r w:rsidR="00AA387C" w:rsidRPr="00AA387C">
        <w:rPr>
          <w:rFonts w:ascii="Arial" w:hAnsi="Arial" w:cs="Arial"/>
          <w:sz w:val="22"/>
          <w:szCs w:val="22"/>
          <w:lang w:val="en-US"/>
        </w:rPr>
        <w:t>1</w:t>
      </w:r>
      <w:r w:rsidR="00823520" w:rsidRPr="00AA387C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AA387C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AA387C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AA387C">
        <w:rPr>
          <w:rFonts w:ascii="Arial" w:hAnsi="Arial" w:cs="Arial"/>
          <w:sz w:val="22"/>
          <w:szCs w:val="22"/>
          <w:lang w:val="en-US"/>
        </w:rPr>
        <w:t>, w</w:t>
      </w:r>
      <w:r w:rsidR="00823520" w:rsidRPr="00AA387C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AA387C">
        <w:rPr>
          <w:rFonts w:ascii="Arial" w:hAnsi="Arial" w:cs="Arial"/>
          <w:sz w:val="22"/>
          <w:szCs w:val="22"/>
          <w:lang w:val="en-US"/>
        </w:rPr>
        <w:t xml:space="preserve">also </w:t>
      </w:r>
      <w:r w:rsidR="00A25F98" w:rsidRPr="00AA387C">
        <w:rPr>
          <w:rFonts w:ascii="Arial" w:hAnsi="Arial" w:cs="Arial"/>
          <w:sz w:val="22"/>
          <w:szCs w:val="22"/>
          <w:lang w:val="en-US"/>
        </w:rPr>
        <w:t xml:space="preserve">9 </w:t>
      </w:r>
      <w:r w:rsidR="00823520" w:rsidRPr="00AA387C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AA387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19E8B3" w14:textId="77777777" w:rsidR="00A25F98" w:rsidRPr="009F559B" w:rsidRDefault="00A25F98" w:rsidP="00A25F98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4D00DD30" w14:textId="77777777" w:rsidR="00EC6DE3" w:rsidRPr="00AA387C" w:rsidRDefault="00996DEE" w:rsidP="004B4BF5">
      <w:pPr>
        <w:pStyle w:val="Heading9"/>
        <w:rPr>
          <w:rFonts w:ascii="Arial" w:hAnsi="Arial" w:cs="Arial"/>
          <w:lang w:val="en-US"/>
        </w:rPr>
      </w:pPr>
      <w:r w:rsidRPr="00AA387C">
        <w:rPr>
          <w:rFonts w:ascii="Arial" w:hAnsi="Arial" w:cs="Arial"/>
          <w:lang w:val="en-US"/>
        </w:rPr>
        <w:t>N</w:t>
      </w:r>
      <w:r w:rsidR="00EC6DE3" w:rsidRPr="00AA387C">
        <w:rPr>
          <w:rFonts w:ascii="Arial" w:hAnsi="Arial" w:cs="Arial"/>
          <w:lang w:val="en-US"/>
        </w:rPr>
        <w:t>umber of B</w:t>
      </w:r>
      <w:r w:rsidR="00982ADE" w:rsidRPr="00AA387C">
        <w:rPr>
          <w:rFonts w:ascii="Arial" w:hAnsi="Arial" w:cs="Arial"/>
          <w:lang w:val="en-US"/>
        </w:rPr>
        <w:t>anks in the System</w:t>
      </w:r>
    </w:p>
    <w:p w14:paraId="35326330" w14:textId="38B0CF80" w:rsidR="00AE7B4B" w:rsidRPr="009F559B" w:rsidRDefault="00AA387C" w:rsidP="004E0114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7215320C" wp14:editId="517C18A5">
            <wp:extent cx="5059045" cy="1266825"/>
            <wp:effectExtent l="0" t="0" r="825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AA387C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AA387C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AA387C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636E17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49BB1818" w14:textId="1D7F1AB1" w:rsidR="00EC6DE3" w:rsidRPr="00636E17" w:rsidRDefault="003F6C5A" w:rsidP="003F6C5A">
      <w:pPr>
        <w:pStyle w:val="Subtitle"/>
        <w:rPr>
          <w:rFonts w:cs="Arial"/>
          <w:lang w:val="en-US"/>
        </w:rPr>
      </w:pPr>
      <w:r w:rsidRPr="00636E17">
        <w:rPr>
          <w:rFonts w:cs="Arial"/>
          <w:lang w:val="en-US"/>
        </w:rPr>
        <w:t xml:space="preserve">Number of </w:t>
      </w:r>
      <w:r w:rsidR="000337BF" w:rsidRPr="00636E17">
        <w:rPr>
          <w:rFonts w:cs="Arial"/>
          <w:lang w:val="en-US"/>
        </w:rPr>
        <w:t>E</w:t>
      </w:r>
      <w:r w:rsidR="00EC6DE3" w:rsidRPr="00636E17">
        <w:rPr>
          <w:rFonts w:cs="Arial"/>
          <w:lang w:val="en-US"/>
        </w:rPr>
        <w:t>mployees</w:t>
      </w:r>
      <w:r w:rsidRPr="00636E17">
        <w:rPr>
          <w:rFonts w:cs="Arial"/>
          <w:lang w:val="en-US"/>
        </w:rPr>
        <w:t xml:space="preserve"> </w:t>
      </w:r>
    </w:p>
    <w:p w14:paraId="2998211E" w14:textId="77777777" w:rsidR="0066600F" w:rsidRPr="00636E17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3FE12502" w:rsidR="000F7651" w:rsidRPr="00CD1401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36E17">
        <w:rPr>
          <w:rFonts w:ascii="Arial" w:hAnsi="Arial" w:cs="Arial"/>
          <w:sz w:val="22"/>
          <w:szCs w:val="22"/>
          <w:lang w:val="en-US"/>
        </w:rPr>
        <w:t xml:space="preserve">As of </w:t>
      </w:r>
      <w:r w:rsidR="00636E17" w:rsidRPr="00636E17">
        <w:rPr>
          <w:rFonts w:ascii="Arial" w:hAnsi="Arial" w:cs="Arial"/>
          <w:sz w:val="22"/>
          <w:szCs w:val="22"/>
          <w:lang w:val="en-US"/>
        </w:rPr>
        <w:t>September</w:t>
      </w:r>
      <w:r w:rsidR="00C17A9E" w:rsidRPr="00636E17">
        <w:rPr>
          <w:rFonts w:ascii="Arial" w:hAnsi="Arial" w:cs="Arial"/>
          <w:sz w:val="22"/>
          <w:szCs w:val="22"/>
          <w:lang w:val="en-US"/>
        </w:rPr>
        <w:t xml:space="preserve"> 2025</w:t>
      </w:r>
      <w:r w:rsidRPr="00636E17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636E17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636E17" w:rsidRPr="00636E17">
        <w:rPr>
          <w:rFonts w:ascii="Arial" w:hAnsi="Arial" w:cs="Arial"/>
          <w:sz w:val="22"/>
          <w:szCs w:val="22"/>
          <w:lang w:val="en-US"/>
        </w:rPr>
        <w:t>187,981</w:t>
      </w:r>
      <w:r w:rsidR="00465595" w:rsidRPr="00636E17">
        <w:rPr>
          <w:rFonts w:ascii="Arial" w:hAnsi="Arial" w:cs="Arial"/>
          <w:sz w:val="22"/>
          <w:szCs w:val="22"/>
          <w:lang w:val="en-US"/>
        </w:rPr>
        <w:t>.</w:t>
      </w:r>
      <w:r w:rsidR="00846D65" w:rsidRPr="00636E1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CD1401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39E7DD40" w:rsidR="00E727B2" w:rsidRPr="00CD1401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D1401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636E17" w:rsidRPr="00CD1401">
        <w:rPr>
          <w:rFonts w:ascii="Arial" w:hAnsi="Arial" w:cs="Arial"/>
          <w:sz w:val="22"/>
          <w:szCs w:val="22"/>
          <w:lang w:val="en-US"/>
        </w:rPr>
        <w:t>increased</w:t>
      </w:r>
      <w:r w:rsidRPr="00CD1401">
        <w:rPr>
          <w:rFonts w:ascii="Arial" w:hAnsi="Arial" w:cs="Arial"/>
          <w:sz w:val="22"/>
          <w:szCs w:val="22"/>
          <w:lang w:val="en-US"/>
        </w:rPr>
        <w:t xml:space="preserve"> by </w:t>
      </w:r>
      <w:r w:rsidR="00B84A01">
        <w:rPr>
          <w:rFonts w:ascii="Arial" w:hAnsi="Arial" w:cs="Arial"/>
          <w:sz w:val="22"/>
          <w:szCs w:val="22"/>
          <w:lang w:val="en-US"/>
        </w:rPr>
        <w:t>931</w:t>
      </w:r>
      <w:r w:rsidRPr="00CD1401">
        <w:rPr>
          <w:rFonts w:ascii="Arial" w:hAnsi="Arial" w:cs="Arial"/>
          <w:sz w:val="22"/>
          <w:szCs w:val="22"/>
          <w:lang w:val="en-US"/>
        </w:rPr>
        <w:t xml:space="preserve"> as compared to previous quarter </w:t>
      </w:r>
      <w:r w:rsidR="007C0858" w:rsidRPr="00CD1401">
        <w:rPr>
          <w:rFonts w:ascii="Arial" w:hAnsi="Arial" w:cs="Arial"/>
          <w:sz w:val="22"/>
          <w:szCs w:val="22"/>
          <w:lang w:val="en-US"/>
        </w:rPr>
        <w:t>and</w:t>
      </w:r>
      <w:r w:rsidR="00F75937" w:rsidRPr="00CD1401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 w:rsidRPr="00CD1401">
        <w:rPr>
          <w:rFonts w:ascii="Arial" w:hAnsi="Arial" w:cs="Arial"/>
          <w:sz w:val="22"/>
          <w:szCs w:val="22"/>
          <w:lang w:val="en-US"/>
        </w:rPr>
        <w:t xml:space="preserve">decreased 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by </w:t>
      </w:r>
      <w:r w:rsidR="00636E17" w:rsidRPr="00CD1401">
        <w:rPr>
          <w:rFonts w:ascii="Arial" w:hAnsi="Arial" w:cs="Arial"/>
          <w:sz w:val="22"/>
          <w:szCs w:val="22"/>
          <w:lang w:val="en-US"/>
        </w:rPr>
        <w:t>585</w:t>
      </w:r>
      <w:r w:rsidR="002935DE" w:rsidRPr="00CD1401">
        <w:rPr>
          <w:rFonts w:ascii="Arial" w:hAnsi="Arial" w:cs="Arial"/>
          <w:sz w:val="22"/>
          <w:szCs w:val="22"/>
          <w:lang w:val="en-US"/>
        </w:rPr>
        <w:t xml:space="preserve"> </w:t>
      </w:r>
      <w:r w:rsidRPr="00CD1401">
        <w:rPr>
          <w:rFonts w:ascii="Arial" w:hAnsi="Arial" w:cs="Arial"/>
          <w:sz w:val="22"/>
          <w:szCs w:val="22"/>
          <w:lang w:val="en-US"/>
        </w:rPr>
        <w:t>to</w:t>
      </w:r>
      <w:r w:rsidR="00C03169" w:rsidRPr="00CD1401">
        <w:rPr>
          <w:rFonts w:ascii="Arial" w:hAnsi="Arial" w:cs="Arial"/>
          <w:sz w:val="22"/>
          <w:szCs w:val="22"/>
          <w:lang w:val="en-US"/>
        </w:rPr>
        <w:t xml:space="preserve"> </w:t>
      </w:r>
      <w:r w:rsidR="00636E17" w:rsidRPr="00CD1401">
        <w:rPr>
          <w:rFonts w:ascii="Arial" w:hAnsi="Arial" w:cs="Arial"/>
          <w:sz w:val="22"/>
          <w:szCs w:val="22"/>
          <w:lang w:val="en-US"/>
        </w:rPr>
        <w:t>September</w:t>
      </w:r>
      <w:r w:rsidR="001F678D" w:rsidRPr="00CD1401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CD1401">
        <w:rPr>
          <w:rFonts w:ascii="Arial" w:hAnsi="Arial" w:cs="Arial"/>
          <w:sz w:val="22"/>
          <w:szCs w:val="22"/>
          <w:lang w:val="en-US"/>
        </w:rPr>
        <w:t>.</w:t>
      </w:r>
      <w:r w:rsidR="004A7E35" w:rsidRPr="00CD1401">
        <w:rPr>
          <w:rFonts w:ascii="Arial" w:hAnsi="Arial" w:cs="Arial"/>
        </w:rPr>
        <w:t xml:space="preserve"> </w:t>
      </w:r>
    </w:p>
    <w:p w14:paraId="560F7E6E" w14:textId="77777777" w:rsidR="007C0858" w:rsidRPr="00CD1401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7CE47E55" w:rsidR="007C0858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D1401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636E17" w:rsidRPr="00CD1401">
        <w:rPr>
          <w:rFonts w:ascii="Arial" w:hAnsi="Arial" w:cs="Arial"/>
          <w:sz w:val="22"/>
          <w:szCs w:val="22"/>
          <w:lang w:val="en-US"/>
        </w:rPr>
        <w:t>September</w:t>
      </w:r>
      <w:r w:rsidR="00633AEE" w:rsidRPr="00CD1401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CD1401">
        <w:rPr>
          <w:rFonts w:ascii="Arial" w:hAnsi="Arial" w:cs="Arial"/>
          <w:sz w:val="22"/>
          <w:szCs w:val="22"/>
          <w:lang w:val="en-US"/>
        </w:rPr>
        <w:t>, t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C405D2" w:rsidRPr="00CD1401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 by </w:t>
      </w:r>
      <w:r w:rsidR="00CD1401" w:rsidRPr="00CD1401">
        <w:rPr>
          <w:rFonts w:ascii="Arial" w:hAnsi="Arial" w:cs="Arial"/>
          <w:sz w:val="22"/>
          <w:szCs w:val="22"/>
          <w:lang w:val="en-US"/>
        </w:rPr>
        <w:t>695</w:t>
      </w:r>
      <w:r w:rsidR="00AF23C4" w:rsidRPr="00CD1401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CD1401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by </w:t>
      </w:r>
      <w:r w:rsidR="00CD1401" w:rsidRPr="00CD1401">
        <w:rPr>
          <w:rFonts w:ascii="Arial" w:hAnsi="Arial" w:cs="Arial"/>
          <w:sz w:val="22"/>
          <w:szCs w:val="22"/>
          <w:lang w:val="en-US"/>
        </w:rPr>
        <w:t>11</w:t>
      </w:r>
      <w:r w:rsidR="00633AEE" w:rsidRPr="00CD1401">
        <w:rPr>
          <w:rFonts w:ascii="Arial" w:hAnsi="Arial" w:cs="Arial"/>
          <w:sz w:val="22"/>
          <w:szCs w:val="22"/>
          <w:lang w:val="en-US"/>
        </w:rPr>
        <w:t>0</w:t>
      </w:r>
      <w:r w:rsidR="007C0858" w:rsidRPr="00CD1401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64CF731F" w14:textId="0506E020" w:rsidR="00B84A01" w:rsidRDefault="00B84A01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8E1833E" w14:textId="77777777" w:rsidR="003E2958" w:rsidRPr="009F559B" w:rsidRDefault="003E2958" w:rsidP="007C0858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4A6ED60" w14:textId="77777777" w:rsidR="000F7651" w:rsidRPr="009F559B" w:rsidRDefault="000F7651" w:rsidP="009B41D0">
      <w:pPr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14:paraId="58C5A45D" w14:textId="09EDFCC0" w:rsidR="004E0114" w:rsidRPr="00CD1401" w:rsidRDefault="006F1D37" w:rsidP="00E23C12">
      <w:pPr>
        <w:pStyle w:val="Heading9"/>
        <w:rPr>
          <w:rFonts w:ascii="Arial" w:hAnsi="Arial" w:cs="Arial"/>
          <w:lang w:val="en-US"/>
        </w:rPr>
      </w:pPr>
      <w:r w:rsidRPr="00CD1401">
        <w:rPr>
          <w:rFonts w:ascii="Arial" w:hAnsi="Arial" w:cs="Arial"/>
          <w:lang w:val="en-US"/>
        </w:rPr>
        <w:t>Number of Employees</w:t>
      </w:r>
      <w:r w:rsidR="000F5F1A" w:rsidRPr="00CD1401">
        <w:rPr>
          <w:rFonts w:ascii="Arial" w:hAnsi="Arial" w:cs="Arial"/>
          <w:lang w:val="en-US"/>
        </w:rPr>
        <w:t xml:space="preserve"> </w:t>
      </w:r>
      <w:r w:rsidR="007365E1" w:rsidRPr="00CD1401">
        <w:rPr>
          <w:rFonts w:ascii="Arial" w:hAnsi="Arial" w:cs="Arial"/>
          <w:lang w:val="en-US"/>
        </w:rPr>
        <w:t>(</w:t>
      </w:r>
      <w:r w:rsidR="00AF23C4" w:rsidRPr="00CD1401">
        <w:rPr>
          <w:rFonts w:ascii="Arial" w:hAnsi="Arial" w:cs="Arial"/>
          <w:bCs/>
          <w:lang w:val="en-US"/>
        </w:rPr>
        <w:t>thousand people</w:t>
      </w:r>
      <w:r w:rsidR="00E06A4C" w:rsidRPr="00CD1401">
        <w:rPr>
          <w:rFonts w:ascii="Arial" w:hAnsi="Arial" w:cs="Arial"/>
          <w:lang w:val="en-US"/>
        </w:rPr>
        <w:t>)</w:t>
      </w:r>
    </w:p>
    <w:p w14:paraId="25A9E0BC" w14:textId="4B0BC517" w:rsidR="00E23C12" w:rsidRPr="009F559B" w:rsidRDefault="00CD1401" w:rsidP="008017AF">
      <w:pPr>
        <w:jc w:val="center"/>
        <w:rPr>
          <w:rFonts w:ascii="Arial" w:hAnsi="Arial" w:cs="Arial"/>
          <w:b/>
          <w:bCs/>
          <w:color w:val="FF0000"/>
          <w:szCs w:val="22"/>
          <w:lang w:val="en-US"/>
        </w:rPr>
      </w:pPr>
      <w:r>
        <w:rPr>
          <w:rFonts w:ascii="Arial" w:hAnsi="Arial" w:cs="Arial"/>
          <w:b/>
          <w:bCs/>
          <w:noProof/>
          <w:color w:val="FF0000"/>
          <w:szCs w:val="22"/>
          <w:lang w:eastAsia="tr-TR"/>
        </w:rPr>
        <w:drawing>
          <wp:inline distT="0" distB="0" distL="0" distR="0" wp14:anchorId="786FBEB1" wp14:editId="374772CC">
            <wp:extent cx="3956685" cy="2164080"/>
            <wp:effectExtent l="0" t="0" r="571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F4C2C" w14:textId="77777777" w:rsidR="00D12D0D" w:rsidRPr="009F559B" w:rsidRDefault="00D12D0D" w:rsidP="004E0114">
      <w:pPr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240BD98C" w14:textId="77777777" w:rsidR="00D12D0D" w:rsidRPr="009F559B" w:rsidRDefault="00D12D0D" w:rsidP="004E0114">
      <w:pPr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111A0647" w14:textId="3E7EDDB2" w:rsidR="00425999" w:rsidRPr="00DF7E7E" w:rsidRDefault="00300FE4" w:rsidP="004E0114">
      <w:pPr>
        <w:rPr>
          <w:rFonts w:ascii="Arial" w:hAnsi="Arial" w:cs="Arial"/>
          <w:b/>
          <w:bCs/>
          <w:noProof/>
        </w:rPr>
      </w:pPr>
      <w:r w:rsidRPr="00DF7E7E">
        <w:rPr>
          <w:rFonts w:ascii="Arial" w:hAnsi="Arial" w:cs="Arial"/>
          <w:b/>
          <w:bCs/>
          <w:szCs w:val="22"/>
          <w:lang w:val="en-US"/>
        </w:rPr>
        <w:t xml:space="preserve">Bank </w:t>
      </w:r>
      <w:r w:rsidRPr="00DF7E7E">
        <w:rPr>
          <w:rFonts w:ascii="Arial" w:hAnsi="Arial" w:cs="Arial"/>
          <w:b/>
          <w:bCs/>
          <w:lang w:val="en-US"/>
        </w:rPr>
        <w:t xml:space="preserve">Employees by Gender and </w:t>
      </w:r>
      <w:r w:rsidR="00425999" w:rsidRPr="00DF7E7E">
        <w:rPr>
          <w:rFonts w:ascii="Arial" w:hAnsi="Arial" w:cs="Arial"/>
          <w:b/>
          <w:bCs/>
          <w:lang w:val="en-US"/>
        </w:rPr>
        <w:t xml:space="preserve">Education Level </w:t>
      </w:r>
    </w:p>
    <w:p w14:paraId="2E6F9D66" w14:textId="77777777" w:rsidR="00425999" w:rsidRPr="00DF7E7E" w:rsidRDefault="00425999" w:rsidP="001E1244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AF61019" w14:textId="23299A9C" w:rsidR="00300FE4" w:rsidRPr="00DF7E7E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DF7E7E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DF7E7E" w:rsidRPr="00DF7E7E">
        <w:rPr>
          <w:rFonts w:ascii="Arial" w:hAnsi="Arial" w:cs="Arial"/>
          <w:snapToGrid w:val="0"/>
          <w:sz w:val="22"/>
          <w:szCs w:val="22"/>
          <w:lang w:val="en-US"/>
        </w:rPr>
        <w:t>September</w:t>
      </w:r>
      <w:r w:rsidR="0083681C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 2025</w:t>
      </w:r>
      <w:r w:rsidR="00B93CFE" w:rsidRPr="00DF7E7E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0C703E" w:rsidRPr="00DF7E7E">
        <w:rPr>
          <w:rFonts w:ascii="Arial" w:hAnsi="Arial" w:cs="Arial"/>
          <w:snapToGrid w:val="0"/>
          <w:sz w:val="22"/>
          <w:szCs w:val="22"/>
          <w:lang w:val="en-US"/>
        </w:rPr>
        <w:t>51.</w:t>
      </w:r>
      <w:r w:rsidR="00DF7E7E" w:rsidRPr="00DF7E7E">
        <w:rPr>
          <w:rFonts w:ascii="Arial" w:hAnsi="Arial" w:cs="Arial"/>
          <w:snapToGrid w:val="0"/>
          <w:sz w:val="22"/>
          <w:szCs w:val="22"/>
          <w:lang w:val="en-US"/>
        </w:rPr>
        <w:t>3</w:t>
      </w:r>
      <w:r w:rsidR="001B1AA9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DF7E7E" w:rsidRPr="00DF7E7E">
        <w:rPr>
          <w:rFonts w:ascii="Arial" w:hAnsi="Arial" w:cs="Arial"/>
          <w:snapToGrid w:val="0"/>
          <w:sz w:val="22"/>
          <w:szCs w:val="22"/>
          <w:lang w:val="en-US"/>
        </w:rPr>
        <w:t>48.7</w:t>
      </w:r>
      <w:r w:rsidR="00B93CFE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DF7E7E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DF7E7E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44BA3E1E" w14:textId="136503F3" w:rsidR="00D93507" w:rsidRPr="00DF7E7E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7E7E">
        <w:rPr>
          <w:rFonts w:ascii="Arial" w:hAnsi="Arial" w:cs="Arial"/>
          <w:sz w:val="22"/>
          <w:szCs w:val="22"/>
          <w:lang w:val="en-US"/>
        </w:rPr>
        <w:t xml:space="preserve">Regarding the education level of bank employees, </w:t>
      </w:r>
      <w:r w:rsidR="00DF7E7E" w:rsidRPr="00DF7E7E">
        <w:rPr>
          <w:rFonts w:ascii="Arial" w:hAnsi="Arial" w:cs="Arial"/>
          <w:sz w:val="22"/>
          <w:szCs w:val="22"/>
          <w:lang w:val="en-US"/>
        </w:rPr>
        <w:t>81</w:t>
      </w:r>
      <w:r w:rsidR="003D3BA7" w:rsidRPr="00DF7E7E">
        <w:rPr>
          <w:rFonts w:ascii="Arial" w:hAnsi="Arial" w:cs="Arial"/>
          <w:sz w:val="22"/>
          <w:szCs w:val="22"/>
          <w:lang w:val="en-US"/>
        </w:rPr>
        <w:t xml:space="preserve"> </w:t>
      </w:r>
      <w:r w:rsidRPr="00DF7E7E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DF7E7E">
        <w:rPr>
          <w:rFonts w:ascii="Arial" w:hAnsi="Arial" w:cs="Arial"/>
          <w:sz w:val="22"/>
          <w:szCs w:val="22"/>
          <w:lang w:val="en-US"/>
        </w:rPr>
        <w:t xml:space="preserve"> and </w:t>
      </w:r>
      <w:r w:rsidR="004E0114" w:rsidRPr="00DF7E7E">
        <w:rPr>
          <w:rFonts w:ascii="Arial" w:hAnsi="Arial" w:cs="Arial"/>
          <w:sz w:val="22"/>
          <w:szCs w:val="22"/>
          <w:lang w:val="en-US"/>
        </w:rPr>
        <w:t xml:space="preserve">10 </w:t>
      </w:r>
      <w:r w:rsidR="00116F15" w:rsidRPr="00DF7E7E">
        <w:rPr>
          <w:rFonts w:ascii="Arial" w:hAnsi="Arial" w:cs="Arial"/>
          <w:sz w:val="22"/>
          <w:szCs w:val="22"/>
          <w:lang w:val="en-US"/>
        </w:rPr>
        <w:t>percent in postgraduate degrees</w:t>
      </w:r>
      <w:r w:rsidRPr="00DF7E7E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B84A01">
        <w:rPr>
          <w:rFonts w:ascii="Arial" w:hAnsi="Arial" w:cs="Arial"/>
          <w:sz w:val="22"/>
          <w:szCs w:val="22"/>
          <w:lang w:val="en-US"/>
        </w:rPr>
        <w:t>Septe</w:t>
      </w:r>
      <w:r w:rsidR="00DF7E7E" w:rsidRPr="00DF7E7E">
        <w:rPr>
          <w:rFonts w:ascii="Arial" w:hAnsi="Arial" w:cs="Arial"/>
          <w:sz w:val="22"/>
          <w:szCs w:val="22"/>
          <w:lang w:val="en-US"/>
        </w:rPr>
        <w:t>mber</w:t>
      </w:r>
      <w:r w:rsidR="0083681C" w:rsidRPr="00DF7E7E">
        <w:rPr>
          <w:rFonts w:ascii="Arial" w:hAnsi="Arial" w:cs="Arial"/>
          <w:sz w:val="22"/>
          <w:szCs w:val="22"/>
          <w:lang w:val="en-US"/>
        </w:rPr>
        <w:t xml:space="preserve"> 2025</w:t>
      </w:r>
      <w:r w:rsidRPr="00DF7E7E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DF7E7E">
        <w:rPr>
          <w:rFonts w:ascii="Arial" w:hAnsi="Arial" w:cs="Arial"/>
          <w:sz w:val="22"/>
          <w:szCs w:val="22"/>
          <w:lang w:val="en-US"/>
        </w:rPr>
        <w:t>share of</w:t>
      </w:r>
      <w:r w:rsidRPr="00DF7E7E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DF7E7E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Pr="00DF7E7E">
        <w:rPr>
          <w:rFonts w:ascii="Arial" w:hAnsi="Arial" w:cs="Arial"/>
          <w:sz w:val="22"/>
          <w:szCs w:val="22"/>
          <w:lang w:val="en-US"/>
        </w:rPr>
        <w:t>1</w:t>
      </w:r>
      <w:r w:rsidR="00D12D0D" w:rsidRPr="00DF7E7E">
        <w:rPr>
          <w:rFonts w:ascii="Arial" w:hAnsi="Arial" w:cs="Arial"/>
          <w:sz w:val="22"/>
          <w:szCs w:val="22"/>
          <w:lang w:val="en-US"/>
        </w:rPr>
        <w:t>0</w:t>
      </w:r>
      <w:r w:rsidR="00220ED9" w:rsidRPr="00DF7E7E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DF7E7E">
        <w:rPr>
          <w:rFonts w:ascii="Arial" w:hAnsi="Arial" w:cs="Arial"/>
          <w:sz w:val="22"/>
          <w:szCs w:val="22"/>
          <w:lang w:val="en-US"/>
        </w:rPr>
        <w:t>.</w:t>
      </w:r>
    </w:p>
    <w:p w14:paraId="6AFF29C1" w14:textId="77777777" w:rsidR="001E1244" w:rsidRPr="00DF7E7E" w:rsidRDefault="001E1244" w:rsidP="00FA7FDA">
      <w:pPr>
        <w:rPr>
          <w:rFonts w:ascii="Arial" w:hAnsi="Arial" w:cs="Arial"/>
          <w:sz w:val="22"/>
          <w:szCs w:val="22"/>
          <w:lang w:val="en-US" w:eastAsia="ko-KR"/>
        </w:rPr>
      </w:pPr>
    </w:p>
    <w:p w14:paraId="59F1CDB8" w14:textId="04FD560D" w:rsidR="00AF452C" w:rsidRPr="00DF7E7E" w:rsidRDefault="00B84A01" w:rsidP="00AF452C">
      <w:pPr>
        <w:pStyle w:val="Heading9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C013604" wp14:editId="031D80AB">
            <wp:simplePos x="0" y="0"/>
            <wp:positionH relativeFrom="column">
              <wp:posOffset>2121535</wp:posOffset>
            </wp:positionH>
            <wp:positionV relativeFrom="paragraph">
              <wp:posOffset>238564</wp:posOffset>
            </wp:positionV>
            <wp:extent cx="3499485" cy="1969135"/>
            <wp:effectExtent l="0" t="0" r="571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0FE4" w:rsidRPr="00DF7E7E">
        <w:rPr>
          <w:rFonts w:ascii="Arial" w:hAnsi="Arial" w:cs="Arial"/>
          <w:szCs w:val="22"/>
          <w:lang w:val="en-US"/>
        </w:rPr>
        <w:t xml:space="preserve">Bank </w:t>
      </w:r>
      <w:r w:rsidR="00300FE4" w:rsidRPr="00DF7E7E">
        <w:rPr>
          <w:rFonts w:ascii="Arial" w:hAnsi="Arial" w:cs="Arial"/>
          <w:lang w:val="en-US"/>
        </w:rPr>
        <w:t>Employees by Gender</w:t>
      </w:r>
      <w:r w:rsidR="00AF452C" w:rsidRPr="00DF7E7E">
        <w:rPr>
          <w:rFonts w:ascii="Arial" w:hAnsi="Arial" w:cs="Arial"/>
          <w:lang w:val="en-US"/>
        </w:rPr>
        <w:t xml:space="preserve"> and Education Level</w:t>
      </w:r>
    </w:p>
    <w:p w14:paraId="2800B38B" w14:textId="590A8E2E" w:rsidR="00E23C12" w:rsidRPr="009F559B" w:rsidRDefault="00DF7E7E" w:rsidP="00E23C12">
      <w:pPr>
        <w:rPr>
          <w:color w:val="FF0000"/>
          <w:lang w:val="en-US" w:eastAsia="tr-TR"/>
        </w:rPr>
      </w:pPr>
      <w:r>
        <w:rPr>
          <w:rFonts w:ascii="Arial" w:hAnsi="Arial" w:cs="Arial"/>
          <w:noProof/>
          <w:color w:val="FF0000"/>
          <w:lang w:eastAsia="tr-TR"/>
        </w:rPr>
        <w:drawing>
          <wp:anchor distT="0" distB="0" distL="114300" distR="114300" simplePos="0" relativeHeight="251655168" behindDoc="0" locked="0" layoutInCell="1" allowOverlap="1" wp14:anchorId="02A578A9" wp14:editId="4C17391D">
            <wp:simplePos x="0" y="0"/>
            <wp:positionH relativeFrom="column">
              <wp:posOffset>2345</wp:posOffset>
            </wp:positionH>
            <wp:positionV relativeFrom="paragraph">
              <wp:posOffset>137550</wp:posOffset>
            </wp:positionV>
            <wp:extent cx="2194560" cy="196913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6DF3EC" w14:textId="6C16F149" w:rsidR="00AF452C" w:rsidRPr="009F559B" w:rsidRDefault="00300FE4" w:rsidP="00AF452C">
      <w:pPr>
        <w:pStyle w:val="Heading9"/>
        <w:rPr>
          <w:rFonts w:ascii="Arial" w:hAnsi="Arial" w:cs="Arial"/>
          <w:color w:val="FF0000"/>
          <w:lang w:val="en-US"/>
        </w:rPr>
      </w:pPr>
      <w:r w:rsidRPr="009F559B">
        <w:rPr>
          <w:rFonts w:ascii="Arial" w:hAnsi="Arial" w:cs="Arial"/>
          <w:color w:val="FF0000"/>
          <w:lang w:val="en-US"/>
        </w:rPr>
        <w:t xml:space="preserve"> </w:t>
      </w:r>
    </w:p>
    <w:p w14:paraId="113363AD" w14:textId="17D2D27F" w:rsidR="00AF452C" w:rsidRPr="009F559B" w:rsidRDefault="004E0114" w:rsidP="002C5381">
      <w:pPr>
        <w:jc w:val="right"/>
        <w:rPr>
          <w:rFonts w:ascii="Arial" w:hAnsi="Arial" w:cs="Arial"/>
          <w:color w:val="FF0000"/>
          <w:lang w:val="en-US" w:eastAsia="tr-TR"/>
        </w:rPr>
      </w:pPr>
      <w:r w:rsidRPr="009F559B">
        <w:rPr>
          <w:noProof/>
          <w:color w:val="FF0000"/>
        </w:rPr>
        <w:t xml:space="preserve"> </w:t>
      </w:r>
    </w:p>
    <w:p w14:paraId="7E3613D3" w14:textId="26C2FF3E" w:rsidR="00382C51" w:rsidRPr="00DF7E7E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lang w:val="en-US"/>
        </w:rPr>
      </w:pPr>
      <w:r w:rsidRPr="00DF7E7E">
        <w:rPr>
          <w:rFonts w:ascii="Arial" w:hAnsi="Arial" w:cs="Arial"/>
          <w:b w:val="0"/>
          <w:szCs w:val="22"/>
          <w:lang w:val="en-US"/>
        </w:rPr>
        <w:t>4</w:t>
      </w:r>
      <w:r w:rsidR="00DF7E7E" w:rsidRPr="00DF7E7E">
        <w:rPr>
          <w:rFonts w:ascii="Arial" w:hAnsi="Arial" w:cs="Arial"/>
          <w:b w:val="0"/>
          <w:szCs w:val="22"/>
          <w:lang w:val="en-US"/>
        </w:rPr>
        <w:t>5</w:t>
      </w:r>
      <w:r w:rsidR="00CF4D4C" w:rsidRPr="00DF7E7E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DF7E7E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DF7E7E">
        <w:rPr>
          <w:rFonts w:ascii="Arial" w:hAnsi="Arial" w:cs="Arial"/>
          <w:b w:val="0"/>
          <w:szCs w:val="22"/>
          <w:lang w:val="en-US"/>
        </w:rPr>
        <w:t>ar</w:t>
      </w:r>
      <w:r w:rsidRPr="00DF7E7E">
        <w:rPr>
          <w:rFonts w:ascii="Arial" w:hAnsi="Arial" w:cs="Arial"/>
          <w:b w:val="0"/>
          <w:szCs w:val="22"/>
          <w:lang w:val="en-US"/>
        </w:rPr>
        <w:t xml:space="preserve">e in the 36-45 age range, and </w:t>
      </w:r>
      <w:r w:rsidR="00E913F1" w:rsidRPr="00DF7E7E">
        <w:rPr>
          <w:rFonts w:ascii="Arial" w:hAnsi="Arial" w:cs="Arial"/>
          <w:b w:val="0"/>
          <w:szCs w:val="22"/>
          <w:lang w:val="en-US"/>
        </w:rPr>
        <w:t>3</w:t>
      </w:r>
      <w:r w:rsidR="00DF7E7E" w:rsidRPr="00DF7E7E">
        <w:rPr>
          <w:rFonts w:ascii="Arial" w:hAnsi="Arial" w:cs="Arial"/>
          <w:b w:val="0"/>
          <w:szCs w:val="22"/>
          <w:lang w:val="en-US"/>
        </w:rPr>
        <w:t>7</w:t>
      </w:r>
      <w:r w:rsidR="00CF4D4C" w:rsidRPr="00DF7E7E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DF7E7E" w:rsidRDefault="00AE26A5" w:rsidP="00382C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1A4414" w14:textId="77777777" w:rsidR="00382C51" w:rsidRPr="00DF7E7E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F7E7E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9F559B" w:rsidRDefault="006A3537" w:rsidP="00382C51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1293075" w14:textId="702E4918" w:rsidR="00FA5643" w:rsidRPr="009F559B" w:rsidRDefault="00DF7E7E" w:rsidP="00E06A4C">
      <w:pPr>
        <w:pStyle w:val="Subtitle"/>
        <w:jc w:val="center"/>
        <w:rPr>
          <w:rFonts w:cs="Arial"/>
          <w:color w:val="FF0000"/>
          <w:szCs w:val="22"/>
          <w:lang w:val="en-US"/>
        </w:rPr>
      </w:pPr>
      <w:r>
        <w:rPr>
          <w:rFonts w:cs="Arial"/>
          <w:noProof/>
          <w:color w:val="FF0000"/>
          <w:szCs w:val="22"/>
        </w:rPr>
        <w:drawing>
          <wp:inline distT="0" distB="0" distL="0" distR="0" wp14:anchorId="24281A2D" wp14:editId="1B784651">
            <wp:extent cx="3963035" cy="21640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9F559B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41839DD" w14:textId="77777777" w:rsidR="00AE26A5" w:rsidRPr="009F559B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A3EDDE0" w14:textId="77777777" w:rsidR="00AE26A5" w:rsidRPr="009F559B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FC9BF2E" w14:textId="71083DD7" w:rsidR="00AE26A5" w:rsidRPr="009F559B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95F95" w14:textId="732713B8" w:rsidR="000C703E" w:rsidRPr="009F559B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D2C7C25" w14:textId="1BFD9B15" w:rsidR="00B22161" w:rsidRPr="009F471A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B33337E" w14:textId="77777777" w:rsidR="00B22161" w:rsidRPr="009F471A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46DBD479" w14:textId="7167FEE8" w:rsidR="000C703E" w:rsidRPr="009F471A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EB87B" w14:textId="77777777" w:rsidR="00E04935" w:rsidRPr="009F471A" w:rsidRDefault="00E0493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376B539" w14:textId="4880EB02" w:rsidR="003B53F2" w:rsidRPr="00B424D2" w:rsidRDefault="003B53F2" w:rsidP="004E0114">
      <w:pPr>
        <w:pStyle w:val="Subtitle"/>
        <w:rPr>
          <w:rFonts w:cs="Arial"/>
          <w:szCs w:val="22"/>
          <w:lang w:val="en-US"/>
        </w:rPr>
      </w:pPr>
      <w:r w:rsidRPr="00B424D2">
        <w:rPr>
          <w:rFonts w:cs="Arial"/>
          <w:szCs w:val="22"/>
          <w:lang w:val="en-US"/>
        </w:rPr>
        <w:t>Number of Branches</w:t>
      </w:r>
    </w:p>
    <w:p w14:paraId="566D18E6" w14:textId="77777777" w:rsidR="004E0114" w:rsidRPr="00B424D2" w:rsidRDefault="004E0114" w:rsidP="004E0114">
      <w:pPr>
        <w:pStyle w:val="Subtitle"/>
        <w:rPr>
          <w:rFonts w:cs="Arial"/>
          <w:szCs w:val="22"/>
          <w:lang w:val="en-US"/>
        </w:rPr>
      </w:pPr>
    </w:p>
    <w:p w14:paraId="5C134191" w14:textId="527ED461" w:rsidR="003B53F2" w:rsidRPr="00B424D2" w:rsidRDefault="000F7651" w:rsidP="003B53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24D2">
        <w:rPr>
          <w:rFonts w:ascii="Arial" w:hAnsi="Arial" w:cs="Arial"/>
          <w:sz w:val="22"/>
          <w:szCs w:val="22"/>
          <w:lang w:val="en-US"/>
        </w:rPr>
        <w:t xml:space="preserve">As of </w:t>
      </w:r>
      <w:r w:rsidR="00DF7E7E">
        <w:rPr>
          <w:rFonts w:ascii="Arial" w:hAnsi="Arial" w:cs="Arial"/>
          <w:sz w:val="22"/>
          <w:szCs w:val="22"/>
          <w:lang w:val="en-US"/>
        </w:rPr>
        <w:t>September</w:t>
      </w:r>
      <w:r w:rsidR="00BE6AD6" w:rsidRPr="00B424D2">
        <w:rPr>
          <w:rFonts w:ascii="Arial" w:hAnsi="Arial" w:cs="Arial"/>
          <w:sz w:val="22"/>
          <w:szCs w:val="22"/>
          <w:lang w:val="en-US"/>
        </w:rPr>
        <w:t xml:space="preserve"> 2</w:t>
      </w:r>
      <w:r w:rsidR="008D3292" w:rsidRPr="00B424D2">
        <w:rPr>
          <w:rFonts w:ascii="Arial" w:hAnsi="Arial" w:cs="Arial"/>
          <w:sz w:val="22"/>
          <w:szCs w:val="22"/>
          <w:lang w:val="en-US"/>
        </w:rPr>
        <w:t>025</w:t>
      </w:r>
      <w:r w:rsidR="003B53F2" w:rsidRPr="00B424D2">
        <w:rPr>
          <w:rFonts w:ascii="Arial" w:hAnsi="Arial" w:cs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B424D2">
        <w:rPr>
          <w:rFonts w:ascii="Arial" w:hAnsi="Arial" w:cs="Arial"/>
          <w:sz w:val="22"/>
          <w:szCs w:val="22"/>
          <w:lang w:val="en-US"/>
        </w:rPr>
        <w:t>9,</w:t>
      </w:r>
      <w:r w:rsidR="00040A02">
        <w:rPr>
          <w:rFonts w:ascii="Arial" w:hAnsi="Arial" w:cs="Arial"/>
          <w:sz w:val="22"/>
          <w:szCs w:val="22"/>
          <w:lang w:val="en-US"/>
        </w:rPr>
        <w:t>259</w:t>
      </w:r>
      <w:r w:rsidR="0091459E" w:rsidRPr="00B424D2">
        <w:rPr>
          <w:rFonts w:ascii="Arial" w:hAnsi="Arial" w:cs="Arial"/>
          <w:sz w:val="22"/>
          <w:szCs w:val="22"/>
          <w:lang w:val="en-US"/>
        </w:rPr>
        <w:t>.</w:t>
      </w:r>
      <w:r w:rsidR="003B53F2" w:rsidRPr="00B424D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A63668" w14:textId="77777777" w:rsidR="00AE26A5" w:rsidRPr="000C199D" w:rsidRDefault="00AE26A5" w:rsidP="003B53F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C74D29" w14:textId="77777777" w:rsidR="00CC088E" w:rsidRPr="000C199D" w:rsidRDefault="00CC088E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1DE816E8" w14:textId="77777777" w:rsidR="00FC4EA3" w:rsidRPr="000C199D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C199D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6E1B53F8" w:rsidR="00047F97" w:rsidRPr="000C199D" w:rsidRDefault="00040A02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3C2F3135" wp14:editId="43AA0F57">
            <wp:extent cx="3956685" cy="2158365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0C199D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0C199D" w:rsidRDefault="003B53F2" w:rsidP="003B53F2">
      <w:pPr>
        <w:rPr>
          <w:rFonts w:ascii="Arial" w:hAnsi="Arial" w:cs="Arial"/>
          <w:i/>
          <w:sz w:val="16"/>
          <w:lang w:val="en-US"/>
        </w:rPr>
      </w:pPr>
      <w:r w:rsidRPr="000C199D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0C199D" w:rsidRDefault="002D557D" w:rsidP="00D04C4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72758069" w:rsidR="00EB02B3" w:rsidRPr="00040A02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0A02">
        <w:rPr>
          <w:rFonts w:ascii="Arial" w:hAnsi="Arial" w:cs="Arial"/>
          <w:sz w:val="22"/>
          <w:szCs w:val="22"/>
          <w:lang w:val="en-US"/>
        </w:rPr>
        <w:t xml:space="preserve">The number of branches </w:t>
      </w:r>
      <w:r w:rsidR="000C199D" w:rsidRPr="00040A02">
        <w:rPr>
          <w:rFonts w:ascii="Arial" w:hAnsi="Arial" w:cs="Arial"/>
          <w:sz w:val="22"/>
          <w:szCs w:val="22"/>
          <w:lang w:val="en-US"/>
        </w:rPr>
        <w:t>decreased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 by </w:t>
      </w:r>
      <w:r w:rsidR="00B84A01">
        <w:rPr>
          <w:rFonts w:ascii="Arial" w:hAnsi="Arial" w:cs="Arial"/>
          <w:sz w:val="22"/>
          <w:szCs w:val="22"/>
          <w:lang w:val="en-US"/>
        </w:rPr>
        <w:t>65</w:t>
      </w:r>
      <w:bookmarkStart w:id="0" w:name="_GoBack"/>
      <w:bookmarkEnd w:id="0"/>
      <w:r w:rsidRPr="00040A02">
        <w:rPr>
          <w:rFonts w:ascii="Arial" w:hAnsi="Arial" w:cs="Arial"/>
          <w:sz w:val="22"/>
          <w:szCs w:val="22"/>
          <w:lang w:val="en-US"/>
        </w:rPr>
        <w:t>, as c</w:t>
      </w:r>
      <w:r w:rsidR="002574F4" w:rsidRPr="00040A02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040A02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 w:rsidRPr="00040A02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by </w:t>
      </w:r>
      <w:r w:rsidR="00040A02" w:rsidRPr="00040A02">
        <w:rPr>
          <w:rFonts w:ascii="Arial" w:hAnsi="Arial" w:cs="Arial"/>
          <w:sz w:val="22"/>
          <w:szCs w:val="22"/>
          <w:lang w:val="en-US"/>
        </w:rPr>
        <w:t>200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, as compared to </w:t>
      </w:r>
      <w:r w:rsidR="00040A02" w:rsidRPr="00040A02">
        <w:rPr>
          <w:rFonts w:ascii="Arial" w:hAnsi="Arial" w:cs="Arial"/>
          <w:sz w:val="22"/>
          <w:szCs w:val="22"/>
          <w:lang w:val="en-US"/>
        </w:rPr>
        <w:t>September</w:t>
      </w:r>
      <w:r w:rsidR="00BE6AD6" w:rsidRPr="00040A02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040A02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040A02" w:rsidRDefault="00047F97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5F3A7C" w14:textId="34C31ABE" w:rsidR="00244D70" w:rsidRPr="00040A02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0A02">
        <w:rPr>
          <w:rFonts w:ascii="Arial" w:hAnsi="Arial" w:cs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040A02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1490C719" w:rsidR="00926B08" w:rsidRPr="00040A02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0A02">
        <w:rPr>
          <w:rFonts w:ascii="Arial" w:hAnsi="Arial" w:cs="Arial"/>
          <w:sz w:val="22"/>
          <w:szCs w:val="22"/>
          <w:lang w:val="en-US"/>
        </w:rPr>
        <w:t xml:space="preserve">As of </w:t>
      </w:r>
      <w:r w:rsidR="00040A02" w:rsidRPr="00040A02">
        <w:rPr>
          <w:rFonts w:ascii="Arial" w:hAnsi="Arial" w:cs="Arial"/>
          <w:sz w:val="22"/>
          <w:szCs w:val="22"/>
          <w:lang w:val="en-US"/>
        </w:rPr>
        <w:t>September</w:t>
      </w:r>
      <w:r w:rsidR="00BE6AD6" w:rsidRPr="00040A02">
        <w:rPr>
          <w:rFonts w:ascii="Arial" w:hAnsi="Arial" w:cs="Arial"/>
          <w:sz w:val="22"/>
          <w:szCs w:val="22"/>
          <w:lang w:val="en-US"/>
        </w:rPr>
        <w:t xml:space="preserve"> 2025</w:t>
      </w:r>
      <w:r w:rsidR="004170F1" w:rsidRPr="00040A02">
        <w:rPr>
          <w:rFonts w:ascii="Arial" w:hAnsi="Arial" w:cs="Arial"/>
          <w:sz w:val="22"/>
          <w:szCs w:val="22"/>
          <w:lang w:val="en-US"/>
        </w:rPr>
        <w:t>,</w:t>
      </w:r>
      <w:r w:rsidR="006F7448" w:rsidRPr="00040A02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100,000 people </w:t>
      </w:r>
      <w:r w:rsidR="00707225" w:rsidRPr="00040A02">
        <w:rPr>
          <w:rFonts w:ascii="Arial" w:hAnsi="Arial" w:cs="Arial"/>
          <w:sz w:val="22"/>
          <w:szCs w:val="22"/>
          <w:lang w:val="en-US"/>
        </w:rPr>
        <w:t>were</w:t>
      </w:r>
      <w:r w:rsidR="0024332E" w:rsidRPr="00040A02">
        <w:rPr>
          <w:rFonts w:ascii="Arial" w:hAnsi="Arial" w:cs="Arial"/>
          <w:sz w:val="22"/>
          <w:szCs w:val="22"/>
          <w:lang w:val="en-US"/>
        </w:rPr>
        <w:t xml:space="preserve"> 2</w:t>
      </w:r>
      <w:r w:rsidR="00040A02" w:rsidRPr="00040A02">
        <w:rPr>
          <w:rFonts w:ascii="Arial" w:hAnsi="Arial" w:cs="Arial"/>
          <w:sz w:val="22"/>
          <w:szCs w:val="22"/>
          <w:lang w:val="en-US"/>
        </w:rPr>
        <w:t>19</w:t>
      </w:r>
      <w:r w:rsidR="0024332E" w:rsidRPr="00040A02">
        <w:rPr>
          <w:rFonts w:ascii="Arial" w:hAnsi="Arial" w:cs="Arial"/>
          <w:sz w:val="22"/>
          <w:szCs w:val="22"/>
          <w:lang w:val="en-US"/>
        </w:rPr>
        <w:t xml:space="preserve"> 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and branches per 100,000 people </w:t>
      </w:r>
      <w:r w:rsidR="000C199D" w:rsidRPr="00040A02">
        <w:rPr>
          <w:rFonts w:ascii="Arial" w:hAnsi="Arial" w:cs="Arial"/>
          <w:sz w:val="22"/>
          <w:szCs w:val="22"/>
          <w:lang w:val="en-US"/>
        </w:rPr>
        <w:t>were</w:t>
      </w:r>
      <w:r w:rsidRPr="00040A02">
        <w:rPr>
          <w:rFonts w:ascii="Arial" w:hAnsi="Arial" w:cs="Arial"/>
          <w:sz w:val="22"/>
          <w:szCs w:val="22"/>
          <w:lang w:val="en-US"/>
        </w:rPr>
        <w:t xml:space="preserve"> </w:t>
      </w:r>
      <w:r w:rsidR="00040A02" w:rsidRPr="00040A02">
        <w:rPr>
          <w:rFonts w:ascii="Arial" w:hAnsi="Arial" w:cs="Arial"/>
          <w:sz w:val="22"/>
          <w:szCs w:val="22"/>
          <w:lang w:val="en-US"/>
        </w:rPr>
        <w:t>10.8</w:t>
      </w:r>
      <w:r w:rsidR="00F74E30" w:rsidRPr="00040A02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040A02" w:rsidRDefault="007B5FCE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364049B7" w14:textId="77777777" w:rsidR="005126D8" w:rsidRPr="00B84A01" w:rsidRDefault="0024332E" w:rsidP="005126D8">
      <w:pPr>
        <w:jc w:val="center"/>
        <w:rPr>
          <w:rFonts w:ascii="Arial" w:hAnsi="Arial" w:cs="Arial"/>
          <w:noProof/>
          <w:color w:val="000000" w:themeColor="text1"/>
          <w:lang w:val="en-US" w:eastAsia="tr-TR"/>
        </w:rPr>
      </w:pPr>
      <w:r w:rsidRPr="00B84A01">
        <w:rPr>
          <w:rFonts w:ascii="Arial" w:hAnsi="Arial" w:cs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B84A01">
        <w:rPr>
          <w:rFonts w:ascii="Arial" w:hAnsi="Arial" w:cs="Arial"/>
          <w:noProof/>
          <w:color w:val="000000" w:themeColor="text1"/>
          <w:lang w:val="en-US" w:eastAsia="tr-TR"/>
        </w:rPr>
        <w:t xml:space="preserve">* </w:t>
      </w:r>
    </w:p>
    <w:p w14:paraId="5B58C4B9" w14:textId="6088A281" w:rsidR="00236CCD" w:rsidRPr="00040A02" w:rsidRDefault="00040A02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4B210D8F" wp14:editId="5B157078">
            <wp:extent cx="3956685" cy="2164080"/>
            <wp:effectExtent l="0" t="0" r="5715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E5D7" w14:textId="40CF2CAC" w:rsidR="00926BDD" w:rsidRPr="00040A02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040A02">
        <w:rPr>
          <w:rFonts w:ascii="Arial" w:hAnsi="Arial" w:cs="Arial"/>
          <w:sz w:val="18"/>
          <w:szCs w:val="22"/>
          <w:lang w:val="en-US"/>
        </w:rPr>
        <w:t>*</w:t>
      </w:r>
      <w:r w:rsidR="00926BDD" w:rsidRPr="00040A02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040A02">
        <w:rPr>
          <w:rFonts w:ascii="Arial" w:hAnsi="Arial" w:cs="Arial"/>
          <w:sz w:val="18"/>
          <w:szCs w:val="22"/>
          <w:lang w:val="en-US"/>
        </w:rPr>
        <w:t>202</w:t>
      </w:r>
      <w:r w:rsidR="002935DE" w:rsidRPr="00040A02">
        <w:rPr>
          <w:rFonts w:ascii="Arial" w:hAnsi="Arial" w:cs="Arial"/>
          <w:sz w:val="18"/>
          <w:szCs w:val="22"/>
          <w:lang w:val="en-US"/>
        </w:rPr>
        <w:t>4</w:t>
      </w:r>
      <w:r w:rsidR="00926BDD" w:rsidRPr="00040A02">
        <w:rPr>
          <w:rFonts w:ascii="Arial" w:hAnsi="Arial" w:cs="Arial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040A02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40A02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A43B" w14:textId="4667AA82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84A01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010406FC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DF7E7E">
      <w:rPr>
        <w:rFonts w:ascii="Arial" w:hAnsi="Arial"/>
        <w:sz w:val="18"/>
        <w:lang w:val="en-US"/>
      </w:rPr>
      <w:t>September</w:t>
    </w:r>
    <w:r w:rsidR="008D3292">
      <w:rPr>
        <w:rFonts w:ascii="Arial" w:hAnsi="Arial"/>
        <w:sz w:val="18"/>
        <w:lang w:val="en-US"/>
      </w:rPr>
      <w:t xml:space="preserve"> 2025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0A02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205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199D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3AEE"/>
    <w:rsid w:val="00634029"/>
    <w:rsid w:val="00634250"/>
    <w:rsid w:val="00636E17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BA6"/>
    <w:rsid w:val="00757D9D"/>
    <w:rsid w:val="00764767"/>
    <w:rsid w:val="00765C0A"/>
    <w:rsid w:val="00765C6C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8C9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71A"/>
    <w:rsid w:val="009F4F3C"/>
    <w:rsid w:val="009F54BA"/>
    <w:rsid w:val="009F559B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A387C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5DEF"/>
    <w:rsid w:val="00B403D0"/>
    <w:rsid w:val="00B412B4"/>
    <w:rsid w:val="00B424D2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A01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1401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2D0D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DF7E7E"/>
    <w:rsid w:val="00E00540"/>
    <w:rsid w:val="00E00709"/>
    <w:rsid w:val="00E02F62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3B72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67-4EB9-AA9F-3168CE9B09BF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67-4EB9-AA9F-3168CE9B09BF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67-4EB9-AA9F-3168CE9B09BF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67-4EB9-AA9F-3168CE9B09BF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67-4EB9-AA9F-3168CE9B09BF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E67-4EB9-AA9F-3168CE9B09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E67-4EB9-AA9F-3168CE9B0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20394857132126E-2"/>
          <c:y val="0.64224261441004082"/>
          <c:w val="0.93809286139973058"/>
          <c:h val="0.330460797663449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0.07967</cdr:x>
      <cdr:y>0.50093</cdr:y>
    </cdr:from>
    <cdr:to>
      <cdr:x>0.5223</cdr:x>
      <cdr:y>0.58963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3076" y="634591"/>
          <a:ext cx="2239285" cy="1123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0.03244</cdr:x>
      <cdr:y>0.41642</cdr:y>
    </cdr:from>
    <cdr:to>
      <cdr:x>0.56078</cdr:x>
      <cdr:y>0.4812</cdr:y>
    </cdr:to>
    <cdr:sp macro="" textlink="">
      <cdr:nvSpPr>
        <cdr:cNvPr id="4" name="Left Brace 3"/>
        <cdr:cNvSpPr/>
      </cdr:nvSpPr>
      <cdr:spPr>
        <a:xfrm xmlns:a="http://schemas.openxmlformats.org/drawingml/2006/main" rot="16200000">
          <a:off x="1459523" y="-767862"/>
          <a:ext cx="82065" cy="2672862"/>
        </a:xfrm>
        <a:prstGeom xmlns:a="http://schemas.openxmlformats.org/drawingml/2006/main" prst="leftBrace">
          <a:avLst/>
        </a:prstGeom>
        <a:ln xmlns:a="http://schemas.openxmlformats.org/drawingml/2006/main" w="1270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r-T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C530-6BF4-4473-AFD0-D4EFF2BA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Fatma Özlem Kanbur</cp:lastModifiedBy>
  <cp:revision>122</cp:revision>
  <cp:lastPrinted>2019-10-25T07:35:00Z</cp:lastPrinted>
  <dcterms:created xsi:type="dcterms:W3CDTF">2022-01-26T11:03:00Z</dcterms:created>
  <dcterms:modified xsi:type="dcterms:W3CDTF">2025-11-04T06:36:00Z</dcterms:modified>
</cp:coreProperties>
</file>