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91D" w:rsidRPr="0086191D" w:rsidRDefault="00710C6B" w:rsidP="0086191D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Yargı Hizmetlerinin Etkileştirilmesi Amacıyla Bazı Kanunlarda Değişiklik Yapılması ve Basın Yayın Yoluyla İşlenen Suçlara İlişkin Dava ve Cezaların Ertelenmesi Hakkında Kanunun Bankacılık Kanu</w:t>
      </w:r>
      <w:r w:rsidR="0086191D" w:rsidRPr="0086191D">
        <w:rPr>
          <w:rFonts w:cs="Arial"/>
          <w:b/>
          <w:sz w:val="24"/>
        </w:rPr>
        <w:t>nunda Değişiklik Yapan Maddeleri</w:t>
      </w:r>
    </w:p>
    <w:p w:rsidR="0086191D" w:rsidRPr="002A1AD9" w:rsidRDefault="0086191D" w:rsidP="0086191D">
      <w:pPr>
        <w:jc w:val="center"/>
        <w:rPr>
          <w:rFonts w:cs="Arial"/>
          <w:i/>
          <w:sz w:val="18"/>
          <w:szCs w:val="18"/>
        </w:rPr>
      </w:pPr>
      <w:r w:rsidRPr="002A1AD9">
        <w:rPr>
          <w:rFonts w:cs="Arial"/>
          <w:i/>
          <w:sz w:val="18"/>
          <w:szCs w:val="18"/>
        </w:rPr>
        <w:t xml:space="preserve">(Resmi Gazete'nin </w:t>
      </w:r>
      <w:r w:rsidR="00710C6B">
        <w:rPr>
          <w:rFonts w:cs="Arial"/>
          <w:i/>
          <w:sz w:val="18"/>
          <w:szCs w:val="18"/>
        </w:rPr>
        <w:t>5 Temmuz</w:t>
      </w:r>
      <w:r w:rsidR="00953D31">
        <w:rPr>
          <w:rFonts w:cs="Arial"/>
          <w:i/>
          <w:sz w:val="18"/>
          <w:szCs w:val="18"/>
        </w:rPr>
        <w:t xml:space="preserve"> 2012</w:t>
      </w:r>
      <w:r>
        <w:rPr>
          <w:rFonts w:cs="Arial"/>
          <w:i/>
          <w:sz w:val="18"/>
          <w:szCs w:val="18"/>
        </w:rPr>
        <w:t xml:space="preserve"> </w:t>
      </w:r>
      <w:r w:rsidRPr="002A1AD9">
        <w:rPr>
          <w:rFonts w:cs="Arial"/>
          <w:i/>
          <w:sz w:val="18"/>
          <w:szCs w:val="18"/>
        </w:rPr>
        <w:t xml:space="preserve">tarih ve </w:t>
      </w:r>
      <w:r w:rsidR="00953D31">
        <w:rPr>
          <w:rFonts w:cs="Arial"/>
          <w:i/>
          <w:sz w:val="18"/>
          <w:szCs w:val="18"/>
        </w:rPr>
        <w:t>283</w:t>
      </w:r>
      <w:r w:rsidR="00710C6B">
        <w:rPr>
          <w:rFonts w:cs="Arial"/>
          <w:i/>
          <w:sz w:val="18"/>
          <w:szCs w:val="18"/>
        </w:rPr>
        <w:t>44</w:t>
      </w:r>
      <w:r w:rsidRPr="002A1AD9">
        <w:rPr>
          <w:rFonts w:cs="Arial"/>
          <w:i/>
          <w:sz w:val="18"/>
          <w:szCs w:val="18"/>
        </w:rPr>
        <w:t xml:space="preserve"> sayılı nüshasında yayımlanmıştır)</w:t>
      </w:r>
    </w:p>
    <w:p w:rsidR="0086191D" w:rsidRPr="002A1AD9" w:rsidRDefault="0086191D" w:rsidP="0086191D">
      <w:pPr>
        <w:jc w:val="both"/>
        <w:rPr>
          <w:rFonts w:cs="Arial"/>
          <w:szCs w:val="22"/>
        </w:rPr>
      </w:pPr>
    </w:p>
    <w:p w:rsidR="0086191D" w:rsidRPr="002A1AD9" w:rsidRDefault="0086191D" w:rsidP="0086191D">
      <w:pPr>
        <w:jc w:val="both"/>
        <w:rPr>
          <w:rFonts w:cs="Arial"/>
          <w:b/>
          <w:szCs w:val="22"/>
        </w:rPr>
      </w:pPr>
      <w:r w:rsidRPr="002A1AD9">
        <w:rPr>
          <w:rFonts w:cs="Arial"/>
          <w:b/>
          <w:szCs w:val="22"/>
        </w:rPr>
        <w:t xml:space="preserve">Kanun No: </w:t>
      </w:r>
      <w:r w:rsidR="00710C6B">
        <w:rPr>
          <w:rFonts w:cs="Arial"/>
          <w:b/>
          <w:szCs w:val="22"/>
        </w:rPr>
        <w:t>6352</w:t>
      </w:r>
      <w:r w:rsidRPr="002A1AD9">
        <w:rPr>
          <w:rFonts w:cs="Arial"/>
          <w:b/>
          <w:szCs w:val="22"/>
        </w:rPr>
        <w:tab/>
      </w:r>
      <w:r w:rsidRPr="002A1AD9">
        <w:rPr>
          <w:rFonts w:cs="Arial"/>
          <w:szCs w:val="22"/>
        </w:rPr>
        <w:tab/>
      </w:r>
      <w:r w:rsidRPr="002A1AD9">
        <w:rPr>
          <w:rFonts w:cs="Arial"/>
          <w:szCs w:val="22"/>
        </w:rPr>
        <w:tab/>
      </w:r>
      <w:r w:rsidRPr="002A1AD9">
        <w:rPr>
          <w:rFonts w:cs="Arial"/>
          <w:szCs w:val="22"/>
        </w:rPr>
        <w:tab/>
      </w:r>
      <w:r w:rsidRPr="002A1AD9">
        <w:rPr>
          <w:rFonts w:cs="Arial"/>
          <w:szCs w:val="22"/>
        </w:rPr>
        <w:tab/>
      </w:r>
      <w:r>
        <w:rPr>
          <w:rFonts w:cs="Arial"/>
          <w:szCs w:val="22"/>
        </w:rPr>
        <w:t xml:space="preserve">      </w:t>
      </w:r>
      <w:r w:rsidR="00710C6B">
        <w:rPr>
          <w:rFonts w:cs="Arial"/>
          <w:b/>
          <w:szCs w:val="22"/>
        </w:rPr>
        <w:t>Kabul Tarihi: 02</w:t>
      </w:r>
      <w:r w:rsidRPr="002A1AD9">
        <w:rPr>
          <w:rFonts w:cs="Arial"/>
          <w:b/>
          <w:szCs w:val="22"/>
        </w:rPr>
        <w:t>/</w:t>
      </w:r>
      <w:r w:rsidR="00710C6B">
        <w:rPr>
          <w:rFonts w:cs="Arial"/>
          <w:b/>
          <w:szCs w:val="22"/>
        </w:rPr>
        <w:t>7</w:t>
      </w:r>
      <w:r w:rsidRPr="002A1AD9">
        <w:rPr>
          <w:rFonts w:cs="Arial"/>
          <w:b/>
          <w:szCs w:val="22"/>
        </w:rPr>
        <w:t>/20</w:t>
      </w:r>
      <w:r w:rsidR="00953D31">
        <w:rPr>
          <w:rFonts w:cs="Arial"/>
          <w:b/>
          <w:szCs w:val="22"/>
        </w:rPr>
        <w:t>12</w:t>
      </w:r>
    </w:p>
    <w:p w:rsidR="0086191D" w:rsidRPr="002A1AD9" w:rsidRDefault="0086191D" w:rsidP="0086191D">
      <w:pPr>
        <w:jc w:val="both"/>
        <w:rPr>
          <w:rFonts w:cs="Arial"/>
          <w:szCs w:val="22"/>
        </w:rPr>
      </w:pPr>
      <w:r w:rsidRPr="002A1AD9">
        <w:rPr>
          <w:rFonts w:cs="Arial"/>
          <w:szCs w:val="22"/>
        </w:rPr>
        <w:t>....................</w:t>
      </w:r>
    </w:p>
    <w:p w:rsidR="006D3A05" w:rsidRDefault="006D3A05" w:rsidP="006D3A05">
      <w:pPr>
        <w:jc w:val="both"/>
        <w:rPr>
          <w:rFonts w:cs="Arial"/>
          <w:szCs w:val="22"/>
        </w:rPr>
      </w:pPr>
    </w:p>
    <w:p w:rsidR="006D3A05" w:rsidRPr="006D3A05" w:rsidRDefault="006D3A05" w:rsidP="006D3A05">
      <w:pPr>
        <w:pStyle w:val="3-NormalYaz"/>
        <w:rPr>
          <w:rFonts w:ascii="Arial" w:hAnsi="Arial" w:cs="Arial"/>
          <w:sz w:val="22"/>
          <w:szCs w:val="22"/>
        </w:rPr>
      </w:pPr>
      <w:r w:rsidRPr="006D3A05">
        <w:rPr>
          <w:rFonts w:ascii="Arial" w:hAnsi="Arial" w:cs="Arial"/>
          <w:b/>
          <w:sz w:val="22"/>
          <w:szCs w:val="22"/>
        </w:rPr>
        <w:t xml:space="preserve">MADDE 69 – </w:t>
      </w:r>
      <w:r w:rsidRPr="006D3A05">
        <w:rPr>
          <w:rFonts w:ascii="Arial" w:hAnsi="Arial" w:cs="Arial"/>
          <w:sz w:val="22"/>
          <w:szCs w:val="22"/>
        </w:rPr>
        <w:t>19/10/2005 tarihli ve 5411 sayılı Bankacılık Kanununun 105 inci maddesinin birinci fıkrası aşağıdaki şekilde değiştirilmiştir.</w:t>
      </w:r>
    </w:p>
    <w:p w:rsidR="006D3A05" w:rsidRDefault="006D3A05" w:rsidP="006D3A05">
      <w:pPr>
        <w:pStyle w:val="3-NormalYaz"/>
        <w:rPr>
          <w:rFonts w:ascii="Arial" w:hAnsi="Arial" w:cs="Arial"/>
          <w:sz w:val="22"/>
          <w:szCs w:val="22"/>
        </w:rPr>
      </w:pPr>
    </w:p>
    <w:p w:rsidR="006D3A05" w:rsidRPr="006D3A05" w:rsidRDefault="006D3A05" w:rsidP="006D3A05">
      <w:pPr>
        <w:pStyle w:val="3-NormalYaz"/>
        <w:rPr>
          <w:rFonts w:ascii="Arial" w:hAnsi="Arial" w:cs="Arial"/>
          <w:sz w:val="22"/>
          <w:szCs w:val="22"/>
        </w:rPr>
      </w:pPr>
      <w:r w:rsidRPr="006D3A05">
        <w:rPr>
          <w:rFonts w:ascii="Arial" w:hAnsi="Arial" w:cs="Arial"/>
          <w:sz w:val="22"/>
          <w:szCs w:val="22"/>
        </w:rPr>
        <w:t>“İdari yaptırım kararlarına karşı yetkili idare mahkemesinde dava açılabilir. Kurul kararlarına karşı açılan her türlü dava öncelikli işlerden sayılır.”</w:t>
      </w:r>
    </w:p>
    <w:p w:rsidR="006D3A05" w:rsidRPr="006D3A05" w:rsidRDefault="006D3A05" w:rsidP="006D3A05">
      <w:pPr>
        <w:jc w:val="both"/>
        <w:rPr>
          <w:rFonts w:cs="Arial"/>
          <w:szCs w:val="22"/>
        </w:rPr>
      </w:pPr>
    </w:p>
    <w:p w:rsidR="006D3A05" w:rsidRPr="006D3A05" w:rsidRDefault="006D3A05" w:rsidP="006D3A05">
      <w:pPr>
        <w:pStyle w:val="3-NormalYaz"/>
        <w:rPr>
          <w:rFonts w:ascii="Arial" w:hAnsi="Arial" w:cs="Arial"/>
          <w:sz w:val="22"/>
          <w:szCs w:val="22"/>
        </w:rPr>
      </w:pPr>
      <w:r w:rsidRPr="006D3A05">
        <w:rPr>
          <w:rFonts w:ascii="Arial" w:hAnsi="Arial" w:cs="Arial"/>
          <w:b/>
          <w:sz w:val="22"/>
          <w:szCs w:val="22"/>
        </w:rPr>
        <w:t xml:space="preserve">MADDE 105 – </w:t>
      </w:r>
      <w:r w:rsidRPr="006D3A05">
        <w:rPr>
          <w:rFonts w:ascii="Arial" w:hAnsi="Arial" w:cs="Arial"/>
          <w:sz w:val="22"/>
          <w:szCs w:val="22"/>
        </w:rPr>
        <w:t>Aşağıdaki hükümler yürürlükten kaldırılmıştır:</w:t>
      </w:r>
    </w:p>
    <w:p w:rsidR="006D3A05" w:rsidRPr="006D3A05" w:rsidRDefault="006D3A05" w:rsidP="006D3A05">
      <w:pPr>
        <w:pStyle w:val="3-NormalYaz"/>
        <w:rPr>
          <w:rFonts w:ascii="Arial" w:hAnsi="Arial" w:cs="Arial"/>
          <w:sz w:val="22"/>
          <w:szCs w:val="22"/>
        </w:rPr>
      </w:pPr>
      <w:r w:rsidRPr="006D3A05">
        <w:rPr>
          <w:rFonts w:ascii="Arial" w:hAnsi="Arial" w:cs="Arial"/>
          <w:sz w:val="22"/>
          <w:szCs w:val="22"/>
        </w:rPr>
        <w:t xml:space="preserve">1) 9/6/1932 tarihli ve 2004 sayılı İcra ve İflas Kanununun 12 </w:t>
      </w:r>
      <w:proofErr w:type="spellStart"/>
      <w:r w:rsidRPr="006D3A05">
        <w:rPr>
          <w:rFonts w:ascii="Arial" w:hAnsi="Arial" w:cs="Arial"/>
          <w:sz w:val="22"/>
          <w:szCs w:val="22"/>
        </w:rPr>
        <w:t>nci</w:t>
      </w:r>
      <w:proofErr w:type="spellEnd"/>
      <w:r w:rsidRPr="006D3A05">
        <w:rPr>
          <w:rFonts w:ascii="Arial" w:hAnsi="Arial" w:cs="Arial"/>
          <w:sz w:val="22"/>
          <w:szCs w:val="22"/>
        </w:rPr>
        <w:t xml:space="preserve"> ve 116 </w:t>
      </w:r>
      <w:proofErr w:type="spellStart"/>
      <w:r w:rsidRPr="006D3A05">
        <w:rPr>
          <w:rFonts w:ascii="Arial" w:hAnsi="Arial" w:cs="Arial"/>
          <w:sz w:val="22"/>
          <w:szCs w:val="22"/>
        </w:rPr>
        <w:t>ncı</w:t>
      </w:r>
      <w:proofErr w:type="spellEnd"/>
      <w:r w:rsidRPr="006D3A05">
        <w:rPr>
          <w:rFonts w:ascii="Arial" w:hAnsi="Arial" w:cs="Arial"/>
          <w:sz w:val="22"/>
          <w:szCs w:val="22"/>
        </w:rPr>
        <w:t xml:space="preserve"> maddeleri,</w:t>
      </w:r>
    </w:p>
    <w:p w:rsidR="006D3A05" w:rsidRPr="006D3A05" w:rsidRDefault="006D3A05" w:rsidP="006D3A05">
      <w:pPr>
        <w:pStyle w:val="3-NormalYaz"/>
        <w:rPr>
          <w:rFonts w:ascii="Arial" w:hAnsi="Arial" w:cs="Arial"/>
          <w:sz w:val="22"/>
          <w:szCs w:val="22"/>
        </w:rPr>
      </w:pPr>
      <w:r w:rsidRPr="006D3A05">
        <w:rPr>
          <w:rFonts w:ascii="Arial" w:hAnsi="Arial" w:cs="Arial"/>
          <w:sz w:val="22"/>
          <w:szCs w:val="22"/>
        </w:rPr>
        <w:t xml:space="preserve">2) 12/4/1991 tarihli ve 3713 sayılı Terörle Mücadele Kanununun; </w:t>
      </w:r>
    </w:p>
    <w:p w:rsidR="006D3A05" w:rsidRPr="006D3A05" w:rsidRDefault="006D3A05" w:rsidP="006D3A05">
      <w:pPr>
        <w:pStyle w:val="3-NormalYaz"/>
        <w:rPr>
          <w:rFonts w:ascii="Arial" w:hAnsi="Arial" w:cs="Arial"/>
          <w:sz w:val="22"/>
          <w:szCs w:val="22"/>
        </w:rPr>
      </w:pPr>
      <w:r w:rsidRPr="006D3A05">
        <w:rPr>
          <w:rFonts w:ascii="Arial" w:hAnsi="Arial" w:cs="Arial"/>
          <w:sz w:val="22"/>
          <w:szCs w:val="22"/>
        </w:rPr>
        <w:t xml:space="preserve">a) 6 </w:t>
      </w:r>
      <w:proofErr w:type="spellStart"/>
      <w:r w:rsidRPr="006D3A05">
        <w:rPr>
          <w:rFonts w:ascii="Arial" w:hAnsi="Arial" w:cs="Arial"/>
          <w:sz w:val="22"/>
          <w:szCs w:val="22"/>
        </w:rPr>
        <w:t>ncı</w:t>
      </w:r>
      <w:proofErr w:type="spellEnd"/>
      <w:r w:rsidRPr="006D3A05">
        <w:rPr>
          <w:rFonts w:ascii="Arial" w:hAnsi="Arial" w:cs="Arial"/>
          <w:sz w:val="22"/>
          <w:szCs w:val="22"/>
        </w:rPr>
        <w:t xml:space="preserve"> maddesinin beşinci fıkrası,</w:t>
      </w:r>
    </w:p>
    <w:p w:rsidR="006D3A05" w:rsidRPr="006D3A05" w:rsidRDefault="006D3A05" w:rsidP="006D3A05">
      <w:pPr>
        <w:pStyle w:val="3-NormalYaz"/>
        <w:rPr>
          <w:rFonts w:ascii="Arial" w:hAnsi="Arial" w:cs="Arial"/>
          <w:sz w:val="22"/>
          <w:szCs w:val="22"/>
        </w:rPr>
      </w:pPr>
      <w:r w:rsidRPr="006D3A05">
        <w:rPr>
          <w:rFonts w:ascii="Arial" w:hAnsi="Arial" w:cs="Arial"/>
          <w:sz w:val="22"/>
          <w:szCs w:val="22"/>
        </w:rPr>
        <w:t>b) 9 ve 13 üncü maddeleri,</w:t>
      </w:r>
    </w:p>
    <w:p w:rsidR="006D3A05" w:rsidRPr="006D3A05" w:rsidRDefault="006D3A05" w:rsidP="006D3A05">
      <w:pPr>
        <w:pStyle w:val="3-NormalYaz"/>
        <w:rPr>
          <w:rFonts w:ascii="Arial" w:hAnsi="Arial" w:cs="Arial"/>
          <w:sz w:val="22"/>
          <w:szCs w:val="22"/>
        </w:rPr>
      </w:pPr>
      <w:r w:rsidRPr="006D3A05">
        <w:rPr>
          <w:rFonts w:ascii="Arial" w:hAnsi="Arial" w:cs="Arial"/>
          <w:sz w:val="22"/>
          <w:szCs w:val="22"/>
        </w:rPr>
        <w:t xml:space="preserve">3) 4/12/2003 tarihli ve 5015 sayılı Petrol Piyasası Kanununun 19 uncu maddesinin yedinci fıkrası, </w:t>
      </w:r>
    </w:p>
    <w:p w:rsidR="006D3A05" w:rsidRPr="006D3A05" w:rsidRDefault="006D3A05" w:rsidP="006D3A05">
      <w:pPr>
        <w:pStyle w:val="3-NormalYaz"/>
        <w:rPr>
          <w:rFonts w:ascii="Arial" w:hAnsi="Arial" w:cs="Arial"/>
          <w:sz w:val="22"/>
          <w:szCs w:val="22"/>
        </w:rPr>
      </w:pPr>
      <w:r w:rsidRPr="006D3A05">
        <w:rPr>
          <w:rFonts w:ascii="Arial" w:hAnsi="Arial" w:cs="Arial"/>
          <w:sz w:val="22"/>
          <w:szCs w:val="22"/>
        </w:rPr>
        <w:t>4) 9/6/2004 tarihli ve 5187 sayılı Basın Kanununun 19 uncu maddesi,</w:t>
      </w:r>
    </w:p>
    <w:p w:rsidR="006D3A05" w:rsidRPr="006D3A05" w:rsidRDefault="006D3A05" w:rsidP="006D3A05">
      <w:pPr>
        <w:pStyle w:val="3-NormalYaz"/>
        <w:rPr>
          <w:rFonts w:ascii="Arial" w:hAnsi="Arial" w:cs="Arial"/>
          <w:sz w:val="22"/>
          <w:szCs w:val="22"/>
        </w:rPr>
      </w:pPr>
      <w:r w:rsidRPr="006D3A05">
        <w:rPr>
          <w:rFonts w:ascii="Arial" w:hAnsi="Arial" w:cs="Arial"/>
          <w:sz w:val="22"/>
          <w:szCs w:val="22"/>
        </w:rPr>
        <w:t>5) 26/9/2004 tarihli ve 5237 sayılı Türk Ceza Kanununun;</w:t>
      </w:r>
    </w:p>
    <w:p w:rsidR="006D3A05" w:rsidRPr="006D3A05" w:rsidRDefault="006D3A05" w:rsidP="006D3A05">
      <w:pPr>
        <w:pStyle w:val="3-NormalYaz"/>
        <w:rPr>
          <w:rFonts w:ascii="Arial" w:hAnsi="Arial" w:cs="Arial"/>
          <w:sz w:val="22"/>
          <w:szCs w:val="22"/>
        </w:rPr>
      </w:pPr>
      <w:r w:rsidRPr="006D3A05">
        <w:rPr>
          <w:rFonts w:ascii="Arial" w:hAnsi="Arial" w:cs="Arial"/>
          <w:sz w:val="22"/>
          <w:szCs w:val="22"/>
        </w:rPr>
        <w:t>a) 141 inci maddesinin ikinci fıkrası,</w:t>
      </w:r>
    </w:p>
    <w:p w:rsidR="006D3A05" w:rsidRPr="006D3A05" w:rsidRDefault="006D3A05" w:rsidP="006D3A05">
      <w:pPr>
        <w:pStyle w:val="3-NormalYaz"/>
        <w:rPr>
          <w:rFonts w:ascii="Arial" w:hAnsi="Arial" w:cs="Arial"/>
          <w:sz w:val="22"/>
          <w:szCs w:val="22"/>
        </w:rPr>
      </w:pPr>
      <w:r w:rsidRPr="006D3A05">
        <w:rPr>
          <w:rFonts w:ascii="Arial" w:hAnsi="Arial" w:cs="Arial"/>
          <w:sz w:val="22"/>
          <w:szCs w:val="22"/>
        </w:rPr>
        <w:t xml:space="preserve">b) 257 </w:t>
      </w:r>
      <w:proofErr w:type="spellStart"/>
      <w:r w:rsidRPr="006D3A05">
        <w:rPr>
          <w:rFonts w:ascii="Arial" w:hAnsi="Arial" w:cs="Arial"/>
          <w:sz w:val="22"/>
          <w:szCs w:val="22"/>
        </w:rPr>
        <w:t>nci</w:t>
      </w:r>
      <w:proofErr w:type="spellEnd"/>
      <w:r w:rsidRPr="006D3A05">
        <w:rPr>
          <w:rFonts w:ascii="Arial" w:hAnsi="Arial" w:cs="Arial"/>
          <w:sz w:val="22"/>
          <w:szCs w:val="22"/>
        </w:rPr>
        <w:t xml:space="preserve"> maddesinin üçüncü fıkrası,</w:t>
      </w:r>
    </w:p>
    <w:p w:rsidR="006D3A05" w:rsidRPr="006D3A05" w:rsidRDefault="006D3A05" w:rsidP="006D3A05">
      <w:pPr>
        <w:pStyle w:val="3-NormalYaz"/>
        <w:rPr>
          <w:rFonts w:ascii="Arial" w:hAnsi="Arial" w:cs="Arial"/>
          <w:sz w:val="22"/>
          <w:szCs w:val="22"/>
        </w:rPr>
      </w:pPr>
      <w:r w:rsidRPr="006D3A05">
        <w:rPr>
          <w:rFonts w:ascii="Arial" w:hAnsi="Arial" w:cs="Arial"/>
          <w:sz w:val="22"/>
          <w:szCs w:val="22"/>
        </w:rPr>
        <w:t xml:space="preserve">6) 4/12/2004 tarihli ve 5271 sayılı Ceza Muhakemesi Kanununun 250, 251 ve 252 </w:t>
      </w:r>
      <w:proofErr w:type="spellStart"/>
      <w:r w:rsidRPr="006D3A05">
        <w:rPr>
          <w:rFonts w:ascii="Arial" w:hAnsi="Arial" w:cs="Arial"/>
          <w:sz w:val="22"/>
          <w:szCs w:val="22"/>
        </w:rPr>
        <w:t>nci</w:t>
      </w:r>
      <w:proofErr w:type="spellEnd"/>
      <w:r w:rsidRPr="006D3A05">
        <w:rPr>
          <w:rFonts w:ascii="Arial" w:hAnsi="Arial" w:cs="Arial"/>
          <w:sz w:val="22"/>
          <w:szCs w:val="22"/>
        </w:rPr>
        <w:t xml:space="preserve"> maddeleri,</w:t>
      </w:r>
    </w:p>
    <w:p w:rsidR="006D3A05" w:rsidRPr="006D3A05" w:rsidRDefault="006D3A05" w:rsidP="006D3A05">
      <w:pPr>
        <w:pStyle w:val="3-NormalYaz"/>
        <w:rPr>
          <w:rFonts w:ascii="Arial" w:hAnsi="Arial" w:cs="Arial"/>
          <w:sz w:val="22"/>
          <w:szCs w:val="22"/>
        </w:rPr>
      </w:pPr>
      <w:r w:rsidRPr="006D3A05">
        <w:rPr>
          <w:rFonts w:ascii="Arial" w:hAnsi="Arial" w:cs="Arial"/>
          <w:sz w:val="22"/>
          <w:szCs w:val="22"/>
        </w:rPr>
        <w:t>7) 19/10/2005 tarihli ve 5411 sayılı Bankacılık Kanununun 128 inci maddesinin birinci fıkrasının birinci cümlesi,</w:t>
      </w:r>
    </w:p>
    <w:p w:rsidR="006D3A05" w:rsidRPr="006D3A05" w:rsidRDefault="006D3A05" w:rsidP="006D3A05">
      <w:pPr>
        <w:pStyle w:val="3-NormalYaz"/>
        <w:rPr>
          <w:rFonts w:ascii="Arial" w:hAnsi="Arial" w:cs="Arial"/>
          <w:sz w:val="22"/>
          <w:szCs w:val="22"/>
        </w:rPr>
      </w:pPr>
      <w:r w:rsidRPr="006D3A05">
        <w:rPr>
          <w:rFonts w:ascii="Arial" w:hAnsi="Arial" w:cs="Arial"/>
          <w:sz w:val="22"/>
          <w:szCs w:val="22"/>
        </w:rPr>
        <w:t>8) 5/11/2008 tarihli ve 5809 sayılı Elektronik Haberleşme Kanununun 61 inci maddesinin birinci fıkrasının üçüncü cümlesi.</w:t>
      </w:r>
    </w:p>
    <w:p w:rsidR="006D3A05" w:rsidRDefault="006D3A05" w:rsidP="006D3A05">
      <w:pPr>
        <w:jc w:val="both"/>
        <w:rPr>
          <w:rFonts w:cs="Arial"/>
          <w:szCs w:val="22"/>
        </w:rPr>
      </w:pPr>
    </w:p>
    <w:p w:rsidR="006D3A05" w:rsidRPr="006D3A05" w:rsidRDefault="006D3A05" w:rsidP="006D3A05">
      <w:pPr>
        <w:pStyle w:val="3-NormalYaz"/>
        <w:rPr>
          <w:rFonts w:ascii="Arial" w:hAnsi="Arial" w:cs="Arial"/>
          <w:sz w:val="22"/>
          <w:szCs w:val="22"/>
        </w:rPr>
      </w:pPr>
      <w:r w:rsidRPr="006D3A05">
        <w:rPr>
          <w:rFonts w:ascii="Arial" w:hAnsi="Arial" w:cs="Arial"/>
          <w:b/>
          <w:sz w:val="22"/>
          <w:szCs w:val="22"/>
        </w:rPr>
        <w:t xml:space="preserve">MADDE 106 – </w:t>
      </w:r>
      <w:r w:rsidRPr="006D3A05">
        <w:rPr>
          <w:rFonts w:ascii="Arial" w:hAnsi="Arial" w:cs="Arial"/>
          <w:sz w:val="22"/>
          <w:szCs w:val="22"/>
        </w:rPr>
        <w:t xml:space="preserve">Bu Kanunun; </w:t>
      </w:r>
    </w:p>
    <w:p w:rsidR="006D3A05" w:rsidRDefault="006D3A05" w:rsidP="006D3A05">
      <w:pPr>
        <w:pStyle w:val="3-NormalYaz"/>
        <w:rPr>
          <w:rFonts w:ascii="Arial" w:hAnsi="Arial" w:cs="Arial"/>
          <w:sz w:val="22"/>
          <w:szCs w:val="22"/>
        </w:rPr>
      </w:pPr>
      <w:r w:rsidRPr="006D3A05">
        <w:rPr>
          <w:rFonts w:ascii="Arial" w:hAnsi="Arial" w:cs="Arial"/>
          <w:sz w:val="22"/>
          <w:szCs w:val="22"/>
        </w:rPr>
        <w:t xml:space="preserve">a) 3 üncü, 4 üncü, 9 uncu, 10 uncu, 17 </w:t>
      </w:r>
      <w:proofErr w:type="spellStart"/>
      <w:r w:rsidRPr="006D3A05">
        <w:rPr>
          <w:rFonts w:ascii="Arial" w:hAnsi="Arial" w:cs="Arial"/>
          <w:sz w:val="22"/>
          <w:szCs w:val="22"/>
        </w:rPr>
        <w:t>nci</w:t>
      </w:r>
      <w:proofErr w:type="spellEnd"/>
      <w:r w:rsidRPr="006D3A05">
        <w:rPr>
          <w:rFonts w:ascii="Arial" w:hAnsi="Arial" w:cs="Arial"/>
          <w:sz w:val="22"/>
          <w:szCs w:val="22"/>
        </w:rPr>
        <w:t xml:space="preserve">, 21 inci, 23 üncü ila 33 üncü maddeleri ile 36 </w:t>
      </w:r>
      <w:proofErr w:type="spellStart"/>
      <w:r w:rsidRPr="006D3A05">
        <w:rPr>
          <w:rFonts w:ascii="Arial" w:hAnsi="Arial" w:cs="Arial"/>
          <w:sz w:val="22"/>
          <w:szCs w:val="22"/>
        </w:rPr>
        <w:t>ncı</w:t>
      </w:r>
      <w:proofErr w:type="spellEnd"/>
      <w:r w:rsidRPr="006D3A05">
        <w:rPr>
          <w:rFonts w:ascii="Arial" w:hAnsi="Arial" w:cs="Arial"/>
          <w:sz w:val="22"/>
          <w:szCs w:val="22"/>
        </w:rPr>
        <w:t xml:space="preserve"> ve 37 </w:t>
      </w:r>
      <w:proofErr w:type="spellStart"/>
      <w:r w:rsidRPr="006D3A05">
        <w:rPr>
          <w:rFonts w:ascii="Arial" w:hAnsi="Arial" w:cs="Arial"/>
          <w:sz w:val="22"/>
          <w:szCs w:val="22"/>
        </w:rPr>
        <w:t>nci</w:t>
      </w:r>
      <w:proofErr w:type="spellEnd"/>
      <w:r w:rsidRPr="006D3A05">
        <w:rPr>
          <w:rFonts w:ascii="Arial" w:hAnsi="Arial" w:cs="Arial"/>
          <w:sz w:val="22"/>
          <w:szCs w:val="22"/>
        </w:rPr>
        <w:t xml:space="preserve"> maddeleri, 18 inci maddesiyle değiştirilen 2004 sayılı Kanunun 89 uncu maddesinin yedinci fıkrası, 38 inci maddesiyle 2004 sayılı Kanuna eklenen geçici 9 uncu ve geçici 11 inci maddeleri ile 105 inci maddesinin birinci fıkrasının (1) numaralı bendi y</w:t>
      </w:r>
      <w:r w:rsidR="00997428">
        <w:rPr>
          <w:rFonts w:ascii="Arial" w:hAnsi="Arial" w:cs="Arial"/>
          <w:sz w:val="22"/>
          <w:szCs w:val="22"/>
        </w:rPr>
        <w:t>ayımı tarihinden altı ay sonra,</w:t>
      </w:r>
    </w:p>
    <w:p w:rsidR="00997428" w:rsidRPr="00997428" w:rsidRDefault="00997428" w:rsidP="00997428"/>
    <w:p w:rsidR="006D3A05" w:rsidRPr="006D3A05" w:rsidRDefault="006D3A05" w:rsidP="006D3A05">
      <w:pPr>
        <w:pStyle w:val="3-NormalYaz"/>
        <w:rPr>
          <w:rFonts w:ascii="Arial" w:hAnsi="Arial" w:cs="Arial"/>
          <w:sz w:val="22"/>
          <w:szCs w:val="22"/>
        </w:rPr>
      </w:pPr>
      <w:r w:rsidRPr="006D3A05">
        <w:rPr>
          <w:rFonts w:ascii="Arial" w:hAnsi="Arial" w:cs="Arial"/>
          <w:sz w:val="22"/>
          <w:szCs w:val="22"/>
        </w:rPr>
        <w:t>b) Diğer maddeleri yayımı tarihinde,</w:t>
      </w:r>
    </w:p>
    <w:p w:rsidR="00997428" w:rsidRDefault="00997428" w:rsidP="006D3A05">
      <w:pPr>
        <w:pStyle w:val="3-NormalYaz"/>
        <w:rPr>
          <w:rFonts w:ascii="Arial" w:hAnsi="Arial" w:cs="Arial"/>
          <w:sz w:val="22"/>
          <w:szCs w:val="22"/>
        </w:rPr>
      </w:pPr>
    </w:p>
    <w:p w:rsidR="006D3A05" w:rsidRPr="006D3A05" w:rsidRDefault="006D3A05" w:rsidP="006D3A05">
      <w:pPr>
        <w:pStyle w:val="3-NormalYaz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6D3A05">
        <w:rPr>
          <w:rFonts w:ascii="Arial" w:hAnsi="Arial" w:cs="Arial"/>
          <w:sz w:val="22"/>
          <w:szCs w:val="22"/>
        </w:rPr>
        <w:t>yürürlüğe girer.</w:t>
      </w:r>
    </w:p>
    <w:p w:rsidR="006D3A05" w:rsidRPr="006D3A05" w:rsidRDefault="006D3A05" w:rsidP="006D3A05">
      <w:pPr>
        <w:jc w:val="both"/>
        <w:rPr>
          <w:rFonts w:cs="Arial"/>
          <w:szCs w:val="22"/>
        </w:rPr>
      </w:pPr>
    </w:p>
    <w:sectPr w:rsidR="006D3A05" w:rsidRPr="006D3A05" w:rsidSect="002A1AD9">
      <w:footerReference w:type="even" r:id="rId7"/>
      <w:footerReference w:type="default" r:id="rId8"/>
      <w:pgSz w:w="11909" w:h="16834" w:code="9"/>
      <w:pgMar w:top="2381" w:right="2268" w:bottom="1440" w:left="1814" w:header="1151" w:footer="43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637" w:rsidRDefault="00E05637">
      <w:r>
        <w:separator/>
      </w:r>
    </w:p>
  </w:endnote>
  <w:endnote w:type="continuationSeparator" w:id="0">
    <w:p w:rsidR="00E05637" w:rsidRDefault="00E05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ヒラギノ明朝 Pro W3">
    <w:altName w:val="Arial Unicode MS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AD9" w:rsidRDefault="0086191D" w:rsidP="005167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1AD9" w:rsidRDefault="00E05637" w:rsidP="002A1AD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AD9" w:rsidRDefault="0086191D" w:rsidP="005167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7428">
      <w:rPr>
        <w:rStyle w:val="PageNumber"/>
        <w:noProof/>
      </w:rPr>
      <w:t>1</w:t>
    </w:r>
    <w:r>
      <w:rPr>
        <w:rStyle w:val="PageNumber"/>
      </w:rPr>
      <w:fldChar w:fldCharType="end"/>
    </w:r>
  </w:p>
  <w:p w:rsidR="002A1AD9" w:rsidRDefault="00E05637" w:rsidP="002A1AD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637" w:rsidRDefault="00E05637">
      <w:r>
        <w:separator/>
      </w:r>
    </w:p>
  </w:footnote>
  <w:footnote w:type="continuationSeparator" w:id="0">
    <w:p w:rsidR="00E05637" w:rsidRDefault="00E05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91D"/>
    <w:rsid w:val="000818BE"/>
    <w:rsid w:val="0016118B"/>
    <w:rsid w:val="0018761C"/>
    <w:rsid w:val="00194709"/>
    <w:rsid w:val="0030136D"/>
    <w:rsid w:val="004D05CD"/>
    <w:rsid w:val="004F6805"/>
    <w:rsid w:val="005574AD"/>
    <w:rsid w:val="00683217"/>
    <w:rsid w:val="006D3A05"/>
    <w:rsid w:val="00710C6B"/>
    <w:rsid w:val="00844660"/>
    <w:rsid w:val="0086191D"/>
    <w:rsid w:val="00953D31"/>
    <w:rsid w:val="00967DC9"/>
    <w:rsid w:val="00997428"/>
    <w:rsid w:val="009F12F1"/>
    <w:rsid w:val="00A62BA8"/>
    <w:rsid w:val="00C3621B"/>
    <w:rsid w:val="00D437D5"/>
    <w:rsid w:val="00DB0A01"/>
    <w:rsid w:val="00E05637"/>
    <w:rsid w:val="00E7200B"/>
    <w:rsid w:val="00EA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191D"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basedOn w:val="DefaultParagraphFont"/>
    <w:rsid w:val="00D437D5"/>
    <w:rPr>
      <w:rFonts w:ascii="Arial" w:hAnsi="Arial" w:cs="Arial"/>
      <w:color w:val="auto"/>
      <w:sz w:val="20"/>
    </w:rPr>
  </w:style>
  <w:style w:type="character" w:customStyle="1" w:styleId="EmailStyle16">
    <w:name w:val="EmailStyle16"/>
    <w:basedOn w:val="DefaultParagraphFont"/>
    <w:rsid w:val="00D437D5"/>
    <w:rPr>
      <w:rFonts w:ascii="Arial" w:hAnsi="Arial" w:cs="Arial"/>
      <w:color w:val="auto"/>
      <w:sz w:val="20"/>
    </w:rPr>
  </w:style>
  <w:style w:type="paragraph" w:styleId="Footer">
    <w:name w:val="footer"/>
    <w:basedOn w:val="Normal"/>
    <w:link w:val="FooterChar"/>
    <w:rsid w:val="0086191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6191D"/>
    <w:rPr>
      <w:rFonts w:ascii="Arial" w:hAnsi="Arial"/>
      <w:sz w:val="22"/>
      <w:szCs w:val="24"/>
      <w:lang w:eastAsia="en-US"/>
    </w:rPr>
  </w:style>
  <w:style w:type="character" w:styleId="PageNumber">
    <w:name w:val="page number"/>
    <w:basedOn w:val="DefaultParagraphFont"/>
    <w:rsid w:val="0086191D"/>
  </w:style>
  <w:style w:type="paragraph" w:customStyle="1" w:styleId="3-NormalYaz">
    <w:name w:val="3-Normal Yazı"/>
    <w:next w:val="Normal"/>
    <w:rsid w:val="00953D31"/>
    <w:pPr>
      <w:tabs>
        <w:tab w:val="left" w:pos="566"/>
      </w:tabs>
      <w:jc w:val="both"/>
    </w:pPr>
    <w:rPr>
      <w:rFonts w:eastAsia="ヒラギノ明朝 Pro W3" w:hAnsi="Times"/>
      <w:sz w:val="19"/>
      <w:lang w:eastAsia="en-US"/>
    </w:rPr>
  </w:style>
  <w:style w:type="paragraph" w:styleId="NormalWeb">
    <w:name w:val="Normal (Web)"/>
    <w:basedOn w:val="Normal"/>
    <w:uiPriority w:val="99"/>
    <w:unhideWhenUsed/>
    <w:rsid w:val="00953D31"/>
    <w:pPr>
      <w:spacing w:before="100" w:beforeAutospacing="1" w:after="100" w:afterAutospacing="1"/>
    </w:pPr>
    <w:rPr>
      <w:rFonts w:ascii="Times New Roman" w:hAnsi="Times New Roman"/>
      <w:sz w:val="24"/>
      <w:lang w:eastAsia="tr-TR"/>
    </w:rPr>
  </w:style>
  <w:style w:type="paragraph" w:customStyle="1" w:styleId="2-OrtaBaslk">
    <w:name w:val="2-Orta Baslık"/>
    <w:next w:val="Normal"/>
    <w:rsid w:val="00953D31"/>
    <w:pPr>
      <w:jc w:val="center"/>
    </w:pPr>
    <w:rPr>
      <w:rFonts w:eastAsia="ヒラギノ明朝 Pro W3" w:hAnsi="Times"/>
      <w:b/>
      <w:sz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191D"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basedOn w:val="DefaultParagraphFont"/>
    <w:rsid w:val="00D437D5"/>
    <w:rPr>
      <w:rFonts w:ascii="Arial" w:hAnsi="Arial" w:cs="Arial"/>
      <w:color w:val="auto"/>
      <w:sz w:val="20"/>
    </w:rPr>
  </w:style>
  <w:style w:type="character" w:customStyle="1" w:styleId="EmailStyle16">
    <w:name w:val="EmailStyle16"/>
    <w:basedOn w:val="DefaultParagraphFont"/>
    <w:rsid w:val="00D437D5"/>
    <w:rPr>
      <w:rFonts w:ascii="Arial" w:hAnsi="Arial" w:cs="Arial"/>
      <w:color w:val="auto"/>
      <w:sz w:val="20"/>
    </w:rPr>
  </w:style>
  <w:style w:type="paragraph" w:styleId="Footer">
    <w:name w:val="footer"/>
    <w:basedOn w:val="Normal"/>
    <w:link w:val="FooterChar"/>
    <w:rsid w:val="0086191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6191D"/>
    <w:rPr>
      <w:rFonts w:ascii="Arial" w:hAnsi="Arial"/>
      <w:sz w:val="22"/>
      <w:szCs w:val="24"/>
      <w:lang w:eastAsia="en-US"/>
    </w:rPr>
  </w:style>
  <w:style w:type="character" w:styleId="PageNumber">
    <w:name w:val="page number"/>
    <w:basedOn w:val="DefaultParagraphFont"/>
    <w:rsid w:val="0086191D"/>
  </w:style>
  <w:style w:type="paragraph" w:customStyle="1" w:styleId="3-NormalYaz">
    <w:name w:val="3-Normal Yazı"/>
    <w:next w:val="Normal"/>
    <w:rsid w:val="00953D31"/>
    <w:pPr>
      <w:tabs>
        <w:tab w:val="left" w:pos="566"/>
      </w:tabs>
      <w:jc w:val="both"/>
    </w:pPr>
    <w:rPr>
      <w:rFonts w:eastAsia="ヒラギノ明朝 Pro W3" w:hAnsi="Times"/>
      <w:sz w:val="19"/>
      <w:lang w:eastAsia="en-US"/>
    </w:rPr>
  </w:style>
  <w:style w:type="paragraph" w:styleId="NormalWeb">
    <w:name w:val="Normal (Web)"/>
    <w:basedOn w:val="Normal"/>
    <w:uiPriority w:val="99"/>
    <w:unhideWhenUsed/>
    <w:rsid w:val="00953D31"/>
    <w:pPr>
      <w:spacing w:before="100" w:beforeAutospacing="1" w:after="100" w:afterAutospacing="1"/>
    </w:pPr>
    <w:rPr>
      <w:rFonts w:ascii="Times New Roman" w:hAnsi="Times New Roman"/>
      <w:sz w:val="24"/>
      <w:lang w:eastAsia="tr-TR"/>
    </w:rPr>
  </w:style>
  <w:style w:type="paragraph" w:customStyle="1" w:styleId="2-OrtaBaslk">
    <w:name w:val="2-Orta Baslık"/>
    <w:next w:val="Normal"/>
    <w:rsid w:val="00953D31"/>
    <w:pPr>
      <w:jc w:val="center"/>
    </w:pPr>
    <w:rPr>
      <w:rFonts w:eastAsia="ヒラギノ明朝 Pro W3" w:hAnsi="Times"/>
      <w:b/>
      <w:sz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2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TBB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tulayb</dc:creator>
  <cp:lastModifiedBy>agaoglum</cp:lastModifiedBy>
  <cp:revision>6</cp:revision>
  <dcterms:created xsi:type="dcterms:W3CDTF">2012-07-05T12:04:00Z</dcterms:created>
  <dcterms:modified xsi:type="dcterms:W3CDTF">2012-07-10T10:16:00Z</dcterms:modified>
</cp:coreProperties>
</file>