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0458AB33" w:rsidR="001D1996" w:rsidRPr="00F935B0" w:rsidRDefault="0031184A" w:rsidP="000F0427">
      <w:pPr>
        <w:pStyle w:val="Title"/>
        <w:rPr>
          <w:rFonts w:ascii="Arial" w:hAnsi="Arial" w:cs="Arial"/>
          <w:bCs/>
          <w:sz w:val="22"/>
          <w:szCs w:val="22"/>
        </w:rPr>
      </w:pPr>
      <w:r>
        <w:rPr>
          <w:rFonts w:ascii="Arial" w:hAnsi="Arial" w:cs="Arial"/>
          <w:bCs/>
          <w:sz w:val="22"/>
          <w:szCs w:val="22"/>
        </w:rPr>
        <w:t>Ocak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44F81B06"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31184A">
        <w:rPr>
          <w:rFonts w:ascii="Arial" w:hAnsi="Arial" w:cs="Arial"/>
          <w:sz w:val="22"/>
          <w:szCs w:val="22"/>
        </w:rPr>
        <w:t>Aralık 2024</w:t>
      </w:r>
      <w:r w:rsidR="004970FB">
        <w:rPr>
          <w:rFonts w:ascii="Arial" w:hAnsi="Arial" w:cs="Arial"/>
          <w:sz w:val="22"/>
          <w:szCs w:val="22"/>
        </w:rPr>
        <w:t xml:space="preserve"> döneminde</w:t>
      </w:r>
      <w:r w:rsidR="00875DFC" w:rsidRPr="00875DFC">
        <w:rPr>
          <w:rFonts w:ascii="Arial" w:hAnsi="Arial" w:cs="Arial"/>
          <w:sz w:val="22"/>
          <w:szCs w:val="22"/>
        </w:rPr>
        <w:t xml:space="preserve"> </w:t>
      </w:r>
      <w:r w:rsidR="00065208">
        <w:rPr>
          <w:rFonts w:ascii="Arial" w:hAnsi="Arial" w:cs="Arial"/>
          <w:sz w:val="22"/>
          <w:szCs w:val="22"/>
        </w:rPr>
        <w:t>30</w:t>
      </w:r>
      <w:r w:rsidR="00065208"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065208">
        <w:rPr>
          <w:rFonts w:ascii="Arial" w:hAnsi="Arial" w:cs="Arial"/>
          <w:sz w:val="22"/>
          <w:szCs w:val="22"/>
        </w:rPr>
        <w:t xml:space="preserve">16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Ocak 2025 döneminde</w:t>
      </w:r>
      <w:r w:rsidR="00742E41">
        <w:rPr>
          <w:rFonts w:ascii="Arial" w:hAnsi="Arial" w:cs="Arial"/>
          <w:sz w:val="22"/>
          <w:szCs w:val="22"/>
        </w:rPr>
        <w:t xml:space="preserve"> ise </w:t>
      </w:r>
      <w:r w:rsidR="00742E41" w:rsidRPr="00D42750">
        <w:rPr>
          <w:rFonts w:ascii="Arial" w:hAnsi="Arial" w:cs="Arial"/>
          <w:sz w:val="22"/>
          <w:szCs w:val="22"/>
        </w:rPr>
        <w:t>kapsama alın</w:t>
      </w:r>
      <w:r w:rsidR="00742E41">
        <w:rPr>
          <w:rFonts w:ascii="Arial" w:hAnsi="Arial" w:cs="Arial"/>
          <w:sz w:val="22"/>
          <w:szCs w:val="22"/>
        </w:rPr>
        <w:t>an ve/veya</w:t>
      </w:r>
      <w:r w:rsidR="00742E41">
        <w:rPr>
          <w:rFonts w:ascii="Arial" w:hAnsi="Arial" w:cs="Arial"/>
          <w:sz w:val="22"/>
          <w:szCs w:val="22"/>
        </w:rPr>
        <w:t xml:space="preserve"> anlaşması bağıtlan</w:t>
      </w:r>
      <w:r w:rsidR="00742E41">
        <w:rPr>
          <w:rFonts w:ascii="Arial" w:hAnsi="Arial" w:cs="Arial"/>
          <w:sz w:val="22"/>
          <w:szCs w:val="22"/>
        </w:rPr>
        <w:t>an firma bulunmamaktadır.</w:t>
      </w:r>
    </w:p>
    <w:p w14:paraId="6001546C" w14:textId="77777777" w:rsidR="008E4B67" w:rsidRDefault="008E4B67" w:rsidP="00A66F06">
      <w:pPr>
        <w:jc w:val="both"/>
        <w:rPr>
          <w:rFonts w:ascii="Arial" w:hAnsi="Arial" w:cs="Arial"/>
          <w:sz w:val="22"/>
          <w:szCs w:val="22"/>
        </w:rPr>
      </w:pPr>
    </w:p>
    <w:p w14:paraId="511708FD" w14:textId="4B3C3736"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2F33EC">
        <w:rPr>
          <w:rFonts w:ascii="Arial" w:hAnsi="Arial" w:cs="Arial"/>
          <w:b/>
          <w:sz w:val="22"/>
          <w:szCs w:val="22"/>
        </w:rPr>
        <w:t>4</w:t>
      </w:r>
      <w:r w:rsidR="00DE6944">
        <w:rPr>
          <w:rFonts w:ascii="Arial" w:hAnsi="Arial" w:cs="Arial"/>
          <w:b/>
          <w:sz w:val="22"/>
          <w:szCs w:val="22"/>
        </w:rPr>
        <w:t>15</w:t>
      </w:r>
      <w:r w:rsidR="002F33EC">
        <w:rPr>
          <w:rFonts w:ascii="Arial" w:hAnsi="Arial" w:cs="Arial"/>
          <w:b/>
          <w:sz w:val="22"/>
          <w:szCs w:val="22"/>
        </w:rPr>
        <w:t xml:space="preserve"> </w:t>
      </w:r>
      <w:r w:rsidR="004E33EB">
        <w:rPr>
          <w:rFonts w:ascii="Arial" w:hAnsi="Arial" w:cs="Arial"/>
          <w:b/>
          <w:sz w:val="22"/>
          <w:szCs w:val="22"/>
        </w:rPr>
        <w:t xml:space="preserve">firmanın </w:t>
      </w:r>
      <w:r w:rsidR="00DE6944">
        <w:rPr>
          <w:rFonts w:ascii="Arial" w:hAnsi="Arial" w:cs="Arial"/>
          <w:b/>
          <w:sz w:val="22"/>
          <w:szCs w:val="22"/>
        </w:rPr>
        <w:t>325</w:t>
      </w:r>
      <w:r w:rsidR="002F33EC">
        <w:rPr>
          <w:rFonts w:ascii="Arial" w:hAnsi="Arial" w:cs="Arial"/>
          <w:b/>
          <w:sz w:val="22"/>
          <w:szCs w:val="22"/>
        </w:rPr>
        <w:t xml:space="preserve">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926" w:type="dxa"/>
        <w:tblLayout w:type="fixed"/>
        <w:tblLook w:val="04A0" w:firstRow="1" w:lastRow="0" w:firstColumn="1" w:lastColumn="0" w:noHBand="0" w:noVBand="1"/>
      </w:tblPr>
      <w:tblGrid>
        <w:gridCol w:w="938"/>
        <w:gridCol w:w="1609"/>
        <w:gridCol w:w="709"/>
        <w:gridCol w:w="850"/>
        <w:gridCol w:w="851"/>
        <w:gridCol w:w="992"/>
        <w:gridCol w:w="992"/>
        <w:gridCol w:w="992"/>
        <w:gridCol w:w="993"/>
      </w:tblGrid>
      <w:tr w:rsidR="00F11741" w:rsidRPr="007473AA" w14:paraId="5229DC21" w14:textId="706D5336" w:rsidTr="00F11741">
        <w:trPr>
          <w:trHeight w:val="327"/>
        </w:trPr>
        <w:tc>
          <w:tcPr>
            <w:tcW w:w="938" w:type="dxa"/>
            <w:noWrap/>
            <w:hideMark/>
          </w:tcPr>
          <w:p w14:paraId="4C173679"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3191953A" w14:textId="77777777" w:rsidR="0031184A" w:rsidRPr="007473AA" w:rsidRDefault="0031184A" w:rsidP="0031184A">
            <w:pPr>
              <w:jc w:val="center"/>
              <w:rPr>
                <w:rFonts w:ascii="Arial" w:hAnsi="Arial" w:cs="Arial"/>
                <w:b/>
                <w:bCs/>
                <w:sz w:val="18"/>
                <w:szCs w:val="18"/>
                <w:lang w:eastAsia="tr-TR"/>
              </w:rPr>
            </w:pPr>
          </w:p>
        </w:tc>
        <w:tc>
          <w:tcPr>
            <w:tcW w:w="709" w:type="dxa"/>
            <w:noWrap/>
            <w:vAlign w:val="center"/>
            <w:hideMark/>
          </w:tcPr>
          <w:p w14:paraId="3916A0AC"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31184A" w:rsidRPr="00572BC7" w:rsidRDefault="0031184A" w:rsidP="0031184A">
            <w:pPr>
              <w:jc w:val="center"/>
              <w:rPr>
                <w:rFonts w:ascii="Arial" w:hAnsi="Arial" w:cs="Arial"/>
                <w:bCs/>
                <w:sz w:val="18"/>
                <w:szCs w:val="18"/>
                <w:lang w:eastAsia="tr-TR"/>
              </w:rPr>
            </w:pPr>
            <w:r>
              <w:rPr>
                <w:rFonts w:ascii="Arial" w:hAnsi="Arial" w:cs="Arial"/>
                <w:b/>
                <w:bCs/>
                <w:sz w:val="18"/>
                <w:szCs w:val="18"/>
                <w:lang w:eastAsia="tr-TR"/>
              </w:rPr>
              <w:t>2024</w:t>
            </w:r>
          </w:p>
        </w:tc>
        <w:tc>
          <w:tcPr>
            <w:tcW w:w="993" w:type="dxa"/>
            <w:vAlign w:val="center"/>
          </w:tcPr>
          <w:p w14:paraId="39103EAD" w14:textId="6292E0D8" w:rsidR="0031184A" w:rsidRPr="00572BC7" w:rsidRDefault="0031184A" w:rsidP="0031184A">
            <w:pPr>
              <w:jc w:val="center"/>
              <w:rPr>
                <w:rFonts w:ascii="Arial" w:hAnsi="Arial" w:cs="Arial"/>
                <w:b/>
                <w:bCs/>
                <w:sz w:val="18"/>
                <w:szCs w:val="18"/>
                <w:lang w:eastAsia="tr-TR"/>
              </w:rPr>
            </w:pPr>
            <w:r w:rsidRPr="00572BC7">
              <w:rPr>
                <w:rFonts w:ascii="Arial" w:hAnsi="Arial" w:cs="Arial"/>
                <w:b/>
                <w:bCs/>
                <w:sz w:val="18"/>
                <w:szCs w:val="18"/>
                <w:lang w:eastAsia="tr-TR"/>
              </w:rPr>
              <w:t>202</w:t>
            </w:r>
            <w:r>
              <w:rPr>
                <w:rFonts w:ascii="Arial" w:hAnsi="Arial" w:cs="Arial"/>
                <w:b/>
                <w:bCs/>
                <w:sz w:val="18"/>
                <w:szCs w:val="18"/>
                <w:lang w:eastAsia="tr-TR"/>
              </w:rPr>
              <w:t>5</w:t>
            </w:r>
          </w:p>
          <w:p w14:paraId="64434CA5" w14:textId="00296B86" w:rsidR="0031184A" w:rsidRPr="00572BC7" w:rsidRDefault="0031184A" w:rsidP="0031184A">
            <w:pPr>
              <w:jc w:val="center"/>
              <w:rPr>
                <w:rFonts w:ascii="Arial" w:hAnsi="Arial" w:cs="Arial"/>
                <w:b/>
                <w:bCs/>
                <w:sz w:val="18"/>
                <w:szCs w:val="18"/>
                <w:lang w:eastAsia="tr-TR"/>
              </w:rPr>
            </w:pPr>
            <w:r>
              <w:rPr>
                <w:rFonts w:ascii="Arial" w:hAnsi="Arial" w:cs="Arial"/>
                <w:b/>
                <w:bCs/>
                <w:sz w:val="18"/>
                <w:szCs w:val="18"/>
                <w:lang w:eastAsia="tr-TR"/>
              </w:rPr>
              <w:t>Ocak</w:t>
            </w:r>
          </w:p>
        </w:tc>
      </w:tr>
      <w:tr w:rsidR="00F11741" w:rsidRPr="007473AA" w14:paraId="777376C4" w14:textId="7CBBABB1" w:rsidTr="00F11741">
        <w:trPr>
          <w:trHeight w:val="327"/>
        </w:trPr>
        <w:tc>
          <w:tcPr>
            <w:tcW w:w="938" w:type="dxa"/>
            <w:vMerge w:val="restart"/>
            <w:noWrap/>
            <w:vAlign w:val="center"/>
            <w:hideMark/>
          </w:tcPr>
          <w:p w14:paraId="0591E68E" w14:textId="21B13A72"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31184A" w:rsidRPr="00572BC7" w:rsidRDefault="0031184A" w:rsidP="0031184A">
            <w:pPr>
              <w:jc w:val="center"/>
              <w:rPr>
                <w:rFonts w:ascii="Arial" w:hAnsi="Arial" w:cs="Arial"/>
                <w:bCs/>
                <w:sz w:val="18"/>
                <w:szCs w:val="18"/>
                <w:lang w:eastAsia="tr-TR"/>
              </w:rPr>
            </w:pPr>
            <w:r>
              <w:rPr>
                <w:rFonts w:ascii="Arial" w:hAnsi="Arial" w:cs="Arial"/>
                <w:sz w:val="18"/>
                <w:szCs w:val="18"/>
              </w:rPr>
              <w:t>532</w:t>
            </w:r>
          </w:p>
        </w:tc>
        <w:tc>
          <w:tcPr>
            <w:tcW w:w="993" w:type="dxa"/>
            <w:vAlign w:val="center"/>
          </w:tcPr>
          <w:p w14:paraId="293F4A31" w14:textId="47670AC4" w:rsidR="0031184A" w:rsidRDefault="0031184A" w:rsidP="0031184A">
            <w:pPr>
              <w:jc w:val="center"/>
              <w:rPr>
                <w:rFonts w:ascii="Arial" w:hAnsi="Arial" w:cs="Arial"/>
                <w:sz w:val="18"/>
                <w:szCs w:val="18"/>
              </w:rPr>
            </w:pPr>
            <w:r>
              <w:rPr>
                <w:rFonts w:ascii="Arial" w:hAnsi="Arial" w:cs="Arial"/>
                <w:sz w:val="18"/>
                <w:szCs w:val="18"/>
              </w:rPr>
              <w:t>532</w:t>
            </w:r>
          </w:p>
        </w:tc>
      </w:tr>
      <w:tr w:rsidR="00F11741" w:rsidRPr="007473AA" w14:paraId="68B7E873" w14:textId="64C4DC8A" w:rsidTr="00F11741">
        <w:trPr>
          <w:trHeight w:val="327"/>
        </w:trPr>
        <w:tc>
          <w:tcPr>
            <w:tcW w:w="938" w:type="dxa"/>
            <w:vMerge/>
            <w:noWrap/>
            <w:hideMark/>
          </w:tcPr>
          <w:p w14:paraId="23A03E7E"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558A3E9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31184A" w:rsidRPr="00572BC7" w:rsidRDefault="0031184A" w:rsidP="0031184A">
            <w:pPr>
              <w:jc w:val="center"/>
              <w:rPr>
                <w:rFonts w:ascii="Arial" w:hAnsi="Arial" w:cs="Arial"/>
                <w:bCs/>
                <w:sz w:val="18"/>
                <w:szCs w:val="18"/>
                <w:lang w:eastAsia="tr-TR"/>
              </w:rPr>
            </w:pPr>
            <w:r>
              <w:rPr>
                <w:rFonts w:ascii="Arial" w:hAnsi="Arial" w:cs="Arial"/>
                <w:sz w:val="18"/>
                <w:szCs w:val="18"/>
              </w:rPr>
              <w:t>373</w:t>
            </w:r>
          </w:p>
        </w:tc>
        <w:tc>
          <w:tcPr>
            <w:tcW w:w="993" w:type="dxa"/>
            <w:vAlign w:val="center"/>
          </w:tcPr>
          <w:p w14:paraId="3DD8C884" w14:textId="5714CCA8" w:rsidR="0031184A" w:rsidRDefault="0031184A" w:rsidP="0031184A">
            <w:pPr>
              <w:jc w:val="center"/>
              <w:rPr>
                <w:rFonts w:ascii="Arial" w:hAnsi="Arial" w:cs="Arial"/>
                <w:sz w:val="18"/>
                <w:szCs w:val="18"/>
              </w:rPr>
            </w:pPr>
            <w:r>
              <w:rPr>
                <w:rFonts w:ascii="Arial" w:hAnsi="Arial" w:cs="Arial"/>
                <w:sz w:val="18"/>
                <w:szCs w:val="18"/>
              </w:rPr>
              <w:t>373</w:t>
            </w:r>
          </w:p>
        </w:tc>
      </w:tr>
      <w:tr w:rsidR="00F11741" w:rsidRPr="007473AA" w14:paraId="4ED61D34" w14:textId="0EF5C91E" w:rsidTr="00F11741">
        <w:trPr>
          <w:trHeight w:val="327"/>
        </w:trPr>
        <w:tc>
          <w:tcPr>
            <w:tcW w:w="938" w:type="dxa"/>
            <w:vMerge/>
            <w:noWrap/>
            <w:hideMark/>
          </w:tcPr>
          <w:p w14:paraId="725D7AB0"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073895E5"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31184A" w:rsidRPr="007621B5" w:rsidRDefault="0031184A" w:rsidP="0031184A">
            <w:pPr>
              <w:jc w:val="center"/>
              <w:rPr>
                <w:rFonts w:ascii="Arial" w:hAnsi="Arial" w:cs="Arial"/>
                <w:bCs/>
                <w:sz w:val="18"/>
                <w:szCs w:val="18"/>
                <w:lang w:eastAsia="tr-TR"/>
              </w:rPr>
            </w:pPr>
            <w:r>
              <w:rPr>
                <w:rFonts w:ascii="Arial" w:hAnsi="Arial" w:cs="Arial"/>
                <w:sz w:val="18"/>
                <w:szCs w:val="18"/>
              </w:rPr>
              <w:t>324.782</w:t>
            </w:r>
          </w:p>
        </w:tc>
        <w:tc>
          <w:tcPr>
            <w:tcW w:w="993" w:type="dxa"/>
            <w:vAlign w:val="center"/>
          </w:tcPr>
          <w:p w14:paraId="210DBF51" w14:textId="53FC1F7F" w:rsidR="0031184A" w:rsidRDefault="0031184A" w:rsidP="0031184A">
            <w:pPr>
              <w:jc w:val="center"/>
              <w:rPr>
                <w:rFonts w:ascii="Arial" w:hAnsi="Arial" w:cs="Arial"/>
                <w:sz w:val="18"/>
                <w:szCs w:val="18"/>
              </w:rPr>
            </w:pPr>
            <w:r>
              <w:rPr>
                <w:rFonts w:ascii="Arial" w:hAnsi="Arial" w:cs="Arial"/>
                <w:sz w:val="18"/>
                <w:szCs w:val="18"/>
              </w:rPr>
              <w:t>324.782</w:t>
            </w:r>
          </w:p>
        </w:tc>
      </w:tr>
      <w:tr w:rsidR="00F11741" w:rsidRPr="007473AA" w14:paraId="0674B771" w14:textId="2817FBB5" w:rsidTr="00F11741">
        <w:trPr>
          <w:trHeight w:val="327"/>
        </w:trPr>
        <w:tc>
          <w:tcPr>
            <w:tcW w:w="938" w:type="dxa"/>
            <w:vMerge w:val="restart"/>
            <w:noWrap/>
            <w:vAlign w:val="center"/>
            <w:hideMark/>
          </w:tcPr>
          <w:p w14:paraId="072B3C7F" w14:textId="6BA0CF63"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993" w:type="dxa"/>
            <w:vAlign w:val="center"/>
          </w:tcPr>
          <w:p w14:paraId="4022C96F" w14:textId="0A513C8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r>
      <w:tr w:rsidR="00F11741" w:rsidRPr="007473AA" w14:paraId="01A1A8B8" w14:textId="5680DD6A" w:rsidTr="00F11741">
        <w:trPr>
          <w:trHeight w:val="327"/>
        </w:trPr>
        <w:tc>
          <w:tcPr>
            <w:tcW w:w="938" w:type="dxa"/>
            <w:vMerge/>
            <w:noWrap/>
            <w:hideMark/>
          </w:tcPr>
          <w:p w14:paraId="46AE1C1A"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2078F82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993" w:type="dxa"/>
            <w:vAlign w:val="center"/>
          </w:tcPr>
          <w:p w14:paraId="529E9FB1" w14:textId="698AF3E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42</w:t>
            </w:r>
          </w:p>
        </w:tc>
      </w:tr>
      <w:tr w:rsidR="00F11741" w:rsidRPr="007473AA" w14:paraId="2E132977" w14:textId="2B4A27AD" w:rsidTr="00F11741">
        <w:trPr>
          <w:trHeight w:val="327"/>
        </w:trPr>
        <w:tc>
          <w:tcPr>
            <w:tcW w:w="938" w:type="dxa"/>
            <w:vMerge/>
            <w:noWrap/>
            <w:hideMark/>
          </w:tcPr>
          <w:p w14:paraId="31D23D29"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69812F1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993" w:type="dxa"/>
            <w:vAlign w:val="center"/>
          </w:tcPr>
          <w:p w14:paraId="6D991636" w14:textId="12BB08D6"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488</w:t>
            </w:r>
          </w:p>
        </w:tc>
      </w:tr>
      <w:tr w:rsidR="00F11741" w:rsidRPr="007473AA" w14:paraId="2F5A0B21" w14:textId="0C4ED983" w:rsidTr="00F11741">
        <w:trPr>
          <w:trHeight w:val="327"/>
        </w:trPr>
        <w:tc>
          <w:tcPr>
            <w:tcW w:w="938" w:type="dxa"/>
            <w:vMerge w:val="restart"/>
            <w:noWrap/>
            <w:vAlign w:val="center"/>
            <w:hideMark/>
          </w:tcPr>
          <w:p w14:paraId="302A9592"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31184A" w:rsidRPr="00572BC7" w:rsidRDefault="0031184A" w:rsidP="0031184A">
            <w:pPr>
              <w:jc w:val="center"/>
              <w:rPr>
                <w:rFonts w:ascii="Arial" w:hAnsi="Arial" w:cs="Arial"/>
                <w:bCs/>
                <w:sz w:val="18"/>
                <w:szCs w:val="18"/>
                <w:lang w:eastAsia="tr-TR"/>
              </w:rPr>
            </w:pPr>
            <w:r>
              <w:rPr>
                <w:rFonts w:ascii="Arial" w:hAnsi="Arial" w:cs="Arial"/>
                <w:sz w:val="18"/>
                <w:szCs w:val="18"/>
              </w:rPr>
              <w:t>634</w:t>
            </w:r>
          </w:p>
        </w:tc>
        <w:tc>
          <w:tcPr>
            <w:tcW w:w="993" w:type="dxa"/>
            <w:vAlign w:val="center"/>
          </w:tcPr>
          <w:p w14:paraId="0C741049" w14:textId="2C4EA427" w:rsidR="0031184A" w:rsidRDefault="0031184A" w:rsidP="0031184A">
            <w:pPr>
              <w:jc w:val="center"/>
              <w:rPr>
                <w:rFonts w:ascii="Arial" w:hAnsi="Arial" w:cs="Arial"/>
                <w:sz w:val="18"/>
                <w:szCs w:val="18"/>
              </w:rPr>
            </w:pPr>
            <w:r>
              <w:rPr>
                <w:rFonts w:ascii="Arial" w:hAnsi="Arial" w:cs="Arial"/>
                <w:sz w:val="18"/>
                <w:szCs w:val="18"/>
              </w:rPr>
              <w:t>634</w:t>
            </w:r>
          </w:p>
        </w:tc>
      </w:tr>
      <w:tr w:rsidR="00F11741" w:rsidRPr="007473AA" w14:paraId="002588FB" w14:textId="0B7249DE" w:rsidTr="00F11741">
        <w:trPr>
          <w:trHeight w:val="327"/>
        </w:trPr>
        <w:tc>
          <w:tcPr>
            <w:tcW w:w="938" w:type="dxa"/>
            <w:vMerge/>
            <w:noWrap/>
            <w:hideMark/>
          </w:tcPr>
          <w:p w14:paraId="2C69BD57"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6F918FF7"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31184A" w:rsidRPr="00572BC7" w:rsidRDefault="0031184A" w:rsidP="0031184A">
            <w:pPr>
              <w:jc w:val="center"/>
              <w:rPr>
                <w:rFonts w:ascii="Arial" w:hAnsi="Arial" w:cs="Arial"/>
                <w:bCs/>
                <w:sz w:val="18"/>
                <w:szCs w:val="18"/>
                <w:lang w:eastAsia="tr-TR"/>
              </w:rPr>
            </w:pPr>
            <w:r>
              <w:rPr>
                <w:rFonts w:ascii="Arial" w:hAnsi="Arial" w:cs="Arial"/>
                <w:sz w:val="18"/>
                <w:szCs w:val="18"/>
              </w:rPr>
              <w:t>415</w:t>
            </w:r>
          </w:p>
        </w:tc>
        <w:tc>
          <w:tcPr>
            <w:tcW w:w="993" w:type="dxa"/>
            <w:vAlign w:val="center"/>
          </w:tcPr>
          <w:p w14:paraId="5C89E832" w14:textId="5FFC3EAA" w:rsidR="0031184A" w:rsidRDefault="0031184A" w:rsidP="0031184A">
            <w:pPr>
              <w:jc w:val="center"/>
              <w:rPr>
                <w:rFonts w:ascii="Arial" w:hAnsi="Arial" w:cs="Arial"/>
                <w:sz w:val="18"/>
                <w:szCs w:val="18"/>
              </w:rPr>
            </w:pPr>
            <w:r>
              <w:rPr>
                <w:rFonts w:ascii="Arial" w:hAnsi="Arial" w:cs="Arial"/>
                <w:sz w:val="18"/>
                <w:szCs w:val="18"/>
              </w:rPr>
              <w:t>415</w:t>
            </w:r>
          </w:p>
        </w:tc>
      </w:tr>
      <w:tr w:rsidR="00F11741" w:rsidRPr="007473AA" w14:paraId="1935083D" w14:textId="1FA29868" w:rsidTr="00F11741">
        <w:trPr>
          <w:trHeight w:val="327"/>
        </w:trPr>
        <w:tc>
          <w:tcPr>
            <w:tcW w:w="938" w:type="dxa"/>
            <w:vMerge/>
            <w:noWrap/>
            <w:hideMark/>
          </w:tcPr>
          <w:p w14:paraId="3B04A6FA"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3C869B97"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31184A" w:rsidRPr="007621B5" w:rsidRDefault="0031184A" w:rsidP="0031184A">
            <w:pPr>
              <w:jc w:val="center"/>
              <w:rPr>
                <w:rFonts w:ascii="Arial" w:hAnsi="Arial" w:cs="Arial"/>
                <w:bCs/>
                <w:sz w:val="18"/>
                <w:szCs w:val="18"/>
                <w:lang w:eastAsia="tr-TR"/>
              </w:rPr>
            </w:pPr>
            <w:r>
              <w:rPr>
                <w:rFonts w:ascii="Arial" w:hAnsi="Arial" w:cs="Arial"/>
                <w:sz w:val="18"/>
                <w:szCs w:val="18"/>
              </w:rPr>
              <w:t>325.270</w:t>
            </w:r>
          </w:p>
        </w:tc>
        <w:tc>
          <w:tcPr>
            <w:tcW w:w="993" w:type="dxa"/>
            <w:vAlign w:val="center"/>
          </w:tcPr>
          <w:p w14:paraId="0785F2BD" w14:textId="6AFCD912" w:rsidR="0031184A" w:rsidRDefault="0031184A" w:rsidP="0031184A">
            <w:pPr>
              <w:jc w:val="center"/>
              <w:rPr>
                <w:rFonts w:ascii="Arial" w:hAnsi="Arial" w:cs="Arial"/>
                <w:sz w:val="18"/>
                <w:szCs w:val="18"/>
              </w:rPr>
            </w:pPr>
            <w:r>
              <w:rPr>
                <w:rFonts w:ascii="Arial" w:hAnsi="Arial" w:cs="Arial"/>
                <w:sz w:val="18"/>
                <w:szCs w:val="18"/>
              </w:rPr>
              <w:t>325.270</w:t>
            </w:r>
          </w:p>
        </w:tc>
      </w:tr>
    </w:tbl>
    <w:p w14:paraId="358B724A" w14:textId="31F0058F" w:rsidR="00657027" w:rsidRPr="0004707E" w:rsidRDefault="00926CD2" w:rsidP="00E3042B">
      <w:pPr>
        <w:rPr>
          <w:rFonts w:ascii="Arial" w:hAnsi="Arial" w:cs="Arial"/>
          <w:sz w:val="20"/>
        </w:rPr>
      </w:pPr>
      <w:r>
        <w:rPr>
          <w:rFonts w:ascii="Arial" w:hAnsi="Arial" w:cs="Arial"/>
          <w:sz w:val="20"/>
        </w:rPr>
        <w:t xml:space="preserve">*Veriler </w:t>
      </w:r>
      <w:proofErr w:type="gramStart"/>
      <w:r>
        <w:rPr>
          <w:rFonts w:ascii="Arial" w:hAnsi="Arial" w:cs="Arial"/>
          <w:sz w:val="20"/>
        </w:rPr>
        <w:t>kümülatiftir</w:t>
      </w:r>
      <w:proofErr w:type="gramEnd"/>
      <w:r>
        <w:rPr>
          <w:rFonts w:ascii="Arial" w:hAnsi="Arial" w:cs="Arial"/>
          <w:sz w:val="20"/>
        </w:rPr>
        <w:t>.</w:t>
      </w:r>
    </w:p>
    <w:p w14:paraId="41AC63CA" w14:textId="77777777" w:rsidR="001B594D" w:rsidRPr="00191929" w:rsidRDefault="001B594D" w:rsidP="00BE76FB">
      <w:pPr>
        <w:jc w:val="both"/>
        <w:rPr>
          <w:rFonts w:ascii="Arial" w:hAnsi="Arial" w:cs="Arial"/>
          <w:sz w:val="20"/>
        </w:rPr>
      </w:pPr>
    </w:p>
    <w:p w14:paraId="0D7D243D" w14:textId="4C6EB587"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31184A">
        <w:rPr>
          <w:rFonts w:ascii="Arial" w:hAnsi="Arial" w:cs="Arial"/>
          <w:sz w:val="22"/>
          <w:szCs w:val="22"/>
        </w:rPr>
        <w:t>Ocak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065208">
        <w:rPr>
          <w:rFonts w:ascii="Arial" w:hAnsi="Arial" w:cs="Arial"/>
          <w:sz w:val="22"/>
          <w:szCs w:val="22"/>
        </w:rPr>
        <w:t>634</w:t>
      </w:r>
      <w:r w:rsidR="00065208"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065208">
        <w:rPr>
          <w:rFonts w:ascii="Arial" w:hAnsi="Arial" w:cs="Arial"/>
          <w:sz w:val="22"/>
          <w:szCs w:val="22"/>
        </w:rPr>
        <w:t>532’si</w:t>
      </w:r>
      <w:r w:rsidR="00065208" w:rsidRPr="007473AA">
        <w:rPr>
          <w:rFonts w:ascii="Arial" w:hAnsi="Arial" w:cs="Arial"/>
          <w:sz w:val="22"/>
          <w:szCs w:val="22"/>
        </w:rPr>
        <w:t xml:space="preserve">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F7695E" w:rsidRPr="007473AA">
        <w:rPr>
          <w:rFonts w:ascii="Arial" w:hAnsi="Arial" w:cs="Arial"/>
          <w:sz w:val="22"/>
          <w:szCs w:val="22"/>
        </w:rPr>
        <w:t>10</w:t>
      </w:r>
      <w:r w:rsidR="00F7695E">
        <w:rPr>
          <w:rFonts w:ascii="Arial" w:hAnsi="Arial" w:cs="Arial"/>
          <w:sz w:val="22"/>
          <w:szCs w:val="22"/>
        </w:rPr>
        <w:t>2</w:t>
      </w:r>
      <w:r w:rsidR="00F7695E" w:rsidRPr="007473AA">
        <w:rPr>
          <w:rFonts w:ascii="Arial" w:hAnsi="Arial" w:cs="Arial"/>
          <w:sz w:val="22"/>
          <w:szCs w:val="22"/>
        </w:rPr>
        <w:t>’</w:t>
      </w:r>
      <w:r w:rsidR="00F7695E">
        <w:rPr>
          <w:rFonts w:ascii="Arial" w:hAnsi="Arial" w:cs="Arial"/>
          <w:sz w:val="22"/>
          <w:szCs w:val="22"/>
        </w:rPr>
        <w:t>s</w:t>
      </w:r>
      <w:r w:rsidR="00F7695E" w:rsidRPr="007473AA">
        <w:rPr>
          <w:rFonts w:ascii="Arial" w:hAnsi="Arial" w:cs="Arial"/>
          <w:sz w:val="22"/>
          <w:szCs w:val="22"/>
        </w:rPr>
        <w:t xml:space="preserve">i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2E4D0E8A"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2F33EC">
        <w:rPr>
          <w:rFonts w:ascii="Arial" w:hAnsi="Arial" w:cs="Arial"/>
          <w:sz w:val="22"/>
          <w:szCs w:val="22"/>
        </w:rPr>
        <w:t>4</w:t>
      </w:r>
      <w:r w:rsidR="00CB492F">
        <w:rPr>
          <w:rFonts w:ascii="Arial" w:hAnsi="Arial" w:cs="Arial"/>
          <w:sz w:val="22"/>
          <w:szCs w:val="22"/>
        </w:rPr>
        <w:t>15</w:t>
      </w:r>
      <w:bookmarkStart w:id="0" w:name="_GoBack"/>
      <w:bookmarkEnd w:id="0"/>
      <w:r w:rsidR="002F33EC"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065208">
        <w:rPr>
          <w:rFonts w:ascii="Arial" w:hAnsi="Arial" w:cs="Arial"/>
          <w:sz w:val="22"/>
          <w:szCs w:val="22"/>
        </w:rPr>
        <w:t xml:space="preserve">373’ü </w:t>
      </w:r>
      <w:r w:rsidR="009978FB">
        <w:rPr>
          <w:rFonts w:ascii="Arial" w:hAnsi="Arial" w:cs="Arial"/>
          <w:sz w:val="22"/>
          <w:szCs w:val="22"/>
        </w:rPr>
        <w:t xml:space="preserve">büyük ölçekli, </w:t>
      </w:r>
      <w:r w:rsidR="007D3E43">
        <w:rPr>
          <w:rFonts w:ascii="Arial" w:hAnsi="Arial" w:cs="Arial"/>
          <w:sz w:val="22"/>
          <w:szCs w:val="22"/>
        </w:rPr>
        <w:t>42</w:t>
      </w:r>
      <w:r w:rsidR="009978FB">
        <w:rPr>
          <w:rFonts w:ascii="Arial" w:hAnsi="Arial" w:cs="Arial"/>
          <w:sz w:val="22"/>
          <w:szCs w:val="22"/>
        </w:rPr>
        <w:t>’</w:t>
      </w:r>
      <w:r w:rsidR="007D3E43">
        <w:rPr>
          <w:rFonts w:ascii="Arial" w:hAnsi="Arial" w:cs="Arial"/>
          <w:sz w:val="22"/>
          <w:szCs w:val="22"/>
        </w:rPr>
        <w:t>s</w:t>
      </w:r>
      <w:r w:rsidR="009978FB">
        <w:rPr>
          <w:rFonts w:ascii="Arial" w:hAnsi="Arial" w:cs="Arial"/>
          <w:sz w:val="22"/>
          <w:szCs w:val="22"/>
        </w:rPr>
        <w:t>i</w:t>
      </w:r>
      <w:r w:rsidR="007319DF" w:rsidRPr="00F935B0">
        <w:rPr>
          <w:rFonts w:ascii="Arial" w:hAnsi="Arial" w:cs="Arial"/>
          <w:sz w:val="22"/>
          <w:szCs w:val="22"/>
        </w:rPr>
        <w:t xml:space="preserve"> küçük ölçekli uygulamalar kapsamındadır.</w:t>
      </w:r>
    </w:p>
    <w:p w14:paraId="0A81B43D" w14:textId="2BF9AB45" w:rsidR="001C55C0"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31184A">
        <w:rPr>
          <w:rFonts w:ascii="Arial" w:hAnsi="Arial" w:cs="Arial"/>
          <w:sz w:val="22"/>
          <w:szCs w:val="22"/>
        </w:rPr>
        <w:t>Ocak 2025</w:t>
      </w:r>
      <w:r w:rsidRPr="00F935B0">
        <w:rPr>
          <w:rFonts w:ascii="Arial" w:hAnsi="Arial" w:cs="Arial"/>
          <w:sz w:val="22"/>
          <w:szCs w:val="22"/>
        </w:rPr>
        <w:t xml:space="preserve"> dönemi içinde, </w:t>
      </w:r>
      <w:r w:rsidR="00457AC8">
        <w:rPr>
          <w:rFonts w:ascii="Arial" w:hAnsi="Arial" w:cs="Arial"/>
          <w:sz w:val="22"/>
          <w:szCs w:val="22"/>
        </w:rPr>
        <w:t>324.782</w:t>
      </w:r>
      <w:r w:rsidR="002F33EC">
        <w:rPr>
          <w:rFonts w:ascii="Arial" w:hAnsi="Arial" w:cs="Arial"/>
          <w:sz w:val="22"/>
          <w:szCs w:val="22"/>
        </w:rPr>
        <w:t xml:space="preserve"> </w:t>
      </w:r>
      <w:r w:rsidRPr="00F935B0">
        <w:rPr>
          <w:rFonts w:ascii="Arial" w:hAnsi="Arial" w:cs="Arial"/>
          <w:sz w:val="22"/>
          <w:szCs w:val="22"/>
        </w:rPr>
        <w:t xml:space="preserve">milyon TL’si büyük ölçekli, </w:t>
      </w:r>
      <w:r w:rsidR="000F0427" w:rsidRPr="00F935B0">
        <w:rPr>
          <w:rFonts w:ascii="Arial" w:hAnsi="Arial" w:cs="Arial"/>
          <w:sz w:val="22"/>
          <w:szCs w:val="22"/>
        </w:rPr>
        <w:t>4</w:t>
      </w:r>
      <w:r w:rsidR="007D3E43">
        <w:rPr>
          <w:rFonts w:ascii="Arial" w:hAnsi="Arial" w:cs="Arial"/>
          <w:sz w:val="22"/>
          <w:szCs w:val="22"/>
        </w:rPr>
        <w:t>8</w:t>
      </w:r>
      <w:r w:rsidR="00FD7CD5">
        <w:rPr>
          <w:rFonts w:ascii="Arial" w:hAnsi="Arial" w:cs="Arial"/>
          <w:sz w:val="22"/>
          <w:szCs w:val="22"/>
        </w:rPr>
        <w:t>8</w:t>
      </w:r>
      <w:r w:rsidR="00D171A3">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457AC8">
        <w:rPr>
          <w:rFonts w:ascii="Arial" w:hAnsi="Arial" w:cs="Arial"/>
          <w:sz w:val="22"/>
          <w:szCs w:val="22"/>
        </w:rPr>
        <w:t>325.270</w:t>
      </w:r>
      <w:r w:rsidR="00011113">
        <w:rPr>
          <w:rFonts w:ascii="Arial" w:hAnsi="Arial" w:cs="Arial"/>
          <w:sz w:val="22"/>
          <w:szCs w:val="22"/>
        </w:rPr>
        <w:t xml:space="preserve"> </w:t>
      </w:r>
      <w:r w:rsidR="000F0427" w:rsidRPr="00F935B0">
        <w:rPr>
          <w:rFonts w:ascii="Arial" w:hAnsi="Arial" w:cs="Arial"/>
          <w:sz w:val="22"/>
          <w:szCs w:val="22"/>
        </w:rPr>
        <w:t>milyon TL’dir.</w:t>
      </w:r>
    </w:p>
    <w:p w14:paraId="7EDDE0B1" w14:textId="77777777" w:rsidR="0004707E" w:rsidRPr="00F935B0" w:rsidRDefault="0004707E" w:rsidP="007473AA">
      <w:pPr>
        <w:spacing w:before="120" w:after="120"/>
        <w:jc w:val="both"/>
        <w:rPr>
          <w:rFonts w:ascii="Arial" w:hAnsi="Arial" w:cs="Arial"/>
          <w:sz w:val="22"/>
          <w:szCs w:val="22"/>
        </w:rPr>
      </w:pPr>
    </w:p>
    <w:p w14:paraId="2101E7B4" w14:textId="77777777" w:rsidR="00F935B0" w:rsidRPr="00F935B0" w:rsidRDefault="00F935B0" w:rsidP="00F935B0">
      <w:pPr>
        <w:jc w:val="center"/>
        <w:rPr>
          <w:rFonts w:ascii="Arial" w:hAnsi="Arial" w:cs="Arial"/>
          <w:b/>
          <w:sz w:val="22"/>
          <w:szCs w:val="22"/>
        </w:rPr>
      </w:pPr>
      <w:r w:rsidRPr="00F935B0">
        <w:rPr>
          <w:rFonts w:ascii="Arial" w:hAnsi="Arial" w:cs="Arial"/>
          <w:b/>
          <w:sz w:val="22"/>
          <w:szCs w:val="22"/>
        </w:rPr>
        <w:t>FYYÇA Büyük Ölçekli ve Küçük Uygulamalar</w:t>
      </w:r>
    </w:p>
    <w:p w14:paraId="6122B28A" w14:textId="5210D3D1"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31184A">
        <w:rPr>
          <w:rFonts w:ascii="Arial" w:hAnsi="Arial" w:cs="Arial"/>
          <w:b/>
          <w:sz w:val="22"/>
          <w:szCs w:val="22"/>
        </w:rPr>
        <w:t>Ocak 2025</w:t>
      </w:r>
    </w:p>
    <w:p w14:paraId="71C92700" w14:textId="6FED7D9F" w:rsidR="005A6273" w:rsidRDefault="005A6273" w:rsidP="00F935B0">
      <w:pPr>
        <w:jc w:val="center"/>
        <w:rPr>
          <w:rFonts w:ascii="Arial" w:hAnsi="Arial" w:cs="Arial"/>
          <w:b/>
          <w:sz w:val="22"/>
          <w:szCs w:val="22"/>
        </w:rPr>
      </w:pPr>
    </w:p>
    <w:p w14:paraId="04F9418A" w14:textId="0C9C3B19" w:rsidR="00FE5871" w:rsidRDefault="00457AC8" w:rsidP="00F935B0">
      <w:pPr>
        <w:jc w:val="center"/>
        <w:rPr>
          <w:rFonts w:ascii="Arial" w:hAnsi="Arial" w:cs="Arial"/>
          <w:b/>
          <w:sz w:val="22"/>
          <w:szCs w:val="22"/>
        </w:rPr>
      </w:pPr>
      <w:r>
        <w:rPr>
          <w:noProof/>
          <w:lang w:eastAsia="tr-TR"/>
        </w:rPr>
        <w:drawing>
          <wp:inline distT="0" distB="0" distL="0" distR="0" wp14:anchorId="670D8288" wp14:editId="288F8B69">
            <wp:extent cx="5221605" cy="2786380"/>
            <wp:effectExtent l="0" t="0" r="17145" b="1397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63265B" w14:textId="487EF3F4" w:rsidR="00FE5871" w:rsidRDefault="00FE5871"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50A5BA19"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31184A">
        <w:rPr>
          <w:rFonts w:ascii="Arial" w:hAnsi="Arial" w:cs="Arial"/>
          <w:sz w:val="22"/>
          <w:szCs w:val="22"/>
        </w:rPr>
        <w:t>Ocak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lastRenderedPageBreak/>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0687E6AB" w14:textId="77777777" w:rsidR="003D2CB9" w:rsidRPr="00F935B0" w:rsidRDefault="003D2CB9" w:rsidP="0039362D">
      <w:pPr>
        <w:jc w:val="both"/>
        <w:rPr>
          <w:rFonts w:ascii="Arial" w:hAnsi="Arial" w:cs="Arial"/>
          <w:sz w:val="22"/>
          <w:szCs w:val="22"/>
        </w:rPr>
      </w:pP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5B325AA5"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31184A">
        <w:rPr>
          <w:rFonts w:ascii="Arial" w:hAnsi="Arial" w:cs="Arial"/>
          <w:sz w:val="22"/>
          <w:szCs w:val="22"/>
        </w:rPr>
        <w:t>Ocak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7916A15B"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31184A">
        <w:rPr>
          <w:rFonts w:ascii="Arial" w:hAnsi="Arial" w:cs="Arial"/>
          <w:sz w:val="22"/>
          <w:szCs w:val="22"/>
        </w:rPr>
        <w:t>Ocak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50214A4B"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31184A">
        <w:rPr>
          <w:rFonts w:ascii="Arial" w:hAnsi="Arial" w:cs="Arial"/>
          <w:sz w:val="22"/>
          <w:szCs w:val="22"/>
        </w:rPr>
        <w:t>Ocak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proofErr w:type="gramStart"/>
      <w:r w:rsidR="007D3E43">
        <w:rPr>
          <w:rFonts w:ascii="Arial" w:hAnsi="Arial" w:cs="Arial"/>
          <w:sz w:val="22"/>
          <w:szCs w:val="22"/>
        </w:rPr>
        <w:t>ocak</w:t>
      </w:r>
      <w:r w:rsidR="005B1730" w:rsidRPr="00F935B0">
        <w:rPr>
          <w:rFonts w:ascii="Arial" w:hAnsi="Arial" w:cs="Arial"/>
          <w:sz w:val="22"/>
          <w:szCs w:val="22"/>
        </w:rPr>
        <w:t>çılığı</w:t>
      </w:r>
      <w:proofErr w:type="gramEnd"/>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1F3EB23" w14:textId="627112ED" w:rsidR="00011113" w:rsidRDefault="00011113" w:rsidP="008B5F67">
      <w:pPr>
        <w:tabs>
          <w:tab w:val="left" w:pos="6588"/>
        </w:tabs>
        <w:jc w:val="both"/>
        <w:rPr>
          <w:rFonts w:ascii="Arial" w:hAnsi="Arial" w:cs="Arial"/>
          <w:sz w:val="22"/>
          <w:szCs w:val="22"/>
        </w:rPr>
      </w:pPr>
    </w:p>
    <w:p w14:paraId="26F00250" w14:textId="3593C641" w:rsidR="00011113" w:rsidRDefault="00011113" w:rsidP="008B5F67">
      <w:pPr>
        <w:tabs>
          <w:tab w:val="left" w:pos="6588"/>
        </w:tabs>
        <w:jc w:val="both"/>
        <w:rPr>
          <w:rFonts w:ascii="Arial" w:hAnsi="Arial" w:cs="Arial"/>
          <w:sz w:val="22"/>
          <w:szCs w:val="22"/>
        </w:rPr>
      </w:pPr>
    </w:p>
    <w:p w14:paraId="0129762C" w14:textId="77777777" w:rsidR="00011113" w:rsidRDefault="00011113" w:rsidP="008B5F67">
      <w:pPr>
        <w:tabs>
          <w:tab w:val="left" w:pos="6588"/>
        </w:tabs>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67419059" w:rsidR="00A36D94" w:rsidRPr="006D4134" w:rsidRDefault="00A36D94" w:rsidP="001119C3">
      <w:pPr>
        <w:jc w:val="both"/>
        <w:rPr>
          <w:rFonts w:ascii="Arial" w:hAnsi="Arial" w:cs="Arial"/>
          <w:b/>
          <w:sz w:val="22"/>
          <w:szCs w:val="22"/>
        </w:rPr>
      </w:pPr>
      <w:r w:rsidRPr="00F935B0">
        <w:rPr>
          <w:rFonts w:ascii="Arial" w:hAnsi="Arial" w:cs="Arial"/>
          <w:b/>
          <w:sz w:val="22"/>
          <w:szCs w:val="22"/>
        </w:rPr>
        <w:lastRenderedPageBreak/>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D54867">
        <w:rPr>
          <w:rFonts w:ascii="Arial" w:hAnsi="Arial" w:cs="Arial"/>
          <w:b/>
          <w:sz w:val="22"/>
          <w:szCs w:val="22"/>
        </w:rPr>
        <w:t>76</w:t>
      </w:r>
      <w:r w:rsidR="00D54867"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D54867">
        <w:rPr>
          <w:rFonts w:ascii="Arial" w:hAnsi="Arial" w:cs="Arial"/>
          <w:b/>
          <w:sz w:val="22"/>
          <w:szCs w:val="22"/>
        </w:rPr>
        <w:t>234,1</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3B92008F"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31184A">
        <w:rPr>
          <w:rFonts w:ascii="Arial" w:hAnsi="Arial" w:cs="Arial"/>
          <w:sz w:val="22"/>
          <w:szCs w:val="22"/>
        </w:rPr>
        <w:t>Ocak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D54867">
        <w:rPr>
          <w:rFonts w:ascii="Arial" w:hAnsi="Arial" w:cs="Arial"/>
          <w:sz w:val="22"/>
          <w:szCs w:val="22"/>
        </w:rPr>
        <w:t>92</w:t>
      </w:r>
      <w:r w:rsidR="00D54867" w:rsidRPr="00730524">
        <w:rPr>
          <w:rFonts w:ascii="Arial" w:hAnsi="Arial" w:cs="Arial"/>
          <w:sz w:val="22"/>
          <w:szCs w:val="22"/>
        </w:rPr>
        <w:t xml:space="preserve"> </w:t>
      </w:r>
      <w:r w:rsidRPr="00730524">
        <w:rPr>
          <w:rFonts w:ascii="Arial" w:hAnsi="Arial" w:cs="Arial"/>
          <w:sz w:val="22"/>
          <w:szCs w:val="22"/>
        </w:rPr>
        <w:t>adet firma (</w:t>
      </w:r>
      <w:r w:rsidR="00D54867">
        <w:rPr>
          <w:rFonts w:ascii="Arial" w:hAnsi="Arial" w:cs="Arial"/>
          <w:sz w:val="22"/>
          <w:szCs w:val="22"/>
        </w:rPr>
        <w:t>45</w:t>
      </w:r>
      <w:r w:rsidR="00D54867"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D54867">
        <w:rPr>
          <w:rFonts w:ascii="Arial" w:hAnsi="Arial" w:cs="Arial"/>
          <w:sz w:val="22"/>
          <w:szCs w:val="22"/>
        </w:rPr>
        <w:t>76’sı</w:t>
      </w:r>
      <w:r w:rsidR="00D54867"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D54867">
        <w:rPr>
          <w:rFonts w:ascii="Arial" w:hAnsi="Arial" w:cs="Arial"/>
          <w:sz w:val="22"/>
          <w:szCs w:val="22"/>
        </w:rPr>
        <w:t>41</w:t>
      </w:r>
      <w:r w:rsidR="00D54867"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23BFCF37"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BF541D">
        <w:rPr>
          <w:rFonts w:ascii="Arial" w:hAnsi="Arial" w:cs="Arial"/>
          <w:sz w:val="22"/>
          <w:szCs w:val="22"/>
        </w:rPr>
        <w:t>9</w:t>
      </w:r>
      <w:r w:rsidR="00BF541D"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0658A2" w:rsidRPr="00730524">
        <w:rPr>
          <w:rFonts w:ascii="Arial" w:hAnsi="Arial" w:cs="Arial"/>
          <w:sz w:val="22"/>
          <w:szCs w:val="22"/>
        </w:rPr>
        <w:t>8</w:t>
      </w:r>
      <w:r w:rsidR="00E54CE0" w:rsidRPr="00730524">
        <w:rPr>
          <w:rFonts w:ascii="Arial" w:hAnsi="Arial" w:cs="Arial"/>
          <w:sz w:val="22"/>
          <w:szCs w:val="22"/>
        </w:rPr>
        <w:t xml:space="preserve"> 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1113">
        <w:rPr>
          <w:rFonts w:ascii="Arial" w:hAnsi="Arial" w:cs="Arial"/>
          <w:sz w:val="22"/>
          <w:szCs w:val="22"/>
        </w:rPr>
        <w:t>6</w:t>
      </w:r>
      <w:r w:rsidR="00011113"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011113">
        <w:rPr>
          <w:rFonts w:ascii="Arial" w:hAnsi="Arial" w:cs="Arial"/>
          <w:sz w:val="22"/>
          <w:szCs w:val="22"/>
        </w:rPr>
        <w:t>9</w:t>
      </w:r>
      <w:r w:rsidR="00011113"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1803BE"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1 tanesi sağlık ve sosyal hizmetler,</w:t>
      </w:r>
      <w:r w:rsidR="00EA2925" w:rsidRPr="00730524">
        <w:rPr>
          <w:rFonts w:ascii="Arial" w:hAnsi="Arial" w:cs="Arial"/>
          <w:sz w:val="22"/>
          <w:szCs w:val="22"/>
        </w:rPr>
        <w:t xml:space="preserve"> </w:t>
      </w:r>
      <w:r w:rsidR="00865905" w:rsidRPr="00730524">
        <w:rPr>
          <w:rFonts w:ascii="Arial" w:hAnsi="Arial" w:cs="Arial"/>
          <w:sz w:val="22"/>
          <w:szCs w:val="22"/>
        </w:rPr>
        <w:t xml:space="preserve">6 tanesi diğer hizmetler ve </w:t>
      </w:r>
      <w:r w:rsidR="00011113">
        <w:rPr>
          <w:rFonts w:ascii="Arial" w:hAnsi="Arial" w:cs="Arial"/>
          <w:sz w:val="22"/>
          <w:szCs w:val="22"/>
        </w:rPr>
        <w:t>9</w:t>
      </w:r>
      <w:r w:rsidR="00011113"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011113">
        <w:rPr>
          <w:rFonts w:ascii="Arial" w:hAnsi="Arial" w:cs="Arial"/>
          <w:sz w:val="22"/>
          <w:szCs w:val="22"/>
        </w:rPr>
        <w:t>41’i</w:t>
      </w:r>
      <w:r w:rsidR="00011113"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011113">
        <w:rPr>
          <w:rFonts w:ascii="Arial" w:hAnsi="Arial" w:cs="Arial"/>
          <w:sz w:val="22"/>
          <w:szCs w:val="22"/>
        </w:rPr>
        <w:t>6’sı</w:t>
      </w:r>
      <w:r w:rsidR="00011113"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431D6C" w:rsidRPr="00730524">
        <w:rPr>
          <w:rFonts w:ascii="Arial" w:hAnsi="Arial" w:cs="Arial"/>
          <w:sz w:val="22"/>
          <w:szCs w:val="22"/>
        </w:rPr>
        <w:t>3</w:t>
      </w:r>
      <w:r w:rsidR="00001D84" w:rsidRPr="00730524">
        <w:rPr>
          <w:rFonts w:ascii="Arial" w:hAnsi="Arial" w:cs="Arial"/>
          <w:sz w:val="22"/>
          <w:szCs w:val="22"/>
        </w:rPr>
        <w:t>’</w:t>
      </w:r>
      <w:r w:rsidR="00431D6C" w:rsidRPr="00730524">
        <w:rPr>
          <w:rFonts w:ascii="Arial" w:hAnsi="Arial" w:cs="Arial"/>
          <w:sz w:val="22"/>
          <w:szCs w:val="22"/>
        </w:rPr>
        <w:t>ü</w:t>
      </w:r>
      <w:r w:rsidR="00001D84" w:rsidRPr="00730524">
        <w:rPr>
          <w:rFonts w:ascii="Arial" w:hAnsi="Arial" w:cs="Arial"/>
          <w:sz w:val="22"/>
          <w:szCs w:val="22"/>
        </w:rPr>
        <w:t xml:space="preserve"> 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AD622B">
        <w:rPr>
          <w:rFonts w:ascii="Arial" w:hAnsi="Arial" w:cs="Arial"/>
          <w:sz w:val="22"/>
          <w:szCs w:val="22"/>
        </w:rPr>
        <w:t>6</w:t>
      </w:r>
      <w:r w:rsidR="00AD622B" w:rsidRPr="00730524">
        <w:rPr>
          <w:rFonts w:ascii="Arial" w:hAnsi="Arial" w:cs="Arial"/>
          <w:sz w:val="22"/>
          <w:szCs w:val="22"/>
        </w:rPr>
        <w:t>’</w:t>
      </w:r>
      <w:r w:rsidR="00AD622B">
        <w:rPr>
          <w:rFonts w:ascii="Arial" w:hAnsi="Arial" w:cs="Arial"/>
          <w:sz w:val="22"/>
          <w:szCs w:val="22"/>
        </w:rPr>
        <w:t>sı</w:t>
      </w:r>
      <w:r w:rsidR="00AD622B"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BF541D">
        <w:rPr>
          <w:rFonts w:ascii="Arial" w:hAnsi="Arial" w:cs="Arial"/>
          <w:sz w:val="22"/>
          <w:szCs w:val="22"/>
        </w:rPr>
        <w:t>4’ü</w:t>
      </w:r>
      <w:r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1C80256B"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31184A">
        <w:rPr>
          <w:rFonts w:ascii="Arial" w:hAnsi="Arial" w:cs="Arial"/>
          <w:sz w:val="22"/>
          <w:szCs w:val="22"/>
        </w:rPr>
        <w:t>Ocak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w:t>
      </w:r>
      <w:proofErr w:type="gramStart"/>
      <w:r w:rsidR="00F00F56" w:rsidRPr="00730524">
        <w:rPr>
          <w:rFonts w:ascii="Arial" w:hAnsi="Arial" w:cs="Arial"/>
          <w:sz w:val="22"/>
          <w:szCs w:val="22"/>
        </w:rPr>
        <w:t>ocakçılığı</w:t>
      </w:r>
      <w:proofErr w:type="gramEnd"/>
      <w:r w:rsidR="00F00F56" w:rsidRPr="00730524">
        <w:rPr>
          <w:rFonts w:ascii="Arial" w:hAnsi="Arial" w:cs="Arial"/>
          <w:sz w:val="22"/>
          <w:szCs w:val="22"/>
        </w:rPr>
        <w:t>,</w:t>
      </w:r>
      <w:r w:rsidR="00E54CE0" w:rsidRPr="00730524">
        <w:rPr>
          <w:rFonts w:ascii="Arial" w:hAnsi="Arial" w:cs="Arial"/>
          <w:sz w:val="22"/>
          <w:szCs w:val="22"/>
        </w:rPr>
        <w:t xml:space="preserve"> </w:t>
      </w:r>
      <w:r w:rsidR="00BF541D">
        <w:rPr>
          <w:rFonts w:ascii="Arial" w:hAnsi="Arial" w:cs="Arial"/>
          <w:sz w:val="22"/>
          <w:szCs w:val="22"/>
        </w:rPr>
        <w:t>7.595</w:t>
      </w:r>
      <w:r w:rsidR="00AD622B">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431D6C" w:rsidRPr="00730524">
        <w:rPr>
          <w:rFonts w:ascii="Arial" w:hAnsi="Arial" w:cs="Arial"/>
          <w:sz w:val="22"/>
          <w:szCs w:val="22"/>
        </w:rPr>
        <w:t>3.</w:t>
      </w:r>
      <w:r w:rsidR="000658A2" w:rsidRPr="00730524">
        <w:rPr>
          <w:rFonts w:ascii="Arial" w:hAnsi="Arial" w:cs="Arial"/>
          <w:sz w:val="22"/>
          <w:szCs w:val="22"/>
        </w:rPr>
        <w:t>245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D54867">
        <w:rPr>
          <w:rFonts w:ascii="Arial" w:hAnsi="Arial" w:cs="Arial"/>
          <w:sz w:val="22"/>
          <w:szCs w:val="22"/>
        </w:rPr>
        <w:t>53.383</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D54867">
        <w:rPr>
          <w:rFonts w:ascii="Arial" w:hAnsi="Arial" w:cs="Arial"/>
          <w:sz w:val="22"/>
          <w:szCs w:val="22"/>
        </w:rPr>
        <w:t>910</w:t>
      </w:r>
      <w:r w:rsidR="00D54867"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1803BE"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675 milyon TL’si sağlık ve sosyal hizmetler,</w:t>
      </w:r>
      <w:r w:rsidR="00B33EE5" w:rsidRPr="00730524">
        <w:rPr>
          <w:rFonts w:ascii="Arial" w:hAnsi="Arial" w:cs="Arial"/>
          <w:sz w:val="22"/>
          <w:szCs w:val="22"/>
        </w:rPr>
        <w:t xml:space="preserve"> </w:t>
      </w:r>
      <w:r w:rsidR="00865905" w:rsidRPr="00730524">
        <w:rPr>
          <w:rFonts w:ascii="Arial" w:hAnsi="Arial" w:cs="Arial"/>
          <w:sz w:val="22"/>
          <w:szCs w:val="22"/>
        </w:rPr>
        <w:t>1.673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D54867">
        <w:rPr>
          <w:rFonts w:ascii="Arial" w:hAnsi="Arial" w:cs="Arial"/>
          <w:sz w:val="22"/>
          <w:szCs w:val="22"/>
        </w:rPr>
        <w:t>82.243</w:t>
      </w:r>
      <w:r w:rsidRPr="00730524">
        <w:rPr>
          <w:rFonts w:ascii="Arial" w:hAnsi="Arial" w:cs="Arial"/>
          <w:sz w:val="22"/>
          <w:szCs w:val="22"/>
        </w:rPr>
        <w:t xml:space="preserve"> milyon TL’si diğer sektörlere ait olmak üzere yeniden yapılandırılan toplam borç tutarı </w:t>
      </w:r>
      <w:r w:rsidR="00D54867">
        <w:rPr>
          <w:rFonts w:ascii="Arial" w:hAnsi="Arial" w:cs="Arial"/>
          <w:sz w:val="22"/>
          <w:szCs w:val="22"/>
        </w:rPr>
        <w:t>234.077</w:t>
      </w:r>
      <w:r w:rsidR="00730524"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791422F1"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531944" w:rsidRPr="006D4134">
        <w:rPr>
          <w:rFonts w:ascii="Arial" w:hAnsi="Arial" w:cs="Arial"/>
          <w:b/>
          <w:sz w:val="22"/>
          <w:szCs w:val="22"/>
        </w:rPr>
        <w:t>9</w:t>
      </w:r>
      <w:r w:rsidR="001119C3" w:rsidRPr="006D4134">
        <w:rPr>
          <w:rFonts w:ascii="Arial" w:hAnsi="Arial" w:cs="Arial"/>
          <w:b/>
          <w:sz w:val="22"/>
          <w:szCs w:val="22"/>
        </w:rPr>
        <w:t xml:space="preserve"> 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531944" w:rsidRPr="006D4134">
        <w:rPr>
          <w:rFonts w:ascii="Arial" w:hAnsi="Arial" w:cs="Arial"/>
          <w:b/>
          <w:sz w:val="22"/>
          <w:szCs w:val="22"/>
        </w:rPr>
        <w:t>79</w:t>
      </w:r>
      <w:r w:rsidR="009A4992"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53DE4D46"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31184A">
        <w:rPr>
          <w:rFonts w:ascii="Arial" w:hAnsi="Arial" w:cs="Arial"/>
          <w:sz w:val="22"/>
          <w:szCs w:val="22"/>
        </w:rPr>
        <w:t>Ocak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7695E" w:rsidRPr="006D4134">
        <w:rPr>
          <w:rFonts w:ascii="Arial" w:hAnsi="Arial" w:cs="Arial"/>
          <w:sz w:val="22"/>
          <w:szCs w:val="22"/>
        </w:rPr>
        <w:t>2</w:t>
      </w:r>
      <w:r w:rsidR="00F7695E">
        <w:rPr>
          <w:rFonts w:ascii="Arial" w:hAnsi="Arial" w:cs="Arial"/>
          <w:sz w:val="22"/>
          <w:szCs w:val="22"/>
        </w:rPr>
        <w:t>3</w:t>
      </w:r>
      <w:r w:rsidR="00F7695E" w:rsidRPr="006D4134">
        <w:rPr>
          <w:rFonts w:ascii="Arial" w:hAnsi="Arial" w:cs="Arial"/>
          <w:sz w:val="22"/>
          <w:szCs w:val="22"/>
        </w:rPr>
        <w:t xml:space="preserve"> </w:t>
      </w:r>
      <w:r w:rsidRPr="006D4134">
        <w:rPr>
          <w:rFonts w:ascii="Arial" w:hAnsi="Arial" w:cs="Arial"/>
          <w:sz w:val="22"/>
          <w:szCs w:val="22"/>
        </w:rPr>
        <w:t>adet firma (</w:t>
      </w:r>
      <w:r w:rsidR="00F7695E">
        <w:rPr>
          <w:rFonts w:ascii="Arial" w:hAnsi="Arial" w:cs="Arial"/>
          <w:sz w:val="22"/>
          <w:szCs w:val="22"/>
        </w:rPr>
        <w:t>9</w:t>
      </w:r>
      <w:r w:rsidR="00F7695E"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431D6C" w:rsidRPr="006D4134">
        <w:rPr>
          <w:rFonts w:ascii="Arial" w:hAnsi="Arial" w:cs="Arial"/>
          <w:sz w:val="22"/>
          <w:szCs w:val="22"/>
        </w:rPr>
        <w:t>9</w:t>
      </w:r>
      <w:r w:rsidR="00AD3F9D" w:rsidRPr="006D4134">
        <w:rPr>
          <w:rFonts w:ascii="Arial" w:hAnsi="Arial" w:cs="Arial"/>
          <w:sz w:val="22"/>
          <w:szCs w:val="22"/>
        </w:rPr>
        <w:t xml:space="preserve"> firma (</w:t>
      </w:r>
      <w:r w:rsidR="00431D6C" w:rsidRPr="006D4134">
        <w:rPr>
          <w:rFonts w:ascii="Arial" w:hAnsi="Arial" w:cs="Arial"/>
          <w:sz w:val="22"/>
          <w:szCs w:val="22"/>
        </w:rPr>
        <w:t>5</w:t>
      </w:r>
      <w:r w:rsidR="00AD3F9D" w:rsidRPr="006D4134">
        <w:rPr>
          <w:rFonts w:ascii="Arial" w:hAnsi="Arial" w:cs="Arial"/>
          <w:sz w:val="22"/>
          <w:szCs w:val="22"/>
        </w:rPr>
        <w:t xml:space="preserve"> 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77777777"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 sektöründe faaliyet göstermektedir. Söz konusu firmaların 1’i İstanbul’da,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5501B72F" w:rsidR="000D520A" w:rsidRPr="006D4134" w:rsidRDefault="00DC3173" w:rsidP="00DC3173">
      <w:pPr>
        <w:jc w:val="both"/>
        <w:rPr>
          <w:rFonts w:ascii="Arial" w:hAnsi="Arial" w:cs="Arial"/>
          <w:sz w:val="22"/>
          <w:szCs w:val="22"/>
        </w:rPr>
      </w:pPr>
      <w:proofErr w:type="gramStart"/>
      <w:r w:rsidRPr="006D4134">
        <w:rPr>
          <w:rFonts w:ascii="Arial" w:hAnsi="Arial" w:cs="Arial"/>
          <w:sz w:val="22"/>
          <w:szCs w:val="22"/>
        </w:rPr>
        <w:t>Kasım 2021-</w:t>
      </w:r>
      <w:r w:rsidR="0031184A">
        <w:rPr>
          <w:rFonts w:ascii="Arial" w:hAnsi="Arial" w:cs="Arial"/>
          <w:sz w:val="22"/>
          <w:szCs w:val="22"/>
        </w:rPr>
        <w:t>Ocak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 xml:space="preserve">ve 0,2 milyon TL’si eğitim sektörüne ait olmak üzere yeniden yapılandırılan toplam borç tutarı </w:t>
      </w:r>
      <w:r w:rsidR="00680757" w:rsidRPr="006D4134">
        <w:rPr>
          <w:rFonts w:ascii="Arial" w:hAnsi="Arial" w:cs="Arial"/>
          <w:sz w:val="22"/>
          <w:szCs w:val="22"/>
        </w:rPr>
        <w:t>7</w:t>
      </w:r>
      <w:r w:rsidR="00001D84" w:rsidRPr="006D4134">
        <w:rPr>
          <w:rFonts w:ascii="Arial" w:hAnsi="Arial" w:cs="Arial"/>
          <w:sz w:val="22"/>
          <w:szCs w:val="22"/>
        </w:rPr>
        <w:t>9</w:t>
      </w:r>
      <w:r w:rsidRPr="006D4134">
        <w:rPr>
          <w:rFonts w:ascii="Arial" w:hAnsi="Arial" w:cs="Arial"/>
          <w:sz w:val="22"/>
          <w:szCs w:val="22"/>
        </w:rPr>
        <w:t xml:space="preserve"> milyon TL’dir.</w:t>
      </w:r>
      <w:proofErr w:type="gramEnd"/>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ED76B" w14:textId="77777777" w:rsidR="00026E08" w:rsidRDefault="00026E08">
      <w:r>
        <w:separator/>
      </w:r>
    </w:p>
  </w:endnote>
  <w:endnote w:type="continuationSeparator" w:id="0">
    <w:p w14:paraId="309CB0F5" w14:textId="77777777" w:rsidR="00026E08" w:rsidRDefault="00026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9B78E" w14:textId="77507B14"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CB492F">
      <w:rPr>
        <w:rStyle w:val="PageNumber"/>
        <w:rFonts w:ascii="Arial" w:hAnsi="Arial" w:cs="Arial"/>
        <w:noProof/>
        <w:sz w:val="18"/>
        <w:szCs w:val="18"/>
      </w:rPr>
      <w:t>iii</w:t>
    </w:r>
    <w:r w:rsidRPr="00325942">
      <w:rPr>
        <w:rStyle w:val="PageNumber"/>
        <w:rFonts w:ascii="Arial" w:hAnsi="Arial" w:cs="Arial"/>
        <w:sz w:val="18"/>
        <w:szCs w:val="18"/>
      </w:rPr>
      <w:fldChar w:fldCharType="end"/>
    </w:r>
  </w:p>
  <w:p w14:paraId="26937730" w14:textId="74BA7761"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31184A">
      <w:rPr>
        <w:rFonts w:ascii="Arial" w:hAnsi="Arial" w:cs="Arial"/>
        <w:sz w:val="18"/>
        <w:szCs w:val="18"/>
      </w:rPr>
      <w:t>Ocak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D74D" w14:textId="210513D7"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Finansal 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31184A">
      <w:rPr>
        <w:rFonts w:ascii="Arial" w:hAnsi="Arial" w:cs="Arial"/>
        <w:sz w:val="18"/>
        <w:szCs w:val="18"/>
      </w:rPr>
      <w:t>Ocak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EA5DA" w14:textId="77777777" w:rsidR="00026E08" w:rsidRDefault="00026E08">
      <w:r>
        <w:separator/>
      </w:r>
    </w:p>
  </w:footnote>
  <w:footnote w:type="continuationSeparator" w:id="0">
    <w:p w14:paraId="7954029E" w14:textId="77777777" w:rsidR="00026E08" w:rsidRDefault="00026E08">
      <w:r>
        <w:continuationSeparator/>
      </w:r>
    </w:p>
  </w:footnote>
  <w:footnote w:id="1">
    <w:p w14:paraId="67200E0F" w14:textId="0E2FF631"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001AD4">
        <w:rPr>
          <w:rFonts w:ascii="Arial" w:hAnsi="Arial" w:cs="Arial"/>
          <w:sz w:val="18"/>
          <w:szCs w:val="18"/>
        </w:rPr>
        <w:t>Eylül</w:t>
      </w:r>
      <w:r w:rsidR="002F33EC">
        <w:rPr>
          <w:rFonts w:ascii="Arial" w:hAnsi="Arial" w:cs="Arial"/>
          <w:sz w:val="18"/>
          <w:szCs w:val="18"/>
        </w:rPr>
        <w:t xml:space="preserve"> </w:t>
      </w:r>
      <w:r w:rsidR="005C31E8" w:rsidRPr="005D239F">
        <w:rPr>
          <w:rFonts w:ascii="Arial" w:hAnsi="Arial" w:cs="Arial"/>
          <w:sz w:val="18"/>
          <w:szCs w:val="18"/>
        </w:rPr>
        <w:t xml:space="preserve">2024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yaklaşık 646</w:t>
      </w:r>
      <w:r w:rsidR="00001AD4"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663E"/>
    <w:rsid w:val="004570EE"/>
    <w:rsid w:val="00457A5B"/>
    <w:rsid w:val="00457AC8"/>
    <w:rsid w:val="004600C1"/>
    <w:rsid w:val="00460C9D"/>
    <w:rsid w:val="0046246E"/>
    <w:rsid w:val="004625A5"/>
    <w:rsid w:val="00462D43"/>
    <w:rsid w:val="00463160"/>
    <w:rsid w:val="0047069A"/>
    <w:rsid w:val="00470B9E"/>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38EB"/>
    <w:rsid w:val="009A4992"/>
    <w:rsid w:val="009A4E20"/>
    <w:rsid w:val="009A5175"/>
    <w:rsid w:val="009A693C"/>
    <w:rsid w:val="009A76DA"/>
    <w:rsid w:val="009B111C"/>
    <w:rsid w:val="009B30F4"/>
    <w:rsid w:val="009B337B"/>
    <w:rsid w:val="009B3558"/>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72A2"/>
    <w:rsid w:val="009F72DD"/>
    <w:rsid w:val="00A03054"/>
    <w:rsid w:val="00A0464C"/>
    <w:rsid w:val="00A05432"/>
    <w:rsid w:val="00A060B7"/>
    <w:rsid w:val="00A12508"/>
    <w:rsid w:val="00A1329F"/>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46C3"/>
    <w:rsid w:val="00A44723"/>
    <w:rsid w:val="00A45455"/>
    <w:rsid w:val="00A46834"/>
    <w:rsid w:val="00A46EA2"/>
    <w:rsid w:val="00A47880"/>
    <w:rsid w:val="00A50450"/>
    <w:rsid w:val="00A50CBA"/>
    <w:rsid w:val="00A53D77"/>
    <w:rsid w:val="00A54DA0"/>
    <w:rsid w:val="00A5539E"/>
    <w:rsid w:val="00A5709C"/>
    <w:rsid w:val="00A6024B"/>
    <w:rsid w:val="00A61E08"/>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31EF"/>
    <w:rsid w:val="00B14222"/>
    <w:rsid w:val="00B15E9A"/>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547B"/>
    <w:rsid w:val="00C3691D"/>
    <w:rsid w:val="00C37218"/>
    <w:rsid w:val="00C41750"/>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4853"/>
    <w:rsid w:val="00F24B63"/>
    <w:rsid w:val="00F26E38"/>
    <w:rsid w:val="00F276C0"/>
    <w:rsid w:val="00F27BDD"/>
    <w:rsid w:val="00F30E13"/>
    <w:rsid w:val="00F30EC1"/>
    <w:rsid w:val="00F31E3B"/>
    <w:rsid w:val="00F32D27"/>
    <w:rsid w:val="00F41A4E"/>
    <w:rsid w:val="00F41DA4"/>
    <w:rsid w:val="00F43731"/>
    <w:rsid w:val="00F4634D"/>
    <w:rsid w:val="00F505EF"/>
    <w:rsid w:val="00F52AAF"/>
    <w:rsid w:val="00F53E59"/>
    <w:rsid w:val="00F55257"/>
    <w:rsid w:val="00F5641E"/>
    <w:rsid w:val="00F565BE"/>
    <w:rsid w:val="00F565C7"/>
    <w:rsid w:val="00F56836"/>
    <w:rsid w:val="00F57E92"/>
    <w:rsid w:val="00F61B07"/>
    <w:rsid w:val="00F61C54"/>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Grafik-Aral&#305;k%20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AC4-4045-9CCE-8DCF1F87CDCA}"/>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AC4-4045-9CCE-8DCF1F87CDCA}"/>
                </c:ext>
              </c:extLst>
            </c:dLbl>
            <c:dLbl>
              <c:idx val="3"/>
              <c:layout>
                <c:manualLayout>
                  <c:x val="0"/>
                  <c:y val="7.74040193912362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AC4-4045-9CCE-8DCF1F87CDCA}"/>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AC4-4045-9CCE-8DCF1F87CDCA}"/>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AC4-4045-9CCE-8DCF1F87CDCA}"/>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AC4-4045-9CCE-8DCF1F87CDCA}"/>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AC4-4045-9CCE-8DCF1F87CDCA}"/>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AC4-4045-9CCE-8DCF1F87CDCA}"/>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Grafik!$C$19:$C$35</c:f>
              <c:numCache>
                <c:formatCode>#,##0</c:formatCode>
                <c:ptCount val="13"/>
                <c:pt idx="0">
                  <c:v>4450.0362219600001</c:v>
                </c:pt>
                <c:pt idx="1">
                  <c:v>2642.7158119999999</c:v>
                </c:pt>
                <c:pt idx="2">
                  <c:v>21090.554209324211</c:v>
                </c:pt>
                <c:pt idx="3">
                  <c:v>13791.487158431264</c:v>
                </c:pt>
                <c:pt idx="4">
                  <c:v>71726.37462142919</c:v>
                </c:pt>
                <c:pt idx="5">
                  <c:v>4084.7000484500004</c:v>
                </c:pt>
                <c:pt idx="6">
                  <c:v>31896.439627260093</c:v>
                </c:pt>
                <c:pt idx="7">
                  <c:v>6249.3787499</c:v>
                </c:pt>
                <c:pt idx="8">
                  <c:v>66837.468614355632</c:v>
                </c:pt>
                <c:pt idx="9">
                  <c:v>1828.0763838900002</c:v>
                </c:pt>
                <c:pt idx="10">
                  <c:v>1252.9145789225599</c:v>
                </c:pt>
                <c:pt idx="11">
                  <c:v>2383.5</c:v>
                </c:pt>
                <c:pt idx="12">
                  <c:v>97036.734841738755</c:v>
                </c:pt>
              </c:numCache>
              <c:extLst/>
            </c:numRef>
          </c:val>
          <c:extLst>
            <c:ext xmlns:c16="http://schemas.microsoft.com/office/drawing/2014/chart" uri="{C3380CC4-5D6E-409C-BE32-E72D297353CC}">
              <c16:uniqueId val="{00000008-CAC4-4045-9CCE-8DCF1F87CDCA}"/>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AC4-4045-9CCE-8DCF1F87CDCA}"/>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Grafik!$B$19:$B$35</c:f>
              <c:numCache>
                <c:formatCode>#,##0</c:formatCode>
                <c:ptCount val="13"/>
                <c:pt idx="0">
                  <c:v>7</c:v>
                </c:pt>
                <c:pt idx="1">
                  <c:v>10</c:v>
                </c:pt>
                <c:pt idx="2">
                  <c:v>79</c:v>
                </c:pt>
                <c:pt idx="3">
                  <c:v>18</c:v>
                </c:pt>
                <c:pt idx="4">
                  <c:v>68</c:v>
                </c:pt>
                <c:pt idx="5">
                  <c:v>54</c:v>
                </c:pt>
                <c:pt idx="6">
                  <c:v>55</c:v>
                </c:pt>
                <c:pt idx="7">
                  <c:v>25</c:v>
                </c:pt>
                <c:pt idx="8">
                  <c:v>11</c:v>
                </c:pt>
                <c:pt idx="9">
                  <c:v>7</c:v>
                </c:pt>
                <c:pt idx="10">
                  <c:v>9</c:v>
                </c:pt>
                <c:pt idx="11">
                  <c:v>11</c:v>
                </c:pt>
                <c:pt idx="12">
                  <c:v>61</c:v>
                </c:pt>
              </c:numCache>
              <c:extLst/>
            </c:numRef>
          </c:val>
          <c:smooth val="0"/>
          <c:extLst>
            <c:ext xmlns:c16="http://schemas.microsoft.com/office/drawing/2014/chart" uri="{C3380CC4-5D6E-409C-BE32-E72D297353CC}">
              <c16:uniqueId val="{0000000A-CAC4-4045-9CCE-8DCF1F87CDCA}"/>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A908D-3D53-4B6E-8A87-D420D2D62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1234</Words>
  <Characters>7575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Küçük</cp:lastModifiedBy>
  <cp:revision>14</cp:revision>
  <cp:lastPrinted>2024-04-08T06:50:00Z</cp:lastPrinted>
  <dcterms:created xsi:type="dcterms:W3CDTF">2024-12-20T11:34:00Z</dcterms:created>
  <dcterms:modified xsi:type="dcterms:W3CDTF">2025-02-10T10:26:00Z</dcterms:modified>
</cp:coreProperties>
</file>