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5901208B" w:rsidR="001D1996" w:rsidRPr="00F935B0" w:rsidRDefault="00015CB8" w:rsidP="000F0427">
      <w:pPr>
        <w:pStyle w:val="Title"/>
        <w:rPr>
          <w:rFonts w:ascii="Arial" w:hAnsi="Arial" w:cs="Arial"/>
          <w:bCs/>
          <w:sz w:val="22"/>
          <w:szCs w:val="22"/>
        </w:rPr>
      </w:pPr>
      <w:r>
        <w:rPr>
          <w:rFonts w:ascii="Arial" w:hAnsi="Arial" w:cs="Arial"/>
          <w:bCs/>
          <w:sz w:val="22"/>
          <w:szCs w:val="22"/>
        </w:rPr>
        <w:t>Nisan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0676E5D5"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015CB8">
        <w:rPr>
          <w:rFonts w:ascii="Arial" w:hAnsi="Arial" w:cs="Arial"/>
          <w:sz w:val="22"/>
          <w:szCs w:val="22"/>
        </w:rPr>
        <w:t>Nisan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015CB8">
        <w:rPr>
          <w:rFonts w:ascii="Arial" w:hAnsi="Arial" w:cs="Arial"/>
          <w:sz w:val="22"/>
          <w:szCs w:val="22"/>
        </w:rPr>
        <w:t>14</w:t>
      </w:r>
      <w:r w:rsidR="00015CB8"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015CB8">
        <w:rPr>
          <w:rFonts w:ascii="Arial" w:hAnsi="Arial" w:cs="Arial"/>
          <w:sz w:val="22"/>
          <w:szCs w:val="22"/>
        </w:rPr>
        <w:t xml:space="preserve">5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76984290"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015CB8">
        <w:rPr>
          <w:rFonts w:ascii="Arial" w:hAnsi="Arial" w:cs="Arial"/>
          <w:b/>
          <w:sz w:val="22"/>
          <w:szCs w:val="22"/>
        </w:rPr>
        <w:t xml:space="preserve">420 </w:t>
      </w:r>
      <w:r w:rsidR="004E33EB">
        <w:rPr>
          <w:rFonts w:ascii="Arial" w:hAnsi="Arial" w:cs="Arial"/>
          <w:b/>
          <w:sz w:val="22"/>
          <w:szCs w:val="22"/>
        </w:rPr>
        <w:t xml:space="preserve">firmanın </w:t>
      </w:r>
      <w:r w:rsidR="00015CB8">
        <w:rPr>
          <w:rFonts w:ascii="Arial" w:hAnsi="Arial" w:cs="Arial"/>
          <w:b/>
          <w:sz w:val="22"/>
          <w:szCs w:val="22"/>
        </w:rPr>
        <w:t xml:space="preserve">331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926" w:type="dxa"/>
        <w:tblLayout w:type="fixed"/>
        <w:tblLook w:val="04A0" w:firstRow="1" w:lastRow="0" w:firstColumn="1" w:lastColumn="0" w:noHBand="0" w:noVBand="1"/>
      </w:tblPr>
      <w:tblGrid>
        <w:gridCol w:w="938"/>
        <w:gridCol w:w="1609"/>
        <w:gridCol w:w="709"/>
        <w:gridCol w:w="850"/>
        <w:gridCol w:w="851"/>
        <w:gridCol w:w="992"/>
        <w:gridCol w:w="992"/>
        <w:gridCol w:w="992"/>
        <w:gridCol w:w="993"/>
      </w:tblGrid>
      <w:tr w:rsidR="00015CB8" w:rsidRPr="007473AA" w14:paraId="5229DC21" w14:textId="706D5336" w:rsidTr="00F11741">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993" w:type="dxa"/>
            <w:vAlign w:val="center"/>
          </w:tcPr>
          <w:p w14:paraId="64434CA5" w14:textId="470B37B1" w:rsidR="00015CB8" w:rsidRPr="00572BC7" w:rsidRDefault="00015CB8" w:rsidP="00015CB8">
            <w:pPr>
              <w:jc w:val="center"/>
              <w:rPr>
                <w:rFonts w:ascii="Arial" w:hAnsi="Arial" w:cs="Arial"/>
                <w:b/>
                <w:bCs/>
                <w:sz w:val="18"/>
                <w:szCs w:val="18"/>
                <w:lang w:eastAsia="tr-TR"/>
              </w:rPr>
            </w:pPr>
            <w:r>
              <w:rPr>
                <w:rFonts w:ascii="Arial" w:hAnsi="Arial" w:cs="Arial"/>
                <w:b/>
                <w:bCs/>
                <w:sz w:val="20"/>
              </w:rPr>
              <w:t>2025 Nisan</w:t>
            </w:r>
          </w:p>
        </w:tc>
      </w:tr>
      <w:tr w:rsidR="00015CB8" w:rsidRPr="007473AA" w14:paraId="777376C4" w14:textId="7CBBABB1" w:rsidTr="00F11741">
        <w:trPr>
          <w:trHeight w:val="327"/>
        </w:trPr>
        <w:tc>
          <w:tcPr>
            <w:tcW w:w="938" w:type="dxa"/>
            <w:vMerge w:val="restart"/>
            <w:noWrap/>
            <w:vAlign w:val="center"/>
            <w:hideMark/>
          </w:tcPr>
          <w:p w14:paraId="0591E68E" w14:textId="21B13A72"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015CB8" w:rsidRPr="00572BC7" w:rsidRDefault="00015CB8" w:rsidP="00015CB8">
            <w:pPr>
              <w:jc w:val="center"/>
              <w:rPr>
                <w:rFonts w:ascii="Arial" w:hAnsi="Arial" w:cs="Arial"/>
                <w:bCs/>
                <w:sz w:val="18"/>
                <w:szCs w:val="18"/>
                <w:lang w:eastAsia="tr-TR"/>
              </w:rPr>
            </w:pPr>
            <w:r>
              <w:rPr>
                <w:rFonts w:ascii="Arial" w:hAnsi="Arial" w:cs="Arial"/>
                <w:sz w:val="18"/>
                <w:szCs w:val="18"/>
              </w:rPr>
              <w:t>532</w:t>
            </w:r>
          </w:p>
        </w:tc>
        <w:tc>
          <w:tcPr>
            <w:tcW w:w="993" w:type="dxa"/>
            <w:vAlign w:val="center"/>
          </w:tcPr>
          <w:p w14:paraId="293F4A31" w14:textId="3C7B0087" w:rsidR="00015CB8" w:rsidRDefault="00015CB8" w:rsidP="00015CB8">
            <w:pPr>
              <w:jc w:val="center"/>
              <w:rPr>
                <w:rFonts w:ascii="Arial" w:hAnsi="Arial" w:cs="Arial"/>
                <w:sz w:val="18"/>
                <w:szCs w:val="18"/>
              </w:rPr>
            </w:pPr>
            <w:r>
              <w:rPr>
                <w:rFonts w:ascii="Arial" w:hAnsi="Arial" w:cs="Arial"/>
                <w:sz w:val="18"/>
                <w:szCs w:val="18"/>
              </w:rPr>
              <w:t>546</w:t>
            </w:r>
          </w:p>
        </w:tc>
      </w:tr>
      <w:tr w:rsidR="00015CB8" w:rsidRPr="007473AA" w14:paraId="68B7E873" w14:textId="64C4DC8A" w:rsidTr="00F11741">
        <w:trPr>
          <w:trHeight w:val="327"/>
        </w:trPr>
        <w:tc>
          <w:tcPr>
            <w:tcW w:w="938" w:type="dxa"/>
            <w:vMerge/>
            <w:noWrap/>
            <w:hideMark/>
          </w:tcPr>
          <w:p w14:paraId="23A03E7E"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558A3E9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015CB8" w:rsidRPr="00572BC7" w:rsidRDefault="00015CB8" w:rsidP="00015CB8">
            <w:pPr>
              <w:jc w:val="center"/>
              <w:rPr>
                <w:rFonts w:ascii="Arial" w:hAnsi="Arial" w:cs="Arial"/>
                <w:bCs/>
                <w:sz w:val="18"/>
                <w:szCs w:val="18"/>
                <w:lang w:eastAsia="tr-TR"/>
              </w:rPr>
            </w:pPr>
            <w:r>
              <w:rPr>
                <w:rFonts w:ascii="Arial" w:hAnsi="Arial" w:cs="Arial"/>
                <w:sz w:val="18"/>
                <w:szCs w:val="18"/>
              </w:rPr>
              <w:t>373</w:t>
            </w:r>
          </w:p>
        </w:tc>
        <w:tc>
          <w:tcPr>
            <w:tcW w:w="993" w:type="dxa"/>
            <w:vAlign w:val="center"/>
          </w:tcPr>
          <w:p w14:paraId="3DD8C884" w14:textId="6A9CE47B" w:rsidR="00015CB8" w:rsidRDefault="00015CB8" w:rsidP="00015CB8">
            <w:pPr>
              <w:jc w:val="center"/>
              <w:rPr>
                <w:rFonts w:ascii="Arial" w:hAnsi="Arial" w:cs="Arial"/>
                <w:sz w:val="18"/>
                <w:szCs w:val="18"/>
              </w:rPr>
            </w:pPr>
            <w:r>
              <w:rPr>
                <w:rFonts w:ascii="Arial" w:hAnsi="Arial" w:cs="Arial"/>
                <w:sz w:val="18"/>
                <w:szCs w:val="18"/>
              </w:rPr>
              <w:t>378</w:t>
            </w:r>
          </w:p>
        </w:tc>
      </w:tr>
      <w:tr w:rsidR="00015CB8" w:rsidRPr="007473AA" w14:paraId="4ED61D34" w14:textId="0EF5C91E" w:rsidTr="00F11741">
        <w:trPr>
          <w:trHeight w:val="327"/>
        </w:trPr>
        <w:tc>
          <w:tcPr>
            <w:tcW w:w="938" w:type="dxa"/>
            <w:vMerge/>
            <w:noWrap/>
            <w:hideMark/>
          </w:tcPr>
          <w:p w14:paraId="725D7AB0"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073895E5"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015CB8" w:rsidRPr="007621B5" w:rsidRDefault="00015CB8" w:rsidP="00015CB8">
            <w:pPr>
              <w:jc w:val="center"/>
              <w:rPr>
                <w:rFonts w:ascii="Arial" w:hAnsi="Arial" w:cs="Arial"/>
                <w:bCs/>
                <w:sz w:val="18"/>
                <w:szCs w:val="18"/>
                <w:lang w:eastAsia="tr-TR"/>
              </w:rPr>
            </w:pPr>
            <w:r>
              <w:rPr>
                <w:rFonts w:ascii="Arial" w:hAnsi="Arial" w:cs="Arial"/>
                <w:sz w:val="18"/>
                <w:szCs w:val="18"/>
              </w:rPr>
              <w:t>324.782</w:t>
            </w:r>
          </w:p>
        </w:tc>
        <w:tc>
          <w:tcPr>
            <w:tcW w:w="993" w:type="dxa"/>
            <w:vAlign w:val="center"/>
          </w:tcPr>
          <w:p w14:paraId="210DBF51" w14:textId="1A097431" w:rsidR="00015CB8" w:rsidRDefault="00015CB8" w:rsidP="00015CB8">
            <w:pPr>
              <w:jc w:val="center"/>
              <w:rPr>
                <w:rFonts w:ascii="Arial" w:hAnsi="Arial" w:cs="Arial"/>
                <w:sz w:val="18"/>
                <w:szCs w:val="18"/>
              </w:rPr>
            </w:pPr>
            <w:r>
              <w:rPr>
                <w:rFonts w:ascii="Arial" w:hAnsi="Arial" w:cs="Arial"/>
                <w:sz w:val="18"/>
                <w:szCs w:val="18"/>
              </w:rPr>
              <w:t>330.500</w:t>
            </w:r>
          </w:p>
        </w:tc>
      </w:tr>
      <w:tr w:rsidR="00015CB8" w:rsidRPr="007473AA" w14:paraId="0674B771" w14:textId="2817FBB5" w:rsidTr="00F11741">
        <w:trPr>
          <w:trHeight w:val="327"/>
        </w:trPr>
        <w:tc>
          <w:tcPr>
            <w:tcW w:w="938" w:type="dxa"/>
            <w:vMerge w:val="restart"/>
            <w:noWrap/>
            <w:vAlign w:val="center"/>
            <w:hideMark/>
          </w:tcPr>
          <w:p w14:paraId="072B3C7F" w14:textId="6BA0CF63"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015CB8" w:rsidRPr="00572BC7" w:rsidRDefault="00015CB8" w:rsidP="00015CB8">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993" w:type="dxa"/>
            <w:vAlign w:val="center"/>
          </w:tcPr>
          <w:p w14:paraId="4022C96F" w14:textId="5A6E3400" w:rsidR="00015CB8" w:rsidRPr="00572BC7" w:rsidRDefault="00015CB8" w:rsidP="00015CB8">
            <w:pPr>
              <w:jc w:val="center"/>
              <w:rPr>
                <w:rFonts w:ascii="Arial" w:hAnsi="Arial" w:cs="Arial"/>
                <w:bCs/>
                <w:sz w:val="18"/>
                <w:szCs w:val="18"/>
                <w:lang w:eastAsia="tr-TR"/>
              </w:rPr>
            </w:pPr>
            <w:r>
              <w:rPr>
                <w:rFonts w:ascii="Arial" w:hAnsi="Arial" w:cs="Arial"/>
                <w:sz w:val="18"/>
                <w:szCs w:val="18"/>
              </w:rPr>
              <w:t>102</w:t>
            </w:r>
          </w:p>
        </w:tc>
      </w:tr>
      <w:tr w:rsidR="00015CB8" w:rsidRPr="007473AA" w14:paraId="01A1A8B8" w14:textId="5680DD6A" w:rsidTr="00F11741">
        <w:trPr>
          <w:trHeight w:val="327"/>
        </w:trPr>
        <w:tc>
          <w:tcPr>
            <w:tcW w:w="938" w:type="dxa"/>
            <w:vMerge/>
            <w:noWrap/>
            <w:hideMark/>
          </w:tcPr>
          <w:p w14:paraId="46AE1C1A"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2078F82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015CB8" w:rsidRPr="00572BC7" w:rsidRDefault="00015CB8" w:rsidP="00015CB8">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993" w:type="dxa"/>
            <w:vAlign w:val="center"/>
          </w:tcPr>
          <w:p w14:paraId="529E9FB1" w14:textId="0ABC2BBA" w:rsidR="00015CB8" w:rsidRPr="00572BC7" w:rsidRDefault="00015CB8" w:rsidP="00015CB8">
            <w:pPr>
              <w:jc w:val="center"/>
              <w:rPr>
                <w:rFonts w:ascii="Arial" w:hAnsi="Arial" w:cs="Arial"/>
                <w:bCs/>
                <w:sz w:val="18"/>
                <w:szCs w:val="18"/>
                <w:lang w:eastAsia="tr-TR"/>
              </w:rPr>
            </w:pPr>
            <w:r>
              <w:rPr>
                <w:rFonts w:ascii="Arial" w:hAnsi="Arial" w:cs="Arial"/>
                <w:sz w:val="18"/>
                <w:szCs w:val="18"/>
              </w:rPr>
              <w:t>42</w:t>
            </w:r>
          </w:p>
        </w:tc>
      </w:tr>
      <w:tr w:rsidR="00015CB8" w:rsidRPr="007473AA" w14:paraId="2E132977" w14:textId="2B4A27AD" w:rsidTr="00F11741">
        <w:trPr>
          <w:trHeight w:val="327"/>
        </w:trPr>
        <w:tc>
          <w:tcPr>
            <w:tcW w:w="938" w:type="dxa"/>
            <w:vMerge/>
            <w:noWrap/>
            <w:hideMark/>
          </w:tcPr>
          <w:p w14:paraId="31D23D2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69812F1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015CB8" w:rsidRPr="00572BC7" w:rsidRDefault="00015CB8" w:rsidP="00015CB8">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993" w:type="dxa"/>
            <w:vAlign w:val="center"/>
          </w:tcPr>
          <w:p w14:paraId="6D991636" w14:textId="75F155AD" w:rsidR="00015CB8" w:rsidRPr="00572BC7" w:rsidRDefault="00015CB8" w:rsidP="00015CB8">
            <w:pPr>
              <w:jc w:val="center"/>
              <w:rPr>
                <w:rFonts w:ascii="Arial" w:hAnsi="Arial" w:cs="Arial"/>
                <w:bCs/>
                <w:sz w:val="18"/>
                <w:szCs w:val="18"/>
                <w:lang w:eastAsia="tr-TR"/>
              </w:rPr>
            </w:pPr>
            <w:r>
              <w:rPr>
                <w:rFonts w:ascii="Arial" w:hAnsi="Arial" w:cs="Arial"/>
                <w:sz w:val="18"/>
                <w:szCs w:val="18"/>
              </w:rPr>
              <w:t>488</w:t>
            </w:r>
          </w:p>
        </w:tc>
      </w:tr>
      <w:tr w:rsidR="00015CB8" w:rsidRPr="007473AA" w14:paraId="2F5A0B21" w14:textId="0C4ED983" w:rsidTr="00F11741">
        <w:trPr>
          <w:trHeight w:val="327"/>
        </w:trPr>
        <w:tc>
          <w:tcPr>
            <w:tcW w:w="938" w:type="dxa"/>
            <w:vMerge w:val="restart"/>
            <w:noWrap/>
            <w:vAlign w:val="center"/>
            <w:hideMark/>
          </w:tcPr>
          <w:p w14:paraId="302A9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015CB8" w:rsidRPr="00572BC7" w:rsidRDefault="00015CB8" w:rsidP="00015CB8">
            <w:pPr>
              <w:jc w:val="center"/>
              <w:rPr>
                <w:rFonts w:ascii="Arial" w:hAnsi="Arial" w:cs="Arial"/>
                <w:bCs/>
                <w:sz w:val="18"/>
                <w:szCs w:val="18"/>
                <w:lang w:eastAsia="tr-TR"/>
              </w:rPr>
            </w:pPr>
            <w:r>
              <w:rPr>
                <w:rFonts w:ascii="Arial" w:hAnsi="Arial" w:cs="Arial"/>
                <w:sz w:val="18"/>
                <w:szCs w:val="18"/>
              </w:rPr>
              <w:t>634</w:t>
            </w:r>
          </w:p>
        </w:tc>
        <w:tc>
          <w:tcPr>
            <w:tcW w:w="993" w:type="dxa"/>
            <w:vAlign w:val="center"/>
          </w:tcPr>
          <w:p w14:paraId="0C741049" w14:textId="1F55AD4C" w:rsidR="00015CB8" w:rsidRDefault="00015CB8" w:rsidP="00015CB8">
            <w:pPr>
              <w:jc w:val="center"/>
              <w:rPr>
                <w:rFonts w:ascii="Arial" w:hAnsi="Arial" w:cs="Arial"/>
                <w:sz w:val="18"/>
                <w:szCs w:val="18"/>
              </w:rPr>
            </w:pPr>
            <w:r>
              <w:rPr>
                <w:rFonts w:ascii="Arial" w:hAnsi="Arial" w:cs="Arial"/>
                <w:sz w:val="18"/>
                <w:szCs w:val="18"/>
              </w:rPr>
              <w:t>648</w:t>
            </w:r>
          </w:p>
        </w:tc>
      </w:tr>
      <w:tr w:rsidR="00015CB8" w:rsidRPr="007473AA" w14:paraId="002588FB" w14:textId="0B7249DE" w:rsidTr="00F11741">
        <w:trPr>
          <w:trHeight w:val="327"/>
        </w:trPr>
        <w:tc>
          <w:tcPr>
            <w:tcW w:w="938" w:type="dxa"/>
            <w:vMerge/>
            <w:noWrap/>
            <w:hideMark/>
          </w:tcPr>
          <w:p w14:paraId="2C69BD57"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6F918FF7"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015CB8" w:rsidRPr="00572BC7" w:rsidRDefault="00015CB8" w:rsidP="00015CB8">
            <w:pPr>
              <w:jc w:val="center"/>
              <w:rPr>
                <w:rFonts w:ascii="Arial" w:hAnsi="Arial" w:cs="Arial"/>
                <w:bCs/>
                <w:sz w:val="18"/>
                <w:szCs w:val="18"/>
                <w:lang w:eastAsia="tr-TR"/>
              </w:rPr>
            </w:pPr>
            <w:r>
              <w:rPr>
                <w:rFonts w:ascii="Arial" w:hAnsi="Arial" w:cs="Arial"/>
                <w:sz w:val="18"/>
                <w:szCs w:val="18"/>
              </w:rPr>
              <w:t>415</w:t>
            </w:r>
          </w:p>
        </w:tc>
        <w:tc>
          <w:tcPr>
            <w:tcW w:w="993" w:type="dxa"/>
            <w:vAlign w:val="center"/>
          </w:tcPr>
          <w:p w14:paraId="5C89E832" w14:textId="644C8E33" w:rsidR="00015CB8" w:rsidRDefault="00015CB8" w:rsidP="00015CB8">
            <w:pPr>
              <w:jc w:val="center"/>
              <w:rPr>
                <w:rFonts w:ascii="Arial" w:hAnsi="Arial" w:cs="Arial"/>
                <w:sz w:val="18"/>
                <w:szCs w:val="18"/>
              </w:rPr>
            </w:pPr>
            <w:r>
              <w:rPr>
                <w:rFonts w:ascii="Arial" w:hAnsi="Arial" w:cs="Arial"/>
                <w:sz w:val="18"/>
                <w:szCs w:val="18"/>
              </w:rPr>
              <w:t>420</w:t>
            </w:r>
          </w:p>
        </w:tc>
      </w:tr>
      <w:tr w:rsidR="00015CB8" w:rsidRPr="007473AA" w14:paraId="1935083D" w14:textId="1FA29868" w:rsidTr="00F11741">
        <w:trPr>
          <w:trHeight w:val="327"/>
        </w:trPr>
        <w:tc>
          <w:tcPr>
            <w:tcW w:w="938" w:type="dxa"/>
            <w:vMerge/>
            <w:noWrap/>
            <w:hideMark/>
          </w:tcPr>
          <w:p w14:paraId="3B04A6FA"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C869B97"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015CB8" w:rsidRPr="007621B5" w:rsidRDefault="00015CB8" w:rsidP="00015CB8">
            <w:pPr>
              <w:jc w:val="center"/>
              <w:rPr>
                <w:rFonts w:ascii="Arial" w:hAnsi="Arial" w:cs="Arial"/>
                <w:bCs/>
                <w:sz w:val="18"/>
                <w:szCs w:val="18"/>
                <w:lang w:eastAsia="tr-TR"/>
              </w:rPr>
            </w:pPr>
            <w:r>
              <w:rPr>
                <w:rFonts w:ascii="Arial" w:hAnsi="Arial" w:cs="Arial"/>
                <w:sz w:val="18"/>
                <w:szCs w:val="18"/>
              </w:rPr>
              <w:t>325.270</w:t>
            </w:r>
          </w:p>
        </w:tc>
        <w:tc>
          <w:tcPr>
            <w:tcW w:w="993" w:type="dxa"/>
            <w:vAlign w:val="center"/>
          </w:tcPr>
          <w:p w14:paraId="0785F2BD" w14:textId="38D14147" w:rsidR="00015CB8" w:rsidRDefault="00015CB8" w:rsidP="00015CB8">
            <w:pPr>
              <w:jc w:val="center"/>
              <w:rPr>
                <w:rFonts w:ascii="Arial" w:hAnsi="Arial" w:cs="Arial"/>
                <w:sz w:val="18"/>
                <w:szCs w:val="18"/>
              </w:rPr>
            </w:pPr>
            <w:r>
              <w:rPr>
                <w:rFonts w:ascii="Arial" w:hAnsi="Arial" w:cs="Arial"/>
                <w:sz w:val="18"/>
                <w:szCs w:val="18"/>
              </w:rPr>
              <w:t>330.988</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66BD8F23"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t>Ekim 2019-</w:t>
      </w:r>
      <w:r w:rsidR="00015CB8">
        <w:rPr>
          <w:rFonts w:ascii="Arial" w:hAnsi="Arial" w:cs="Arial"/>
          <w:sz w:val="22"/>
          <w:szCs w:val="22"/>
        </w:rPr>
        <w:t>Nisan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4F7420">
        <w:rPr>
          <w:rFonts w:ascii="Arial" w:hAnsi="Arial" w:cs="Arial"/>
          <w:sz w:val="22"/>
          <w:szCs w:val="22"/>
        </w:rPr>
        <w:t>644</w:t>
      </w:r>
      <w:r w:rsidR="004F7420"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4F7420">
        <w:rPr>
          <w:rFonts w:ascii="Arial" w:hAnsi="Arial" w:cs="Arial"/>
          <w:sz w:val="22"/>
          <w:szCs w:val="22"/>
        </w:rPr>
        <w:t xml:space="preserve">542’si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F7695E" w:rsidRPr="007473AA">
        <w:rPr>
          <w:rFonts w:ascii="Arial" w:hAnsi="Arial" w:cs="Arial"/>
          <w:sz w:val="22"/>
          <w:szCs w:val="22"/>
        </w:rPr>
        <w:t>10</w:t>
      </w:r>
      <w:r w:rsidR="00F7695E">
        <w:rPr>
          <w:rFonts w:ascii="Arial" w:hAnsi="Arial" w:cs="Arial"/>
          <w:sz w:val="22"/>
          <w:szCs w:val="22"/>
        </w:rPr>
        <w:t>2</w:t>
      </w:r>
      <w:r w:rsidR="00F7695E" w:rsidRPr="007473AA">
        <w:rPr>
          <w:rFonts w:ascii="Arial" w:hAnsi="Arial" w:cs="Arial"/>
          <w:sz w:val="22"/>
          <w:szCs w:val="22"/>
        </w:rPr>
        <w:t>’</w:t>
      </w:r>
      <w:r w:rsidR="00F7695E">
        <w:rPr>
          <w:rFonts w:ascii="Arial" w:hAnsi="Arial" w:cs="Arial"/>
          <w:sz w:val="22"/>
          <w:szCs w:val="22"/>
        </w:rPr>
        <w:t>s</w:t>
      </w:r>
      <w:r w:rsidR="00F7695E" w:rsidRPr="007473AA">
        <w:rPr>
          <w:rFonts w:ascii="Arial" w:hAnsi="Arial" w:cs="Arial"/>
          <w:sz w:val="22"/>
          <w:szCs w:val="22"/>
        </w:rPr>
        <w:t xml:space="preserve">i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3FC9EB5F"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B16877">
        <w:rPr>
          <w:rFonts w:ascii="Arial" w:hAnsi="Arial" w:cs="Arial"/>
          <w:sz w:val="22"/>
          <w:szCs w:val="22"/>
        </w:rPr>
        <w:t>416</w:t>
      </w:r>
      <w:r w:rsidR="00B16877"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B16877">
        <w:rPr>
          <w:rFonts w:ascii="Arial" w:hAnsi="Arial" w:cs="Arial"/>
          <w:sz w:val="22"/>
          <w:szCs w:val="22"/>
        </w:rPr>
        <w:t>374</w:t>
      </w:r>
      <w:r w:rsidR="00065208">
        <w:rPr>
          <w:rFonts w:ascii="Arial" w:hAnsi="Arial" w:cs="Arial"/>
          <w:sz w:val="22"/>
          <w:szCs w:val="22"/>
        </w:rPr>
        <w:t xml:space="preserve">’ü </w:t>
      </w:r>
      <w:r w:rsidR="009978FB">
        <w:rPr>
          <w:rFonts w:ascii="Arial" w:hAnsi="Arial" w:cs="Arial"/>
          <w:sz w:val="22"/>
          <w:szCs w:val="22"/>
        </w:rPr>
        <w:t xml:space="preserve">büyük ölçekli, </w:t>
      </w:r>
      <w:r w:rsidR="007D3E43">
        <w:rPr>
          <w:rFonts w:ascii="Arial" w:hAnsi="Arial" w:cs="Arial"/>
          <w:sz w:val="22"/>
          <w:szCs w:val="22"/>
        </w:rPr>
        <w:t>42</w:t>
      </w:r>
      <w:r w:rsidR="009978FB">
        <w:rPr>
          <w:rFonts w:ascii="Arial" w:hAnsi="Arial" w:cs="Arial"/>
          <w:sz w:val="22"/>
          <w:szCs w:val="22"/>
        </w:rPr>
        <w:t>’</w:t>
      </w:r>
      <w:r w:rsidR="007D3E43">
        <w:rPr>
          <w:rFonts w:ascii="Arial" w:hAnsi="Arial" w:cs="Arial"/>
          <w:sz w:val="22"/>
          <w:szCs w:val="22"/>
        </w:rPr>
        <w:t>s</w:t>
      </w:r>
      <w:r w:rsidR="009978FB">
        <w:rPr>
          <w:rFonts w:ascii="Arial" w:hAnsi="Arial" w:cs="Arial"/>
          <w:sz w:val="22"/>
          <w:szCs w:val="22"/>
        </w:rPr>
        <w:t>i</w:t>
      </w:r>
      <w:r w:rsidR="007319DF" w:rsidRPr="00F935B0">
        <w:rPr>
          <w:rFonts w:ascii="Arial" w:hAnsi="Arial" w:cs="Arial"/>
          <w:sz w:val="22"/>
          <w:szCs w:val="22"/>
        </w:rPr>
        <w:t xml:space="preserve"> küçük ölçekli uygulamalar kapsamındadır.</w:t>
      </w:r>
    </w:p>
    <w:p w14:paraId="7EDDE0B1" w14:textId="53AA2DED"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015CB8">
        <w:rPr>
          <w:rFonts w:ascii="Arial" w:hAnsi="Arial" w:cs="Arial"/>
          <w:sz w:val="22"/>
          <w:szCs w:val="22"/>
        </w:rPr>
        <w:t>Nisan 2025</w:t>
      </w:r>
      <w:r w:rsidRPr="00F935B0">
        <w:rPr>
          <w:rFonts w:ascii="Arial" w:hAnsi="Arial" w:cs="Arial"/>
          <w:sz w:val="22"/>
          <w:szCs w:val="22"/>
        </w:rPr>
        <w:t xml:space="preserve"> dönemi içinde, </w:t>
      </w:r>
      <w:r w:rsidR="00B16877">
        <w:rPr>
          <w:rFonts w:ascii="Arial" w:hAnsi="Arial" w:cs="Arial"/>
          <w:sz w:val="22"/>
          <w:szCs w:val="22"/>
        </w:rPr>
        <w:t>325.909</w:t>
      </w:r>
      <w:r w:rsidR="002F33EC">
        <w:rPr>
          <w:rFonts w:ascii="Arial" w:hAnsi="Arial" w:cs="Arial"/>
          <w:sz w:val="22"/>
          <w:szCs w:val="22"/>
        </w:rPr>
        <w:t xml:space="preserve"> </w:t>
      </w:r>
      <w:r w:rsidRPr="00F935B0">
        <w:rPr>
          <w:rFonts w:ascii="Arial" w:hAnsi="Arial" w:cs="Arial"/>
          <w:sz w:val="22"/>
          <w:szCs w:val="22"/>
        </w:rPr>
        <w:t xml:space="preserve">milyon TL’si büyük ölçekli, </w:t>
      </w:r>
      <w:r w:rsidR="000F0427" w:rsidRPr="00F935B0">
        <w:rPr>
          <w:rFonts w:ascii="Arial" w:hAnsi="Arial" w:cs="Arial"/>
          <w:sz w:val="22"/>
          <w:szCs w:val="22"/>
        </w:rPr>
        <w:t>4</w:t>
      </w:r>
      <w:r w:rsidR="007D3E43">
        <w:rPr>
          <w:rFonts w:ascii="Arial" w:hAnsi="Arial" w:cs="Arial"/>
          <w:sz w:val="22"/>
          <w:szCs w:val="22"/>
        </w:rPr>
        <w:t>8</w:t>
      </w:r>
      <w:r w:rsidR="00FD7CD5">
        <w:rPr>
          <w:rFonts w:ascii="Arial" w:hAnsi="Arial" w:cs="Arial"/>
          <w:sz w:val="22"/>
          <w:szCs w:val="22"/>
        </w:rPr>
        <w:t>8</w:t>
      </w:r>
      <w:r w:rsidR="00D171A3">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B16877">
        <w:rPr>
          <w:rFonts w:ascii="Arial" w:hAnsi="Arial" w:cs="Arial"/>
          <w:sz w:val="22"/>
          <w:szCs w:val="22"/>
        </w:rPr>
        <w:t>326.397</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77777777" w:rsidR="00F935B0" w:rsidRPr="00F935B0" w:rsidRDefault="00F935B0" w:rsidP="00F935B0">
      <w:pPr>
        <w:jc w:val="center"/>
        <w:rPr>
          <w:rFonts w:ascii="Arial" w:hAnsi="Arial" w:cs="Arial"/>
          <w:b/>
          <w:sz w:val="22"/>
          <w:szCs w:val="22"/>
        </w:rPr>
      </w:pPr>
      <w:r w:rsidRPr="00F935B0">
        <w:rPr>
          <w:rFonts w:ascii="Arial" w:hAnsi="Arial" w:cs="Arial"/>
          <w:b/>
          <w:sz w:val="22"/>
          <w:szCs w:val="22"/>
        </w:rPr>
        <w:t>FYYÇA Büyük Ölçekli ve Küçük Uygulamalar</w:t>
      </w:r>
    </w:p>
    <w:p w14:paraId="6122B28A" w14:textId="09352387"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015CB8">
        <w:rPr>
          <w:rFonts w:ascii="Arial" w:hAnsi="Arial" w:cs="Arial"/>
          <w:b/>
          <w:sz w:val="22"/>
          <w:szCs w:val="22"/>
        </w:rPr>
        <w:t>Nisan 2025</w:t>
      </w:r>
    </w:p>
    <w:p w14:paraId="2B14B4FC" w14:textId="2E41B4A4" w:rsidR="00015CB8" w:rsidRDefault="00015CB8" w:rsidP="00F935B0">
      <w:pPr>
        <w:jc w:val="center"/>
        <w:rPr>
          <w:rFonts w:ascii="Arial" w:hAnsi="Arial" w:cs="Arial"/>
          <w:b/>
          <w:sz w:val="22"/>
          <w:szCs w:val="22"/>
        </w:rPr>
      </w:pPr>
      <w:r>
        <w:rPr>
          <w:noProof/>
          <w:lang w:eastAsia="tr-TR"/>
        </w:rPr>
        <w:drawing>
          <wp:inline distT="0" distB="0" distL="0" distR="0" wp14:anchorId="29BBB792" wp14:editId="76B3335F">
            <wp:extent cx="5326380" cy="2987040"/>
            <wp:effectExtent l="0" t="0" r="7620" b="381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1C92700" w14:textId="5381A163" w:rsidR="005A6273" w:rsidRDefault="005A6273"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4DA82E26"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015CB8">
        <w:rPr>
          <w:rFonts w:ascii="Arial" w:hAnsi="Arial" w:cs="Arial"/>
          <w:sz w:val="22"/>
          <w:szCs w:val="22"/>
        </w:rPr>
        <w:t>Nisan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06F80BE4"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015CB8">
        <w:rPr>
          <w:rFonts w:ascii="Arial" w:hAnsi="Arial" w:cs="Arial"/>
          <w:sz w:val="22"/>
          <w:szCs w:val="22"/>
        </w:rPr>
        <w:t>Nisan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2A61E21A"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015CB8">
        <w:rPr>
          <w:rFonts w:ascii="Arial" w:hAnsi="Arial" w:cs="Arial"/>
          <w:sz w:val="22"/>
          <w:szCs w:val="22"/>
        </w:rPr>
        <w:t>Nisan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40E67A04"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015CB8">
        <w:rPr>
          <w:rFonts w:ascii="Arial" w:hAnsi="Arial" w:cs="Arial"/>
          <w:sz w:val="22"/>
          <w:szCs w:val="22"/>
        </w:rPr>
        <w:t>Nisan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1F3EB23" w14:textId="627112ED" w:rsidR="00011113" w:rsidRDefault="00011113" w:rsidP="008B5F67">
      <w:pPr>
        <w:tabs>
          <w:tab w:val="left" w:pos="6588"/>
        </w:tabs>
        <w:jc w:val="both"/>
        <w:rPr>
          <w:rFonts w:ascii="Arial" w:hAnsi="Arial" w:cs="Arial"/>
          <w:sz w:val="22"/>
          <w:szCs w:val="22"/>
        </w:rPr>
      </w:pPr>
    </w:p>
    <w:p w14:paraId="26F00250" w14:textId="3593C641" w:rsidR="00011113" w:rsidRDefault="00011113" w:rsidP="008B5F67">
      <w:pPr>
        <w:tabs>
          <w:tab w:val="left" w:pos="6588"/>
        </w:tabs>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653040E8" w14:textId="77777777" w:rsidR="003B5930" w:rsidRDefault="003B5930" w:rsidP="000D520A">
      <w:pPr>
        <w:jc w:val="both"/>
        <w:rPr>
          <w:rFonts w:ascii="Arial" w:hAnsi="Arial" w:cs="Arial"/>
          <w:sz w:val="22"/>
          <w:szCs w:val="22"/>
        </w:rPr>
      </w:pPr>
    </w:p>
    <w:p w14:paraId="5F0B1BE6" w14:textId="77777777" w:rsidR="003B5930" w:rsidRDefault="003B5930" w:rsidP="000D520A">
      <w:pPr>
        <w:jc w:val="both"/>
        <w:rPr>
          <w:rFonts w:ascii="Arial" w:hAnsi="Arial" w:cs="Arial"/>
          <w:sz w:val="22"/>
          <w:szCs w:val="22"/>
        </w:rPr>
      </w:pPr>
    </w:p>
    <w:p w14:paraId="70F46373" w14:textId="77777777" w:rsidR="003B5930" w:rsidRDefault="003B5930"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4A720F88"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0605B0">
        <w:rPr>
          <w:rFonts w:ascii="Arial" w:hAnsi="Arial" w:cs="Arial"/>
          <w:b/>
          <w:sz w:val="22"/>
          <w:szCs w:val="22"/>
        </w:rPr>
        <w:t>81</w:t>
      </w:r>
      <w:r w:rsidR="000605B0"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0605B0">
        <w:rPr>
          <w:rFonts w:ascii="Arial" w:hAnsi="Arial" w:cs="Arial"/>
          <w:b/>
          <w:sz w:val="22"/>
          <w:szCs w:val="22"/>
        </w:rPr>
        <w:t>239,8</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10D30F3D"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015CB8">
        <w:rPr>
          <w:rFonts w:ascii="Arial" w:hAnsi="Arial" w:cs="Arial"/>
          <w:sz w:val="22"/>
          <w:szCs w:val="22"/>
        </w:rPr>
        <w:t>Nisan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015CB8">
        <w:rPr>
          <w:rFonts w:ascii="Arial" w:hAnsi="Arial" w:cs="Arial"/>
          <w:sz w:val="22"/>
          <w:szCs w:val="22"/>
        </w:rPr>
        <w:t>106</w:t>
      </w:r>
      <w:r w:rsidR="00015CB8" w:rsidRPr="00730524">
        <w:rPr>
          <w:rFonts w:ascii="Arial" w:hAnsi="Arial" w:cs="Arial"/>
          <w:sz w:val="22"/>
          <w:szCs w:val="22"/>
        </w:rPr>
        <w:t xml:space="preserve"> </w:t>
      </w:r>
      <w:r w:rsidRPr="00730524">
        <w:rPr>
          <w:rFonts w:ascii="Arial" w:hAnsi="Arial" w:cs="Arial"/>
          <w:sz w:val="22"/>
          <w:szCs w:val="22"/>
        </w:rPr>
        <w:t>adet firma (</w:t>
      </w:r>
      <w:r w:rsidR="00015CB8">
        <w:rPr>
          <w:rFonts w:ascii="Arial" w:hAnsi="Arial" w:cs="Arial"/>
          <w:sz w:val="22"/>
          <w:szCs w:val="22"/>
        </w:rPr>
        <w:t>52</w:t>
      </w:r>
      <w:r w:rsidR="00015CB8"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015CB8">
        <w:rPr>
          <w:rFonts w:ascii="Arial" w:hAnsi="Arial" w:cs="Arial"/>
          <w:sz w:val="22"/>
          <w:szCs w:val="22"/>
        </w:rPr>
        <w:t>81’i</w:t>
      </w:r>
      <w:r w:rsidR="00015CB8"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015CB8">
        <w:rPr>
          <w:rFonts w:ascii="Arial" w:hAnsi="Arial" w:cs="Arial"/>
          <w:sz w:val="22"/>
          <w:szCs w:val="22"/>
        </w:rPr>
        <w:t>45</w:t>
      </w:r>
      <w:r w:rsidR="00015CB8"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34B9E69E"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015CB8">
        <w:rPr>
          <w:rFonts w:ascii="Arial" w:hAnsi="Arial" w:cs="Arial"/>
          <w:sz w:val="22"/>
          <w:szCs w:val="22"/>
        </w:rPr>
        <w:t>10</w:t>
      </w:r>
      <w:r w:rsidR="00015CB8"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0658A2" w:rsidRPr="00730524">
        <w:rPr>
          <w:rFonts w:ascii="Arial" w:hAnsi="Arial" w:cs="Arial"/>
          <w:sz w:val="22"/>
          <w:szCs w:val="22"/>
        </w:rPr>
        <w:t>8</w:t>
      </w:r>
      <w:r w:rsidR="00E54CE0" w:rsidRPr="00730524">
        <w:rPr>
          <w:rFonts w:ascii="Arial" w:hAnsi="Arial" w:cs="Arial"/>
          <w:sz w:val="22"/>
          <w:szCs w:val="22"/>
        </w:rPr>
        <w:t xml:space="preserve"> 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5CB8">
        <w:rPr>
          <w:rFonts w:ascii="Arial" w:hAnsi="Arial" w:cs="Arial"/>
          <w:sz w:val="22"/>
          <w:szCs w:val="22"/>
        </w:rPr>
        <w:t>8</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011113">
        <w:rPr>
          <w:rFonts w:ascii="Arial" w:hAnsi="Arial" w:cs="Arial"/>
          <w:sz w:val="22"/>
          <w:szCs w:val="22"/>
        </w:rPr>
        <w:t>9</w:t>
      </w:r>
      <w:r w:rsidR="00011113"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1803BE"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1 tanesi sağlık ve sosyal hizmetler,</w:t>
      </w:r>
      <w:r w:rsidR="00EA2925" w:rsidRPr="00730524">
        <w:rPr>
          <w:rFonts w:ascii="Arial" w:hAnsi="Arial" w:cs="Arial"/>
          <w:sz w:val="22"/>
          <w:szCs w:val="22"/>
        </w:rPr>
        <w:t xml:space="preserve"> </w:t>
      </w:r>
      <w:r w:rsidR="00015CB8">
        <w:rPr>
          <w:rFonts w:ascii="Arial" w:hAnsi="Arial" w:cs="Arial"/>
          <w:sz w:val="22"/>
          <w:szCs w:val="22"/>
        </w:rPr>
        <w:t>7</w:t>
      </w:r>
      <w:r w:rsidR="00015CB8"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015CB8">
        <w:rPr>
          <w:rFonts w:ascii="Arial" w:hAnsi="Arial" w:cs="Arial"/>
          <w:sz w:val="22"/>
          <w:szCs w:val="22"/>
        </w:rPr>
        <w:t>10</w:t>
      </w:r>
      <w:r w:rsidR="00015CB8"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015CB8">
        <w:rPr>
          <w:rFonts w:ascii="Arial" w:hAnsi="Arial" w:cs="Arial"/>
          <w:sz w:val="22"/>
          <w:szCs w:val="22"/>
        </w:rPr>
        <w:t>43’ü</w:t>
      </w:r>
      <w:r w:rsidR="00015CB8"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011113">
        <w:rPr>
          <w:rFonts w:ascii="Arial" w:hAnsi="Arial" w:cs="Arial"/>
          <w:sz w:val="22"/>
          <w:szCs w:val="22"/>
        </w:rPr>
        <w:t>6’sı</w:t>
      </w:r>
      <w:r w:rsidR="00011113"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431D6C" w:rsidRPr="00730524">
        <w:rPr>
          <w:rFonts w:ascii="Arial" w:hAnsi="Arial" w:cs="Arial"/>
          <w:sz w:val="22"/>
          <w:szCs w:val="22"/>
        </w:rPr>
        <w:t>3</w:t>
      </w:r>
      <w:r w:rsidR="00001D84" w:rsidRPr="00730524">
        <w:rPr>
          <w:rFonts w:ascii="Arial" w:hAnsi="Arial" w:cs="Arial"/>
          <w:sz w:val="22"/>
          <w:szCs w:val="22"/>
        </w:rPr>
        <w:t>’</w:t>
      </w:r>
      <w:r w:rsidR="00431D6C" w:rsidRPr="00730524">
        <w:rPr>
          <w:rFonts w:ascii="Arial" w:hAnsi="Arial" w:cs="Arial"/>
          <w:sz w:val="22"/>
          <w:szCs w:val="22"/>
        </w:rPr>
        <w:t>ü</w:t>
      </w:r>
      <w:r w:rsidR="00001D84" w:rsidRPr="00730524">
        <w:rPr>
          <w:rFonts w:ascii="Arial" w:hAnsi="Arial" w:cs="Arial"/>
          <w:sz w:val="22"/>
          <w:szCs w:val="22"/>
        </w:rPr>
        <w:t xml:space="preserve"> 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015CB8">
        <w:rPr>
          <w:rFonts w:ascii="Arial" w:hAnsi="Arial" w:cs="Arial"/>
          <w:sz w:val="22"/>
          <w:szCs w:val="22"/>
        </w:rPr>
        <w:t>6’sı</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24E9278D"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015CB8">
        <w:rPr>
          <w:rFonts w:ascii="Arial" w:hAnsi="Arial" w:cs="Arial"/>
          <w:sz w:val="22"/>
          <w:szCs w:val="22"/>
        </w:rPr>
        <w:t>Nisan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0605B0">
        <w:rPr>
          <w:rFonts w:ascii="Arial" w:hAnsi="Arial" w:cs="Arial"/>
          <w:sz w:val="22"/>
          <w:szCs w:val="22"/>
        </w:rPr>
        <w:t>10.052</w:t>
      </w:r>
      <w:r w:rsidR="00AD622B">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431D6C" w:rsidRPr="00730524">
        <w:rPr>
          <w:rFonts w:ascii="Arial" w:hAnsi="Arial" w:cs="Arial"/>
          <w:sz w:val="22"/>
          <w:szCs w:val="22"/>
        </w:rPr>
        <w:t>3.</w:t>
      </w:r>
      <w:r w:rsidR="000658A2" w:rsidRPr="00730524">
        <w:rPr>
          <w:rFonts w:ascii="Arial" w:hAnsi="Arial" w:cs="Arial"/>
          <w:sz w:val="22"/>
          <w:szCs w:val="22"/>
        </w:rPr>
        <w:t>245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54.582</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D54867">
        <w:rPr>
          <w:rFonts w:ascii="Arial" w:hAnsi="Arial" w:cs="Arial"/>
          <w:sz w:val="22"/>
          <w:szCs w:val="22"/>
        </w:rPr>
        <w:t>910</w:t>
      </w:r>
      <w:r w:rsidR="00D54867"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1803BE"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675 milyon TL’si sağlık ve sosyal hizmetler,</w:t>
      </w:r>
      <w:r w:rsidR="00B33EE5" w:rsidRPr="00730524">
        <w:rPr>
          <w:rFonts w:ascii="Arial" w:hAnsi="Arial" w:cs="Arial"/>
          <w:sz w:val="22"/>
          <w:szCs w:val="22"/>
        </w:rPr>
        <w:t xml:space="preserve"> </w:t>
      </w:r>
      <w:r w:rsidR="000605B0">
        <w:rPr>
          <w:rFonts w:ascii="Arial" w:hAnsi="Arial" w:cs="Arial"/>
          <w:sz w:val="22"/>
          <w:szCs w:val="22"/>
        </w:rPr>
        <w:t>1.909</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0605B0">
        <w:rPr>
          <w:rFonts w:ascii="Arial" w:hAnsi="Arial" w:cs="Arial"/>
          <w:sz w:val="22"/>
          <w:szCs w:val="22"/>
        </w:rPr>
        <w:t>84.069</w:t>
      </w:r>
      <w:r w:rsidRPr="00730524">
        <w:rPr>
          <w:rFonts w:ascii="Arial" w:hAnsi="Arial" w:cs="Arial"/>
          <w:sz w:val="22"/>
          <w:szCs w:val="22"/>
        </w:rPr>
        <w:t xml:space="preserve"> milyon TL’si diğer sektörlere ait olmak üzere yeniden yapılandırılan toplam borç tutarı </w:t>
      </w:r>
      <w:r w:rsidR="000605B0">
        <w:rPr>
          <w:rFonts w:ascii="Arial" w:hAnsi="Arial" w:cs="Arial"/>
          <w:sz w:val="22"/>
          <w:szCs w:val="22"/>
        </w:rPr>
        <w:t>239.795</w:t>
      </w:r>
      <w:r w:rsidR="00730524"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791422F1"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531944" w:rsidRPr="006D4134">
        <w:rPr>
          <w:rFonts w:ascii="Arial" w:hAnsi="Arial" w:cs="Arial"/>
          <w:b/>
          <w:sz w:val="22"/>
          <w:szCs w:val="22"/>
        </w:rPr>
        <w:t>9</w:t>
      </w:r>
      <w:r w:rsidR="001119C3" w:rsidRPr="006D4134">
        <w:rPr>
          <w:rFonts w:ascii="Arial" w:hAnsi="Arial" w:cs="Arial"/>
          <w:b/>
          <w:sz w:val="22"/>
          <w:szCs w:val="22"/>
        </w:rPr>
        <w:t xml:space="preserve"> 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531944" w:rsidRPr="006D4134">
        <w:rPr>
          <w:rFonts w:ascii="Arial" w:hAnsi="Arial" w:cs="Arial"/>
          <w:b/>
          <w:sz w:val="22"/>
          <w:szCs w:val="22"/>
        </w:rPr>
        <w:t>79</w:t>
      </w:r>
      <w:r w:rsidR="009A4992"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3DFD1A6E"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015CB8">
        <w:rPr>
          <w:rFonts w:ascii="Arial" w:hAnsi="Arial" w:cs="Arial"/>
          <w:sz w:val="22"/>
          <w:szCs w:val="22"/>
        </w:rPr>
        <w:t>Nisan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7695E" w:rsidRPr="006D4134">
        <w:rPr>
          <w:rFonts w:ascii="Arial" w:hAnsi="Arial" w:cs="Arial"/>
          <w:sz w:val="22"/>
          <w:szCs w:val="22"/>
        </w:rPr>
        <w:t>2</w:t>
      </w:r>
      <w:r w:rsidR="00F7695E">
        <w:rPr>
          <w:rFonts w:ascii="Arial" w:hAnsi="Arial" w:cs="Arial"/>
          <w:sz w:val="22"/>
          <w:szCs w:val="22"/>
        </w:rPr>
        <w:t>3</w:t>
      </w:r>
      <w:r w:rsidR="00F7695E" w:rsidRPr="006D4134">
        <w:rPr>
          <w:rFonts w:ascii="Arial" w:hAnsi="Arial" w:cs="Arial"/>
          <w:sz w:val="22"/>
          <w:szCs w:val="22"/>
        </w:rPr>
        <w:t xml:space="preserve"> </w:t>
      </w:r>
      <w:r w:rsidRPr="006D4134">
        <w:rPr>
          <w:rFonts w:ascii="Arial" w:hAnsi="Arial" w:cs="Arial"/>
          <w:sz w:val="22"/>
          <w:szCs w:val="22"/>
        </w:rPr>
        <w:t>adet firma (</w:t>
      </w:r>
      <w:r w:rsidR="00F7695E">
        <w:rPr>
          <w:rFonts w:ascii="Arial" w:hAnsi="Arial" w:cs="Arial"/>
          <w:sz w:val="22"/>
          <w:szCs w:val="22"/>
        </w:rPr>
        <w:t>9</w:t>
      </w:r>
      <w:r w:rsidR="00F7695E"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431D6C" w:rsidRPr="006D4134">
        <w:rPr>
          <w:rFonts w:ascii="Arial" w:hAnsi="Arial" w:cs="Arial"/>
          <w:sz w:val="22"/>
          <w:szCs w:val="22"/>
        </w:rPr>
        <w:t>9</w:t>
      </w:r>
      <w:r w:rsidR="00AD3F9D" w:rsidRPr="006D4134">
        <w:rPr>
          <w:rFonts w:ascii="Arial" w:hAnsi="Arial" w:cs="Arial"/>
          <w:sz w:val="22"/>
          <w:szCs w:val="22"/>
        </w:rPr>
        <w:t xml:space="preserve"> firma (</w:t>
      </w:r>
      <w:r w:rsidR="00431D6C" w:rsidRPr="006D4134">
        <w:rPr>
          <w:rFonts w:ascii="Arial" w:hAnsi="Arial" w:cs="Arial"/>
          <w:sz w:val="22"/>
          <w:szCs w:val="22"/>
        </w:rPr>
        <w:t>5</w:t>
      </w:r>
      <w:r w:rsidR="00AD3F9D" w:rsidRPr="006D4134">
        <w:rPr>
          <w:rFonts w:ascii="Arial" w:hAnsi="Arial" w:cs="Arial"/>
          <w:sz w:val="22"/>
          <w:szCs w:val="22"/>
        </w:rPr>
        <w:t xml:space="preserve"> 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77777777"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 sektöründe faaliyet göstermektedir. Söz konusu firmaların 1’i İstanbul’da,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0E557B2F"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015CB8">
        <w:rPr>
          <w:rFonts w:ascii="Arial" w:hAnsi="Arial" w:cs="Arial"/>
          <w:sz w:val="22"/>
          <w:szCs w:val="22"/>
        </w:rPr>
        <w:t>Nisan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 xml:space="preserve">ve 0,2 milyon TL’si eğitim sektörüne ait olmak üzere yeniden yapılandırılan toplam borç tutarı </w:t>
      </w:r>
      <w:r w:rsidR="00680757" w:rsidRPr="006D4134">
        <w:rPr>
          <w:rFonts w:ascii="Arial" w:hAnsi="Arial" w:cs="Arial"/>
          <w:sz w:val="22"/>
          <w:szCs w:val="22"/>
        </w:rPr>
        <w:t>7</w:t>
      </w:r>
      <w:r w:rsidR="00001D84" w:rsidRPr="006D4134">
        <w:rPr>
          <w:rFonts w:ascii="Arial" w:hAnsi="Arial" w:cs="Arial"/>
          <w:sz w:val="22"/>
          <w:szCs w:val="22"/>
        </w:rPr>
        <w:t>9</w:t>
      </w:r>
      <w:r w:rsidRPr="006D4134">
        <w:rPr>
          <w:rFonts w:ascii="Arial" w:hAnsi="Arial" w:cs="Arial"/>
          <w:sz w:val="22"/>
          <w:szCs w:val="22"/>
        </w:rPr>
        <w:t xml:space="preserve"> 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BEB72" w14:textId="77777777" w:rsidR="009F6AD3" w:rsidRDefault="009F6AD3">
      <w:r>
        <w:separator/>
      </w:r>
    </w:p>
  </w:endnote>
  <w:endnote w:type="continuationSeparator" w:id="0">
    <w:p w14:paraId="2421B47E" w14:textId="77777777" w:rsidR="009F6AD3" w:rsidRDefault="009F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4689ED08"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0605B0">
      <w:rPr>
        <w:rStyle w:val="PageNumber"/>
        <w:rFonts w:ascii="Arial" w:hAnsi="Arial" w:cs="Arial"/>
        <w:noProof/>
        <w:sz w:val="18"/>
        <w:szCs w:val="18"/>
      </w:rPr>
      <w:t>v</w:t>
    </w:r>
    <w:r w:rsidRPr="00325942">
      <w:rPr>
        <w:rStyle w:val="PageNumber"/>
        <w:rFonts w:ascii="Arial" w:hAnsi="Arial" w:cs="Arial"/>
        <w:sz w:val="18"/>
        <w:szCs w:val="18"/>
      </w:rPr>
      <w:fldChar w:fldCharType="end"/>
    </w:r>
  </w:p>
  <w:p w14:paraId="26937730" w14:textId="3A59A5CC"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015CB8">
      <w:rPr>
        <w:rFonts w:ascii="Arial" w:hAnsi="Arial" w:cs="Arial"/>
        <w:sz w:val="18"/>
        <w:szCs w:val="18"/>
      </w:rPr>
      <w:t>Nisan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0434F404"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 xml:space="preserve">Finansal </w:t>
    </w:r>
    <w:r w:rsidR="0029195C">
      <w:rPr>
        <w:rFonts w:ascii="Arial" w:hAnsi="Arial" w:cs="Arial"/>
        <w:sz w:val="18"/>
        <w:szCs w:val="18"/>
      </w:rPr>
      <w:t>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015CB8">
      <w:rPr>
        <w:rFonts w:ascii="Arial" w:hAnsi="Arial" w:cs="Arial"/>
        <w:sz w:val="18"/>
        <w:szCs w:val="18"/>
      </w:rPr>
      <w:t>Nisan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55414" w14:textId="77777777" w:rsidR="009F6AD3" w:rsidRDefault="009F6AD3">
      <w:r>
        <w:separator/>
      </w:r>
    </w:p>
  </w:footnote>
  <w:footnote w:type="continuationSeparator" w:id="0">
    <w:p w14:paraId="6A744004" w14:textId="77777777" w:rsidR="009F6AD3" w:rsidRDefault="009F6AD3">
      <w:r>
        <w:continuationSeparator/>
      </w:r>
    </w:p>
  </w:footnote>
  <w:footnote w:id="1">
    <w:p w14:paraId="67200E0F" w14:textId="6679D54C"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015CB8">
        <w:rPr>
          <w:rFonts w:ascii="Arial" w:hAnsi="Arial" w:cs="Arial"/>
          <w:sz w:val="18"/>
          <w:szCs w:val="18"/>
        </w:rPr>
        <w:t xml:space="preserve">Aralık </w:t>
      </w:r>
      <w:r w:rsidR="005C31E8" w:rsidRPr="005D239F">
        <w:rPr>
          <w:rFonts w:ascii="Arial" w:hAnsi="Arial" w:cs="Arial"/>
          <w:sz w:val="18"/>
          <w:szCs w:val="18"/>
        </w:rPr>
        <w:t xml:space="preserve">2024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 xml:space="preserve">yaklaşık </w:t>
      </w:r>
      <w:r w:rsidR="00015CB8">
        <w:rPr>
          <w:rFonts w:ascii="Arial" w:hAnsi="Arial" w:cs="Arial"/>
          <w:sz w:val="18"/>
          <w:szCs w:val="18"/>
        </w:rPr>
        <w:t>731,5</w:t>
      </w:r>
      <w:r w:rsidR="00015CB8"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040516435">
    <w:abstractNumId w:val="4"/>
  </w:num>
  <w:num w:numId="2" w16cid:durableId="906574499">
    <w:abstractNumId w:val="3"/>
  </w:num>
  <w:num w:numId="3" w16cid:durableId="1930043510">
    <w:abstractNumId w:val="0"/>
  </w:num>
  <w:num w:numId="4" w16cid:durableId="1293561578">
    <w:abstractNumId w:val="2"/>
  </w:num>
  <w:num w:numId="5" w16cid:durableId="822702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E08"/>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547B"/>
    <w:rsid w:val="00C3691D"/>
    <w:rsid w:val="00C37218"/>
    <w:rsid w:val="00C41750"/>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2019-2025)\Grafik-Nisan%20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9A8-4062-9AA3-1E6C0A2E17F1}"/>
                </c:ext>
              </c:extLst>
            </c:dLbl>
            <c:dLbl>
              <c:idx val="1"/>
              <c:layout>
                <c:manualLayout>
                  <c:x val="-4.0931859073982261E-3"/>
                  <c:y val="3.039678722930819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9A8-4062-9AA3-1E6C0A2E17F1}"/>
                </c:ext>
              </c:extLst>
            </c:dLbl>
            <c:dLbl>
              <c:idx val="3"/>
              <c:layout>
                <c:manualLayout>
                  <c:x val="0"/>
                  <c:y val="7.74040193912362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9A8-4062-9AA3-1E6C0A2E17F1}"/>
                </c:ext>
              </c:extLst>
            </c:dLbl>
            <c:dLbl>
              <c:idx val="5"/>
              <c:layout>
                <c:manualLayout>
                  <c:x val="-8.9179722960227605E-17"/>
                  <c:y val="1.580042923075818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9A8-4062-9AA3-1E6C0A2E17F1}"/>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9A8-4062-9AA3-1E6C0A2E17F1}"/>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9A8-4062-9AA3-1E6C0A2E17F1}"/>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9A8-4062-9AA3-1E6C0A2E17F1}"/>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9A8-4062-9AA3-1E6C0A2E17F1}"/>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Grafik!$C$19:$C$35</c:f>
              <c:numCache>
                <c:formatCode>#,##0</c:formatCode>
                <c:ptCount val="13"/>
                <c:pt idx="0">
                  <c:v>4450.0362219600001</c:v>
                </c:pt>
                <c:pt idx="1">
                  <c:v>2642.7158119999999</c:v>
                </c:pt>
                <c:pt idx="2">
                  <c:v>23547.554209324211</c:v>
                </c:pt>
                <c:pt idx="3">
                  <c:v>13791.487158431264</c:v>
                </c:pt>
                <c:pt idx="4">
                  <c:v>72925.814869316499</c:v>
                </c:pt>
                <c:pt idx="5">
                  <c:v>4084.7000484500004</c:v>
                </c:pt>
                <c:pt idx="6">
                  <c:v>31896.439627260093</c:v>
                </c:pt>
                <c:pt idx="7">
                  <c:v>6249.3787499</c:v>
                </c:pt>
                <c:pt idx="8">
                  <c:v>66837.468614355632</c:v>
                </c:pt>
                <c:pt idx="9">
                  <c:v>1828.0763838900002</c:v>
                </c:pt>
                <c:pt idx="10">
                  <c:v>1252.9145789225599</c:v>
                </c:pt>
                <c:pt idx="11">
                  <c:v>2619.1999999999998</c:v>
                </c:pt>
                <c:pt idx="12">
                  <c:v>98862.468619738764</c:v>
                </c:pt>
              </c:numCache>
              <c:extLst/>
            </c:numRef>
          </c:val>
          <c:extLst>
            <c:ext xmlns:c16="http://schemas.microsoft.com/office/drawing/2014/chart" uri="{C3380CC4-5D6E-409C-BE32-E72D297353CC}">
              <c16:uniqueId val="{00000008-D9A8-4062-9AA3-1E6C0A2E17F1}"/>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9A8-4062-9AA3-1E6C0A2E17F1}"/>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Grafik!$B$19:$B$35</c:f>
              <c:numCache>
                <c:formatCode>#,##0</c:formatCode>
                <c:ptCount val="13"/>
                <c:pt idx="0">
                  <c:v>7</c:v>
                </c:pt>
                <c:pt idx="1">
                  <c:v>10</c:v>
                </c:pt>
                <c:pt idx="2">
                  <c:v>80</c:v>
                </c:pt>
                <c:pt idx="3">
                  <c:v>18</c:v>
                </c:pt>
                <c:pt idx="4">
                  <c:v>70</c:v>
                </c:pt>
                <c:pt idx="5">
                  <c:v>54</c:v>
                </c:pt>
                <c:pt idx="6">
                  <c:v>55</c:v>
                </c:pt>
                <c:pt idx="7">
                  <c:v>25</c:v>
                </c:pt>
                <c:pt idx="8">
                  <c:v>11</c:v>
                </c:pt>
                <c:pt idx="9">
                  <c:v>7</c:v>
                </c:pt>
                <c:pt idx="10">
                  <c:v>9</c:v>
                </c:pt>
                <c:pt idx="11">
                  <c:v>12</c:v>
                </c:pt>
                <c:pt idx="12">
                  <c:v>62</c:v>
                </c:pt>
              </c:numCache>
              <c:extLst/>
            </c:numRef>
          </c:val>
          <c:smooth val="0"/>
          <c:extLst>
            <c:ext xmlns:c16="http://schemas.microsoft.com/office/drawing/2014/chart" uri="{C3380CC4-5D6E-409C-BE32-E72D297353CC}">
              <c16:uniqueId val="{0000000A-D9A8-4062-9AA3-1E6C0A2E17F1}"/>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8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7056443588328272"/>
          <c:h val="3.9038939589522162E-2"/>
        </c:manualLayout>
      </c:layout>
      <c:overlay val="0"/>
      <c:spPr>
        <a:noFill/>
        <a:ln>
          <a:noFill/>
        </a:ln>
        <a:effectLst/>
      </c:spPr>
      <c:txPr>
        <a:bodyPr rot="0" spcFirstLastPara="1" vertOverflow="ellipsis" vert="horz" wrap="square" anchor="ctr" anchorCtr="1"/>
        <a:lstStyle/>
        <a:p>
          <a:pPr>
            <a:defRPr sz="1050" b="1"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no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58B54-B4B5-4457-944F-4A4B6AB31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1303</Words>
  <Characters>7430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Küçük</cp:lastModifiedBy>
  <cp:revision>19</cp:revision>
  <cp:lastPrinted>2024-04-08T06:50:00Z</cp:lastPrinted>
  <dcterms:created xsi:type="dcterms:W3CDTF">2024-12-20T11:34:00Z</dcterms:created>
  <dcterms:modified xsi:type="dcterms:W3CDTF">2025-05-26T07:52:00Z</dcterms:modified>
</cp:coreProperties>
</file>