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56" w:rsidRPr="00D22F7C" w:rsidRDefault="00CC3FDF" w:rsidP="009B4E56">
      <w:pPr>
        <w:pStyle w:val="Title"/>
        <w:rPr>
          <w:rFonts w:ascii="Arial" w:hAnsi="Arial" w:cs="Arial"/>
          <w:sz w:val="28"/>
          <w:szCs w:val="28"/>
          <w:lang w:val="tr-TR"/>
        </w:rPr>
      </w:pPr>
      <w:bookmarkStart w:id="0" w:name="_GoBack"/>
      <w:bookmarkEnd w:id="0"/>
      <w:r w:rsidRPr="00D22F7C">
        <w:rPr>
          <w:rFonts w:ascii="Arial" w:hAnsi="Arial" w:cs="Arial"/>
          <w:sz w:val="28"/>
          <w:szCs w:val="28"/>
          <w:lang w:val="tr-TR"/>
        </w:rPr>
        <w:t>Türkiye Bankacılık Sistemi</w:t>
      </w:r>
      <w:r w:rsidRPr="00D22F7C">
        <w:rPr>
          <w:rStyle w:val="FootnoteReference"/>
          <w:rFonts w:ascii="Arial" w:hAnsi="Arial" w:cs="Arial"/>
          <w:sz w:val="28"/>
          <w:szCs w:val="28"/>
          <w:lang w:val="tr-TR"/>
        </w:rPr>
        <w:footnoteReference w:id="2"/>
      </w:r>
    </w:p>
    <w:p w:rsidR="00CD44E5" w:rsidRPr="00D22F7C" w:rsidRDefault="00CD44E5" w:rsidP="009B4E56">
      <w:pPr>
        <w:pStyle w:val="Title"/>
        <w:rPr>
          <w:rFonts w:ascii="Arial" w:hAnsi="Arial" w:cs="Arial"/>
          <w:sz w:val="28"/>
          <w:szCs w:val="28"/>
          <w:lang w:val="tr-TR"/>
        </w:rPr>
      </w:pPr>
    </w:p>
    <w:p w:rsidR="00CC3FDF" w:rsidRPr="00D22F7C" w:rsidRDefault="00CC3FDF" w:rsidP="009B4E56">
      <w:pPr>
        <w:pStyle w:val="Title"/>
        <w:rPr>
          <w:rFonts w:ascii="Arial" w:hAnsi="Arial" w:cs="Arial"/>
          <w:sz w:val="28"/>
          <w:szCs w:val="28"/>
          <w:lang w:val="tr-TR"/>
        </w:rPr>
      </w:pPr>
      <w:r w:rsidRPr="00D22F7C">
        <w:rPr>
          <w:rFonts w:ascii="Arial" w:hAnsi="Arial" w:cs="Arial"/>
          <w:sz w:val="28"/>
          <w:szCs w:val="28"/>
          <w:lang w:val="tr-TR"/>
        </w:rPr>
        <w:t>“</w:t>
      </w:r>
      <w:r w:rsidR="00575870" w:rsidRPr="00D22F7C">
        <w:rPr>
          <w:rFonts w:ascii="Arial" w:hAnsi="Arial" w:cs="Arial"/>
          <w:sz w:val="28"/>
          <w:szCs w:val="28"/>
          <w:lang w:val="tr-TR"/>
        </w:rPr>
        <w:t>Eylül</w:t>
      </w:r>
      <w:r w:rsidR="000E02E7" w:rsidRPr="00D22F7C">
        <w:rPr>
          <w:rFonts w:ascii="Arial" w:hAnsi="Arial" w:cs="Arial"/>
          <w:sz w:val="28"/>
          <w:szCs w:val="28"/>
          <w:lang w:val="tr-TR"/>
        </w:rPr>
        <w:t xml:space="preserve"> 2011</w:t>
      </w:r>
      <w:r w:rsidRPr="00D22F7C">
        <w:rPr>
          <w:rFonts w:ascii="Arial" w:hAnsi="Arial" w:cs="Arial"/>
          <w:sz w:val="28"/>
          <w:szCs w:val="28"/>
          <w:lang w:val="tr-TR"/>
        </w:rPr>
        <w:t>”</w:t>
      </w:r>
    </w:p>
    <w:p w:rsidR="00CC3FDF" w:rsidRPr="00D22F7C" w:rsidRDefault="00CC3FDF" w:rsidP="00CC3FDF">
      <w:pPr>
        <w:pStyle w:val="BodyText"/>
        <w:rPr>
          <w:rFonts w:ascii="Arial" w:hAnsi="Arial" w:cs="Arial"/>
          <w:b/>
          <w:sz w:val="22"/>
          <w:szCs w:val="22"/>
        </w:rPr>
      </w:pPr>
    </w:p>
    <w:p w:rsidR="00CC3FDF" w:rsidRPr="00D22F7C" w:rsidRDefault="00CC3FDF" w:rsidP="00CC3FDF">
      <w:pPr>
        <w:jc w:val="both"/>
        <w:rPr>
          <w:rFonts w:ascii="Arial" w:hAnsi="Arial" w:cs="Arial"/>
          <w:sz w:val="22"/>
          <w:szCs w:val="22"/>
        </w:rPr>
      </w:pPr>
    </w:p>
    <w:p w:rsidR="00CC3FDF" w:rsidRPr="00D22F7C" w:rsidRDefault="00CC3FDF" w:rsidP="00CC3FDF">
      <w:pPr>
        <w:jc w:val="both"/>
        <w:rPr>
          <w:rFonts w:ascii="Arial" w:hAnsi="Arial" w:cs="Arial"/>
          <w:b/>
        </w:rPr>
      </w:pPr>
      <w:r w:rsidRPr="00D22F7C">
        <w:rPr>
          <w:rFonts w:ascii="Arial" w:hAnsi="Arial" w:cs="Arial"/>
          <w:b/>
        </w:rPr>
        <w:t>1. Genel Değerlendirme</w:t>
      </w:r>
    </w:p>
    <w:p w:rsidR="00CB11EF" w:rsidRPr="00D22F7C" w:rsidRDefault="00CB11EF" w:rsidP="00203C7D">
      <w:pPr>
        <w:jc w:val="both"/>
        <w:rPr>
          <w:rFonts w:ascii="Arial" w:hAnsi="Arial"/>
          <w:b/>
        </w:rPr>
      </w:pPr>
    </w:p>
    <w:p w:rsidR="00CF3592" w:rsidRDefault="00CF3592" w:rsidP="003D1BCF">
      <w:pPr>
        <w:jc w:val="both"/>
        <w:rPr>
          <w:rFonts w:ascii="Arial" w:hAnsi="Arial" w:cs="Arial"/>
          <w:sz w:val="22"/>
          <w:szCs w:val="22"/>
        </w:rPr>
      </w:pPr>
      <w:r>
        <w:rPr>
          <w:rFonts w:ascii="Arial" w:hAnsi="Arial" w:cs="Arial"/>
          <w:sz w:val="22"/>
          <w:szCs w:val="22"/>
        </w:rPr>
        <w:t>Üçüncü çeyrekte, u</w:t>
      </w:r>
      <w:r w:rsidR="003D1BCF" w:rsidRPr="00D22F7C">
        <w:rPr>
          <w:rFonts w:ascii="Arial" w:hAnsi="Arial" w:cs="Arial"/>
          <w:sz w:val="22"/>
          <w:szCs w:val="22"/>
        </w:rPr>
        <w:t>luslararası piyasalarda</w:t>
      </w:r>
      <w:r>
        <w:rPr>
          <w:rFonts w:ascii="Arial" w:hAnsi="Arial" w:cs="Arial"/>
          <w:sz w:val="22"/>
          <w:szCs w:val="22"/>
        </w:rPr>
        <w:t xml:space="preserve">ki sorunlar daha da derinleşmiş, risk alma arzusu azalmış ve belirsizlik artmıştır. Dünya ekonomisinin büyüme hızı aşağı yönlü revize edilmiştir.  Özellikle AB ülkelerinde izlenen kamu borç sorununun ve finansal sektördeki sıkıntıların Birlik üyelerine yayılmaya başlaması, ve daha çok sayıda ülkenin kredi derecelendirme notunun düşmesi risk primlerinin hızla yükselmesine neden olmuştur. </w:t>
      </w:r>
    </w:p>
    <w:p w:rsidR="00644CD9" w:rsidRDefault="00644CD9" w:rsidP="003D1BCF">
      <w:pPr>
        <w:jc w:val="both"/>
        <w:rPr>
          <w:rFonts w:ascii="Arial" w:hAnsi="Arial" w:cs="Arial"/>
          <w:sz w:val="22"/>
          <w:szCs w:val="22"/>
        </w:rPr>
      </w:pPr>
    </w:p>
    <w:p w:rsidR="00644CD9" w:rsidRPr="00D22F7C" w:rsidRDefault="00644CD9" w:rsidP="00644CD9">
      <w:pPr>
        <w:jc w:val="both"/>
        <w:rPr>
          <w:rFonts w:ascii="Arial" w:hAnsi="Arial" w:cs="Arial"/>
          <w:sz w:val="22"/>
          <w:szCs w:val="22"/>
        </w:rPr>
      </w:pPr>
      <w:r>
        <w:rPr>
          <w:rFonts w:ascii="Arial" w:hAnsi="Arial" w:cs="Arial"/>
          <w:sz w:val="22"/>
          <w:szCs w:val="22"/>
        </w:rPr>
        <w:t>Gelişmeler,</w:t>
      </w:r>
      <w:r w:rsidRPr="00D22F7C">
        <w:rPr>
          <w:rFonts w:ascii="Arial" w:hAnsi="Arial" w:cs="Arial"/>
          <w:sz w:val="22"/>
          <w:szCs w:val="22"/>
        </w:rPr>
        <w:t xml:space="preserve"> TL</w:t>
      </w:r>
      <w:r>
        <w:rPr>
          <w:rFonts w:ascii="Arial" w:hAnsi="Arial" w:cs="Arial"/>
          <w:sz w:val="22"/>
          <w:szCs w:val="22"/>
        </w:rPr>
        <w:t xml:space="preserve"> üzerinde baskı yaratmış, piyasada</w:t>
      </w:r>
      <w:r w:rsidRPr="00D22F7C">
        <w:rPr>
          <w:rFonts w:ascii="Arial" w:hAnsi="Arial" w:cs="Arial"/>
          <w:sz w:val="22"/>
          <w:szCs w:val="22"/>
        </w:rPr>
        <w:t xml:space="preserve"> likidite </w:t>
      </w:r>
      <w:r>
        <w:rPr>
          <w:rFonts w:ascii="Arial" w:hAnsi="Arial" w:cs="Arial"/>
          <w:sz w:val="22"/>
          <w:szCs w:val="22"/>
        </w:rPr>
        <w:t>ihtiyacı</w:t>
      </w:r>
      <w:r w:rsidRPr="00D22F7C">
        <w:rPr>
          <w:rFonts w:ascii="Arial" w:hAnsi="Arial" w:cs="Arial"/>
          <w:sz w:val="22"/>
          <w:szCs w:val="22"/>
        </w:rPr>
        <w:t xml:space="preserve"> artmıştır. </w:t>
      </w:r>
      <w:r w:rsidR="00CF3592">
        <w:rPr>
          <w:rFonts w:ascii="Arial" w:hAnsi="Arial" w:cs="Arial"/>
          <w:sz w:val="22"/>
          <w:szCs w:val="22"/>
        </w:rPr>
        <w:t xml:space="preserve">Bu dönemde, yabancı para talebinin artmasının da etkisiyle </w:t>
      </w:r>
      <w:r w:rsidR="0012491B" w:rsidRPr="00D22F7C">
        <w:rPr>
          <w:rFonts w:ascii="Arial" w:hAnsi="Arial" w:cs="Arial"/>
          <w:sz w:val="22"/>
          <w:szCs w:val="22"/>
        </w:rPr>
        <w:t>TL</w:t>
      </w:r>
      <w:r w:rsidR="00CF3592">
        <w:rPr>
          <w:rFonts w:ascii="Arial" w:hAnsi="Arial" w:cs="Arial"/>
          <w:sz w:val="22"/>
          <w:szCs w:val="22"/>
        </w:rPr>
        <w:t>’nin</w:t>
      </w:r>
      <w:r w:rsidR="003D1BCF" w:rsidRPr="00D22F7C">
        <w:rPr>
          <w:rFonts w:ascii="Arial" w:hAnsi="Arial" w:cs="Arial"/>
          <w:sz w:val="22"/>
          <w:szCs w:val="22"/>
        </w:rPr>
        <w:t xml:space="preserve"> </w:t>
      </w:r>
      <w:r w:rsidR="0012491B" w:rsidRPr="00D22F7C">
        <w:rPr>
          <w:rFonts w:ascii="Arial" w:hAnsi="Arial" w:cs="Arial"/>
          <w:sz w:val="22"/>
          <w:szCs w:val="22"/>
        </w:rPr>
        <w:t xml:space="preserve">başlıca yabancı paralar karşısında </w:t>
      </w:r>
      <w:r w:rsidR="003D1BCF" w:rsidRPr="00D22F7C">
        <w:rPr>
          <w:rFonts w:ascii="Arial" w:hAnsi="Arial" w:cs="Arial"/>
          <w:sz w:val="22"/>
          <w:szCs w:val="22"/>
        </w:rPr>
        <w:t xml:space="preserve">değer </w:t>
      </w:r>
      <w:r w:rsidR="0012491B" w:rsidRPr="00D22F7C">
        <w:rPr>
          <w:rFonts w:ascii="Arial" w:hAnsi="Arial" w:cs="Arial"/>
          <w:sz w:val="22"/>
          <w:szCs w:val="22"/>
        </w:rPr>
        <w:t>kayb</w:t>
      </w:r>
      <w:r w:rsidR="00CF3592">
        <w:rPr>
          <w:rFonts w:ascii="Arial" w:hAnsi="Arial" w:cs="Arial"/>
          <w:sz w:val="22"/>
          <w:szCs w:val="22"/>
        </w:rPr>
        <w:t xml:space="preserve">ı hızlanmış,  faiz oranları üzerindeki baskı artmıştır.  Merkez Bankası’nın net dış varlıkları azalmış, net iç varlıklardaki artış da sınırlandırılmıştır. İlk yarıya göre piyasalara sağlanan likidite azaltılmıştır. Buna karşılık, </w:t>
      </w:r>
      <w:r>
        <w:rPr>
          <w:rFonts w:ascii="Arial" w:hAnsi="Arial" w:cs="Arial"/>
          <w:sz w:val="22"/>
          <w:szCs w:val="22"/>
        </w:rPr>
        <w:t>bankaların rezerv yükümlülükleri sınırlı da olsa düşürülmüştür. Y</w:t>
      </w:r>
      <w:r w:rsidRPr="00D22F7C">
        <w:rPr>
          <w:rFonts w:ascii="Arial" w:hAnsi="Arial" w:cs="Arial"/>
          <w:sz w:val="22"/>
          <w:szCs w:val="22"/>
        </w:rPr>
        <w:t xml:space="preserve">abancı para (YP) zorunlu karşılık oranları iki kere </w:t>
      </w:r>
      <w:r>
        <w:rPr>
          <w:rFonts w:ascii="Arial" w:hAnsi="Arial" w:cs="Arial"/>
          <w:sz w:val="22"/>
          <w:szCs w:val="22"/>
        </w:rPr>
        <w:t>(</w:t>
      </w:r>
      <w:r w:rsidRPr="00D22F7C">
        <w:rPr>
          <w:rFonts w:ascii="Arial" w:hAnsi="Arial" w:cs="Arial"/>
          <w:sz w:val="22"/>
          <w:szCs w:val="22"/>
        </w:rPr>
        <w:t>toplam 0,6-0,7 puan</w:t>
      </w:r>
      <w:r>
        <w:rPr>
          <w:rFonts w:ascii="Arial" w:hAnsi="Arial" w:cs="Arial"/>
          <w:sz w:val="22"/>
          <w:szCs w:val="22"/>
        </w:rPr>
        <w:t>)</w:t>
      </w:r>
      <w:r w:rsidRPr="00D22F7C">
        <w:rPr>
          <w:rFonts w:ascii="Arial" w:hAnsi="Arial" w:cs="Arial"/>
          <w:sz w:val="22"/>
          <w:szCs w:val="22"/>
        </w:rPr>
        <w:t xml:space="preserve"> düş</w:t>
      </w:r>
      <w:r w:rsidR="00B968B0">
        <w:rPr>
          <w:rFonts w:ascii="Arial" w:hAnsi="Arial" w:cs="Arial"/>
          <w:sz w:val="22"/>
          <w:szCs w:val="22"/>
        </w:rPr>
        <w:t>ürülmüş ve bankalara yaklaşık 1.</w:t>
      </w:r>
      <w:r w:rsidRPr="00D22F7C">
        <w:rPr>
          <w:rFonts w:ascii="Arial" w:hAnsi="Arial" w:cs="Arial"/>
          <w:sz w:val="22"/>
          <w:szCs w:val="22"/>
        </w:rPr>
        <w:t>520 milyon dolar civarında likidite sağlanmıştır. Merkez Bankası haftalık politika faiz oranını 0,5 puan düşürerek yüzde 5,75’e çekmiş ve piyasaya 3 milyar dolar satmıştır. Ayrıca döviz borç verme faizlerini de ortalama 1 puan düşürmüş, altın ve kıymetli hesapları zorunlu karşılığa tabi tutmuştur. Bu önlemlere ek olarak TL zorunlu karşılıkların yüzde 10’unun döviz olarak tutulabilmesine ve YP zorunlu karşılıkların yüzde 10’unun altın olarak tutulabilmesine imkan sağla</w:t>
      </w:r>
      <w:r>
        <w:rPr>
          <w:rFonts w:ascii="Arial" w:hAnsi="Arial" w:cs="Arial"/>
          <w:sz w:val="22"/>
          <w:szCs w:val="22"/>
        </w:rPr>
        <w:t>n</w:t>
      </w:r>
      <w:r w:rsidRPr="00D22F7C">
        <w:rPr>
          <w:rFonts w:ascii="Arial" w:hAnsi="Arial" w:cs="Arial"/>
          <w:sz w:val="22"/>
          <w:szCs w:val="22"/>
        </w:rPr>
        <w:t xml:space="preserve">mıştır. Bu dönemde Merkez Bankası’nın uygulamaya koyduğu yeni tedbirlerin sonucunda bankalara toplam 3,9 milyar dolarlık net döviz likiditesi sağlamıştır. </w:t>
      </w:r>
    </w:p>
    <w:p w:rsidR="00644CD9" w:rsidRDefault="00644CD9" w:rsidP="003D1BCF">
      <w:pPr>
        <w:jc w:val="both"/>
        <w:rPr>
          <w:rFonts w:ascii="Arial" w:hAnsi="Arial" w:cs="Arial"/>
          <w:sz w:val="22"/>
          <w:szCs w:val="22"/>
        </w:rPr>
      </w:pPr>
    </w:p>
    <w:p w:rsidR="00CF3592" w:rsidRDefault="00644CD9" w:rsidP="003D1BCF">
      <w:pPr>
        <w:jc w:val="both"/>
        <w:rPr>
          <w:rFonts w:ascii="Arial" w:hAnsi="Arial" w:cs="Arial"/>
          <w:sz w:val="22"/>
          <w:szCs w:val="22"/>
        </w:rPr>
      </w:pPr>
      <w:r>
        <w:rPr>
          <w:rFonts w:ascii="Arial" w:hAnsi="Arial" w:cs="Arial"/>
          <w:sz w:val="22"/>
          <w:szCs w:val="22"/>
        </w:rPr>
        <w:t>Öte yanda</w:t>
      </w:r>
      <w:r w:rsidR="00E077EF">
        <w:rPr>
          <w:rFonts w:ascii="Arial" w:hAnsi="Arial" w:cs="Arial"/>
          <w:sz w:val="22"/>
          <w:szCs w:val="22"/>
        </w:rPr>
        <w:t>n</w:t>
      </w:r>
      <w:r>
        <w:rPr>
          <w:rFonts w:ascii="Arial" w:hAnsi="Arial" w:cs="Arial"/>
          <w:sz w:val="22"/>
          <w:szCs w:val="22"/>
        </w:rPr>
        <w:t>, Bankacılık Düzenleme ve Denetleme Kurumu tüketici kredilerinin risk ağırlığını yükseltmiştir.</w:t>
      </w:r>
    </w:p>
    <w:p w:rsidR="00CF3592" w:rsidRDefault="00CF3592" w:rsidP="003D1BCF">
      <w:pPr>
        <w:jc w:val="both"/>
        <w:rPr>
          <w:rFonts w:ascii="Arial" w:hAnsi="Arial" w:cs="Arial"/>
          <w:sz w:val="22"/>
          <w:szCs w:val="22"/>
        </w:rPr>
      </w:pPr>
    </w:p>
    <w:p w:rsidR="00764C16" w:rsidRPr="00D22F7C" w:rsidRDefault="00644CD9" w:rsidP="00764C16">
      <w:pPr>
        <w:jc w:val="both"/>
        <w:rPr>
          <w:rFonts w:ascii="Arial" w:hAnsi="Arial" w:cs="Arial"/>
          <w:sz w:val="22"/>
          <w:szCs w:val="22"/>
        </w:rPr>
      </w:pPr>
      <w:r>
        <w:rPr>
          <w:rFonts w:ascii="Arial" w:hAnsi="Arial" w:cs="Arial"/>
          <w:sz w:val="22"/>
          <w:szCs w:val="22"/>
        </w:rPr>
        <w:t xml:space="preserve">Kur etkisinden arındırıldığında hem krediler hem de mevduat artış hızında yavaşlama devam etmiştir. </w:t>
      </w:r>
      <w:r w:rsidR="00EA6F06">
        <w:rPr>
          <w:rFonts w:ascii="Arial" w:hAnsi="Arial" w:cs="Arial"/>
          <w:sz w:val="22"/>
          <w:szCs w:val="22"/>
        </w:rPr>
        <w:t xml:space="preserve">Kurumsal kredilerde yavaşlama daha belirgin iken, bireysel kredilerde yavaşlama daha sınırlı olmuştur. </w:t>
      </w:r>
      <w:r w:rsidR="00764C16" w:rsidRPr="00D22F7C">
        <w:rPr>
          <w:rFonts w:ascii="Arial" w:hAnsi="Arial" w:cs="Arial"/>
          <w:sz w:val="22"/>
          <w:szCs w:val="22"/>
        </w:rPr>
        <w:t>Bilanço</w:t>
      </w:r>
      <w:r>
        <w:rPr>
          <w:rFonts w:ascii="Arial" w:hAnsi="Arial" w:cs="Arial"/>
          <w:sz w:val="22"/>
          <w:szCs w:val="22"/>
        </w:rPr>
        <w:t>daki</w:t>
      </w:r>
      <w:r w:rsidR="00764C16" w:rsidRPr="00D22F7C">
        <w:rPr>
          <w:rFonts w:ascii="Arial" w:hAnsi="Arial" w:cs="Arial"/>
          <w:sz w:val="22"/>
          <w:szCs w:val="22"/>
        </w:rPr>
        <w:t xml:space="preserve"> </w:t>
      </w:r>
      <w:r>
        <w:rPr>
          <w:rFonts w:ascii="Arial" w:hAnsi="Arial" w:cs="Arial"/>
          <w:sz w:val="22"/>
          <w:szCs w:val="22"/>
        </w:rPr>
        <w:t>büyümenin</w:t>
      </w:r>
      <w:r w:rsidR="00764C16" w:rsidRPr="00D22F7C">
        <w:rPr>
          <w:rFonts w:ascii="Arial" w:hAnsi="Arial" w:cs="Arial"/>
          <w:sz w:val="22"/>
          <w:szCs w:val="22"/>
        </w:rPr>
        <w:t xml:space="preserve"> </w:t>
      </w:r>
      <w:r>
        <w:rPr>
          <w:rFonts w:ascii="Arial" w:hAnsi="Arial" w:cs="Arial"/>
          <w:sz w:val="22"/>
          <w:szCs w:val="22"/>
        </w:rPr>
        <w:t xml:space="preserve">çok önemli </w:t>
      </w:r>
      <w:r w:rsidR="00764C16" w:rsidRPr="00D22F7C">
        <w:rPr>
          <w:rFonts w:ascii="Arial" w:hAnsi="Arial" w:cs="Arial"/>
          <w:sz w:val="22"/>
          <w:szCs w:val="22"/>
        </w:rPr>
        <w:t xml:space="preserve">kısmı kur etkisinden gelmiştir. </w:t>
      </w:r>
    </w:p>
    <w:p w:rsidR="00764C16" w:rsidRPr="00D22F7C" w:rsidRDefault="00764C16" w:rsidP="00764C16">
      <w:pPr>
        <w:jc w:val="both"/>
        <w:rPr>
          <w:rFonts w:ascii="Arial" w:hAnsi="Arial" w:cs="Arial"/>
          <w:sz w:val="22"/>
          <w:szCs w:val="22"/>
        </w:rPr>
      </w:pPr>
    </w:p>
    <w:p w:rsidR="00764C16" w:rsidRPr="00D22F7C" w:rsidRDefault="00644CD9" w:rsidP="00764C16">
      <w:pPr>
        <w:jc w:val="both"/>
        <w:rPr>
          <w:rFonts w:ascii="Arial" w:hAnsi="Arial" w:cs="Arial"/>
          <w:sz w:val="22"/>
          <w:szCs w:val="22"/>
        </w:rPr>
      </w:pPr>
      <w:r>
        <w:rPr>
          <w:rFonts w:ascii="Arial" w:hAnsi="Arial" w:cs="Arial"/>
          <w:sz w:val="22"/>
          <w:szCs w:val="22"/>
        </w:rPr>
        <w:t xml:space="preserve">Bankaların kaynak maliyeti artmış, aktif getirisi ise azalmıştır. Bu nedenle, yıllık bazda kar hacmi azalmış, özkaynak büyümesi de çok yavaş olmuştur. Daha yüksek riskli bir ortama rağmen özkaynak karlılığı gerilemiştir. Öte yandan, özkaynak büyümesinin yavaşlaması nedeniyle sermaye yeterliliği üçüncü çeyrekte de gerilemiştir. </w:t>
      </w:r>
    </w:p>
    <w:p w:rsidR="00764C16" w:rsidRPr="00D22F7C" w:rsidRDefault="00764C16" w:rsidP="00764C16">
      <w:pPr>
        <w:jc w:val="both"/>
        <w:rPr>
          <w:rFonts w:ascii="Arial" w:hAnsi="Arial" w:cs="Arial"/>
          <w:sz w:val="22"/>
          <w:szCs w:val="22"/>
        </w:rPr>
      </w:pPr>
    </w:p>
    <w:p w:rsidR="00EA357E" w:rsidRPr="00D22F7C" w:rsidRDefault="00EA357E" w:rsidP="00CC3FDF">
      <w:pPr>
        <w:jc w:val="both"/>
        <w:rPr>
          <w:rFonts w:ascii="Arial" w:hAnsi="Arial" w:cs="Arial"/>
          <w:sz w:val="22"/>
          <w:szCs w:val="22"/>
        </w:rPr>
      </w:pPr>
      <w:bookmarkStart w:id="1" w:name="OLE_LINK17"/>
      <w:bookmarkStart w:id="2" w:name="OLE_LINK18"/>
    </w:p>
    <w:p w:rsidR="00644CD9" w:rsidRDefault="00644CD9" w:rsidP="00CC3FDF">
      <w:pPr>
        <w:jc w:val="both"/>
        <w:rPr>
          <w:rFonts w:ascii="Arial" w:hAnsi="Arial" w:cs="Arial"/>
          <w:b/>
          <w:sz w:val="22"/>
          <w:szCs w:val="22"/>
        </w:rPr>
      </w:pPr>
    </w:p>
    <w:p w:rsidR="00CB11EF" w:rsidRPr="00D22F7C" w:rsidRDefault="00641A2F" w:rsidP="00CC3FDF">
      <w:pPr>
        <w:jc w:val="both"/>
        <w:rPr>
          <w:rFonts w:ascii="Arial" w:hAnsi="Arial" w:cs="Arial"/>
          <w:b/>
          <w:sz w:val="22"/>
          <w:szCs w:val="22"/>
        </w:rPr>
      </w:pPr>
      <w:r w:rsidRPr="00D22F7C">
        <w:rPr>
          <w:rFonts w:ascii="Arial" w:hAnsi="Arial" w:cs="Arial"/>
          <w:b/>
          <w:sz w:val="22"/>
          <w:szCs w:val="22"/>
        </w:rPr>
        <w:lastRenderedPageBreak/>
        <w:t>2.</w:t>
      </w:r>
      <w:r w:rsidR="00CB11EF" w:rsidRPr="00D22F7C">
        <w:rPr>
          <w:rFonts w:ascii="Arial" w:hAnsi="Arial" w:cs="Arial"/>
          <w:b/>
          <w:sz w:val="22"/>
          <w:szCs w:val="22"/>
        </w:rPr>
        <w:t xml:space="preserve"> Bilanço Gelişmeleri</w:t>
      </w:r>
    </w:p>
    <w:p w:rsidR="00CB11EF" w:rsidRPr="00D22F7C" w:rsidRDefault="00CB11EF" w:rsidP="00CC3FDF">
      <w:pPr>
        <w:jc w:val="both"/>
        <w:rPr>
          <w:rFonts w:ascii="Arial" w:hAnsi="Arial" w:cs="Arial"/>
          <w:b/>
          <w:sz w:val="22"/>
          <w:szCs w:val="22"/>
        </w:rPr>
      </w:pPr>
    </w:p>
    <w:p w:rsidR="00B67341" w:rsidRPr="00D22F7C" w:rsidRDefault="00507BB0" w:rsidP="00CC3FDF">
      <w:pPr>
        <w:jc w:val="both"/>
        <w:rPr>
          <w:rFonts w:ascii="Arial" w:hAnsi="Arial" w:cs="Arial"/>
          <w:b/>
          <w:sz w:val="22"/>
          <w:szCs w:val="22"/>
        </w:rPr>
      </w:pPr>
      <w:r w:rsidRPr="00D22F7C">
        <w:rPr>
          <w:rFonts w:ascii="Arial" w:hAnsi="Arial" w:cs="Arial"/>
          <w:b/>
          <w:sz w:val="22"/>
          <w:szCs w:val="22"/>
        </w:rPr>
        <w:t>Y</w:t>
      </w:r>
      <w:r w:rsidR="00D047DA">
        <w:rPr>
          <w:rFonts w:ascii="Arial" w:hAnsi="Arial" w:cs="Arial"/>
          <w:b/>
          <w:sz w:val="22"/>
          <w:szCs w:val="22"/>
        </w:rPr>
        <w:t xml:space="preserve"> </w:t>
      </w:r>
      <w:r w:rsidRPr="00D22F7C">
        <w:rPr>
          <w:rFonts w:ascii="Arial" w:hAnsi="Arial" w:cs="Arial"/>
          <w:b/>
          <w:sz w:val="22"/>
          <w:szCs w:val="22"/>
        </w:rPr>
        <w:t xml:space="preserve">ılın ilk </w:t>
      </w:r>
      <w:r w:rsidR="00575870" w:rsidRPr="00D22F7C">
        <w:rPr>
          <w:rFonts w:ascii="Arial" w:hAnsi="Arial" w:cs="Arial"/>
          <w:b/>
          <w:sz w:val="22"/>
          <w:szCs w:val="22"/>
        </w:rPr>
        <w:t>dokuz ayında</w:t>
      </w:r>
      <w:r w:rsidRPr="00D22F7C">
        <w:rPr>
          <w:rFonts w:ascii="Arial" w:hAnsi="Arial" w:cs="Arial"/>
          <w:b/>
          <w:sz w:val="22"/>
          <w:szCs w:val="22"/>
        </w:rPr>
        <w:t>, t</w:t>
      </w:r>
      <w:r w:rsidR="00CB11EF" w:rsidRPr="00D22F7C">
        <w:rPr>
          <w:rFonts w:ascii="Arial" w:hAnsi="Arial" w:cs="Arial"/>
          <w:b/>
          <w:sz w:val="22"/>
          <w:szCs w:val="22"/>
        </w:rPr>
        <w:t xml:space="preserve">oplam aktifler </w:t>
      </w:r>
      <w:r w:rsidR="007A57EB" w:rsidRPr="00D22F7C">
        <w:rPr>
          <w:rFonts w:ascii="Arial" w:hAnsi="Arial" w:cs="Arial"/>
          <w:b/>
          <w:sz w:val="22"/>
          <w:szCs w:val="22"/>
        </w:rPr>
        <w:t xml:space="preserve">kredi artışı paralelinde </w:t>
      </w:r>
      <w:r w:rsidR="00CB11EF" w:rsidRPr="00D22F7C">
        <w:rPr>
          <w:rFonts w:ascii="Arial" w:hAnsi="Arial" w:cs="Arial"/>
          <w:b/>
          <w:sz w:val="22"/>
          <w:szCs w:val="22"/>
        </w:rPr>
        <w:t>büyümüştür.</w:t>
      </w:r>
    </w:p>
    <w:p w:rsidR="00CB11EF" w:rsidRPr="00D22F7C" w:rsidRDefault="00CB11EF" w:rsidP="005A6CD3">
      <w:pPr>
        <w:pStyle w:val="BodyText"/>
        <w:rPr>
          <w:rFonts w:ascii="Arial" w:hAnsi="Arial" w:cs="Arial"/>
          <w:sz w:val="22"/>
          <w:szCs w:val="22"/>
        </w:rPr>
      </w:pPr>
    </w:p>
    <w:p w:rsidR="005A6CD3" w:rsidRPr="00D22F7C" w:rsidRDefault="00D047DA" w:rsidP="005A6CD3">
      <w:pPr>
        <w:pStyle w:val="BodyText"/>
        <w:rPr>
          <w:rFonts w:ascii="Arial" w:hAnsi="Arial" w:cs="Arial"/>
          <w:sz w:val="22"/>
          <w:szCs w:val="22"/>
        </w:rPr>
      </w:pPr>
      <w:r>
        <w:rPr>
          <w:rFonts w:ascii="Arial" w:hAnsi="Arial" w:cs="Arial"/>
          <w:sz w:val="22"/>
          <w:szCs w:val="22"/>
        </w:rPr>
        <w:t xml:space="preserve">Toplam aktifler, </w:t>
      </w:r>
      <w:r w:rsidR="00575870" w:rsidRPr="00D22F7C">
        <w:rPr>
          <w:rFonts w:ascii="Arial" w:hAnsi="Arial" w:cs="Arial"/>
          <w:sz w:val="22"/>
          <w:szCs w:val="22"/>
        </w:rPr>
        <w:t>Eylül</w:t>
      </w:r>
      <w:r w:rsidR="00CD4D78" w:rsidRPr="00D22F7C">
        <w:rPr>
          <w:rFonts w:ascii="Arial" w:hAnsi="Arial" w:cs="Arial"/>
          <w:sz w:val="22"/>
          <w:szCs w:val="22"/>
        </w:rPr>
        <w:t xml:space="preserve"> 2011</w:t>
      </w:r>
      <w:r w:rsidR="0055654D" w:rsidRPr="00D22F7C">
        <w:rPr>
          <w:rFonts w:ascii="Arial" w:hAnsi="Arial" w:cs="Arial"/>
          <w:sz w:val="22"/>
          <w:szCs w:val="22"/>
        </w:rPr>
        <w:t xml:space="preserve"> itibariyle</w:t>
      </w:r>
      <w:r w:rsidR="005A6CD3" w:rsidRPr="00D22F7C">
        <w:rPr>
          <w:rFonts w:ascii="Arial" w:hAnsi="Arial" w:cs="Arial"/>
          <w:sz w:val="22"/>
          <w:szCs w:val="22"/>
        </w:rPr>
        <w:t>, geçen y</w:t>
      </w:r>
      <w:r w:rsidR="00BB7A53" w:rsidRPr="00D22F7C">
        <w:rPr>
          <w:rFonts w:ascii="Arial" w:hAnsi="Arial" w:cs="Arial"/>
          <w:sz w:val="22"/>
          <w:szCs w:val="22"/>
        </w:rPr>
        <w:t xml:space="preserve">ılın aynı dönemine göre </w:t>
      </w:r>
      <w:r w:rsidR="009767FB" w:rsidRPr="00D22F7C">
        <w:rPr>
          <w:rFonts w:ascii="Arial" w:hAnsi="Arial" w:cs="Arial"/>
          <w:sz w:val="22"/>
          <w:szCs w:val="22"/>
        </w:rPr>
        <w:t xml:space="preserve">TL bazında </w:t>
      </w:r>
      <w:r w:rsidR="00BB7A53" w:rsidRPr="00D22F7C">
        <w:rPr>
          <w:rFonts w:ascii="Arial" w:hAnsi="Arial" w:cs="Arial"/>
          <w:sz w:val="22"/>
          <w:szCs w:val="22"/>
        </w:rPr>
        <w:t xml:space="preserve">yüzde </w:t>
      </w:r>
      <w:r w:rsidR="00DA2D8F" w:rsidRPr="00D22F7C">
        <w:rPr>
          <w:rFonts w:ascii="Arial" w:hAnsi="Arial" w:cs="Arial"/>
          <w:sz w:val="22"/>
          <w:szCs w:val="22"/>
        </w:rPr>
        <w:t xml:space="preserve">31 oranında büyüyerek </w:t>
      </w:r>
      <w:r w:rsidR="00B377A8" w:rsidRPr="00D22F7C">
        <w:rPr>
          <w:rFonts w:ascii="Arial" w:hAnsi="Arial" w:cs="Arial"/>
          <w:sz w:val="22"/>
          <w:szCs w:val="22"/>
        </w:rPr>
        <w:t>1</w:t>
      </w:r>
      <w:r w:rsidR="00EF0855" w:rsidRPr="00D22F7C">
        <w:rPr>
          <w:rFonts w:ascii="Arial" w:hAnsi="Arial" w:cs="Arial"/>
          <w:sz w:val="22"/>
          <w:szCs w:val="22"/>
        </w:rPr>
        <w:t>.</w:t>
      </w:r>
      <w:r w:rsidR="00863E6D" w:rsidRPr="00D22F7C">
        <w:rPr>
          <w:rFonts w:ascii="Arial" w:hAnsi="Arial" w:cs="Arial"/>
          <w:sz w:val="22"/>
          <w:szCs w:val="22"/>
        </w:rPr>
        <w:t>159</w:t>
      </w:r>
      <w:r w:rsidR="005A6CD3" w:rsidRPr="00D22F7C">
        <w:rPr>
          <w:rFonts w:ascii="Arial" w:hAnsi="Arial" w:cs="Arial"/>
          <w:sz w:val="22"/>
          <w:szCs w:val="22"/>
        </w:rPr>
        <w:t xml:space="preserve"> milyar TL </w:t>
      </w:r>
      <w:r w:rsidR="009767FB" w:rsidRPr="00D22F7C">
        <w:rPr>
          <w:rFonts w:ascii="Arial" w:hAnsi="Arial" w:cs="Arial"/>
          <w:sz w:val="22"/>
          <w:szCs w:val="22"/>
        </w:rPr>
        <w:t>(626</w:t>
      </w:r>
      <w:r w:rsidR="005A6CD3" w:rsidRPr="00D22F7C">
        <w:rPr>
          <w:rFonts w:ascii="Arial" w:hAnsi="Arial" w:cs="Arial"/>
          <w:sz w:val="22"/>
          <w:szCs w:val="22"/>
        </w:rPr>
        <w:t xml:space="preserve"> milyar dolar) olmuştur.</w:t>
      </w:r>
      <w:r>
        <w:rPr>
          <w:rFonts w:ascii="Arial" w:hAnsi="Arial" w:cs="Arial"/>
          <w:sz w:val="22"/>
          <w:szCs w:val="22"/>
        </w:rPr>
        <w:t xml:space="preserve"> Dolar bazında artış ise yüzde 1 düzeyinde kalmıştır. </w:t>
      </w:r>
      <w:r w:rsidR="005A6CD3" w:rsidRPr="00D22F7C">
        <w:rPr>
          <w:rFonts w:ascii="Arial" w:hAnsi="Arial" w:cs="Arial"/>
          <w:sz w:val="22"/>
          <w:szCs w:val="22"/>
        </w:rPr>
        <w:t xml:space="preserve"> Toplam aktiflerin gayri safi yurtiçi hasılaya oranının </w:t>
      </w:r>
      <w:r w:rsidR="008C6307" w:rsidRPr="00D22F7C">
        <w:rPr>
          <w:rFonts w:ascii="Arial" w:hAnsi="Arial" w:cs="Arial"/>
          <w:sz w:val="22"/>
          <w:szCs w:val="22"/>
        </w:rPr>
        <w:t>Eylül</w:t>
      </w:r>
      <w:r w:rsidR="005A25E2" w:rsidRPr="00D22F7C">
        <w:rPr>
          <w:rFonts w:ascii="Arial" w:hAnsi="Arial" w:cs="Arial"/>
          <w:sz w:val="22"/>
          <w:szCs w:val="22"/>
        </w:rPr>
        <w:t xml:space="preserve"> 2011 itibariyle yüzde </w:t>
      </w:r>
      <w:r w:rsidR="00863E6D" w:rsidRPr="00D22F7C">
        <w:rPr>
          <w:rFonts w:ascii="Arial" w:hAnsi="Arial" w:cs="Arial"/>
          <w:sz w:val="22"/>
          <w:szCs w:val="22"/>
        </w:rPr>
        <w:t>94</w:t>
      </w:r>
      <w:r w:rsidR="005A6CD3" w:rsidRPr="00D22F7C">
        <w:rPr>
          <w:rFonts w:ascii="Arial" w:hAnsi="Arial" w:cs="Arial"/>
          <w:sz w:val="22"/>
          <w:szCs w:val="22"/>
        </w:rPr>
        <w:t xml:space="preserve"> düzeyinde gerçekleştiği tahmin edilmektedir.</w:t>
      </w:r>
    </w:p>
    <w:p w:rsidR="00D62F1E" w:rsidRPr="00D22F7C" w:rsidRDefault="00D62F1E" w:rsidP="00D62F1E">
      <w:pPr>
        <w:jc w:val="both"/>
        <w:rPr>
          <w:rFonts w:ascii="Arial" w:hAnsi="Arial" w:cs="Arial"/>
          <w:sz w:val="22"/>
          <w:szCs w:val="22"/>
        </w:rPr>
      </w:pPr>
    </w:p>
    <w:p w:rsidR="00FA2403" w:rsidRPr="00D22F7C" w:rsidRDefault="00D047DA" w:rsidP="00FA2403">
      <w:pPr>
        <w:pStyle w:val="BodyText"/>
        <w:rPr>
          <w:rFonts w:ascii="Arial" w:hAnsi="Arial" w:cs="Arial"/>
          <w:sz w:val="22"/>
          <w:szCs w:val="22"/>
        </w:rPr>
      </w:pPr>
      <w:r>
        <w:rPr>
          <w:rFonts w:ascii="Arial" w:hAnsi="Arial" w:cs="Arial"/>
          <w:sz w:val="22"/>
          <w:szCs w:val="22"/>
        </w:rPr>
        <w:t>T</w:t>
      </w:r>
      <w:r w:rsidR="00FA2403" w:rsidRPr="00D22F7C">
        <w:rPr>
          <w:rFonts w:ascii="Arial" w:hAnsi="Arial" w:cs="Arial"/>
          <w:sz w:val="22"/>
          <w:szCs w:val="22"/>
        </w:rPr>
        <w:t>oplam aktifler mevduat bankalarında</w:t>
      </w:r>
      <w:r w:rsidR="00965A8B" w:rsidRPr="00D22F7C">
        <w:rPr>
          <w:rFonts w:ascii="Arial" w:hAnsi="Arial" w:cs="Arial"/>
          <w:sz w:val="22"/>
          <w:szCs w:val="22"/>
        </w:rPr>
        <w:t xml:space="preserve"> </w:t>
      </w:r>
      <w:r w:rsidR="009767FB" w:rsidRPr="00D22F7C">
        <w:rPr>
          <w:rFonts w:ascii="Arial" w:hAnsi="Arial" w:cs="Arial"/>
          <w:sz w:val="22"/>
          <w:szCs w:val="22"/>
        </w:rPr>
        <w:t>yüzde 31</w:t>
      </w:r>
      <w:r w:rsidR="00EE60A9" w:rsidRPr="00D22F7C">
        <w:rPr>
          <w:rFonts w:ascii="Arial" w:hAnsi="Arial" w:cs="Arial"/>
          <w:sz w:val="22"/>
          <w:szCs w:val="22"/>
        </w:rPr>
        <w:t xml:space="preserve">, </w:t>
      </w:r>
      <w:r w:rsidR="00FA2403" w:rsidRPr="00D22F7C">
        <w:rPr>
          <w:rFonts w:ascii="Arial" w:hAnsi="Arial" w:cs="Arial"/>
          <w:sz w:val="22"/>
          <w:szCs w:val="22"/>
        </w:rPr>
        <w:t>kalkınma ve y</w:t>
      </w:r>
      <w:r w:rsidR="00EE60A9" w:rsidRPr="00D22F7C">
        <w:rPr>
          <w:rFonts w:ascii="Arial" w:hAnsi="Arial" w:cs="Arial"/>
          <w:sz w:val="22"/>
          <w:szCs w:val="22"/>
        </w:rPr>
        <w:t>atırım bankalarında ise</w:t>
      </w:r>
      <w:r w:rsidR="00965A8B" w:rsidRPr="00D22F7C">
        <w:rPr>
          <w:rFonts w:ascii="Arial" w:hAnsi="Arial" w:cs="Arial"/>
          <w:sz w:val="22"/>
          <w:szCs w:val="22"/>
        </w:rPr>
        <w:t xml:space="preserve"> </w:t>
      </w:r>
      <w:r w:rsidR="004322BD" w:rsidRPr="00D22F7C">
        <w:rPr>
          <w:rFonts w:ascii="Arial" w:hAnsi="Arial" w:cs="Arial"/>
          <w:sz w:val="22"/>
          <w:szCs w:val="22"/>
        </w:rPr>
        <w:t xml:space="preserve">yüzde </w:t>
      </w:r>
      <w:r w:rsidR="009767FB" w:rsidRPr="00D22F7C">
        <w:rPr>
          <w:rFonts w:ascii="Arial" w:hAnsi="Arial" w:cs="Arial"/>
          <w:sz w:val="22"/>
          <w:szCs w:val="22"/>
        </w:rPr>
        <w:t>34</w:t>
      </w:r>
      <w:r w:rsidR="00FA2403" w:rsidRPr="00D22F7C">
        <w:rPr>
          <w:rFonts w:ascii="Arial" w:hAnsi="Arial" w:cs="Arial"/>
          <w:sz w:val="22"/>
          <w:szCs w:val="22"/>
        </w:rPr>
        <w:t xml:space="preserve"> oranında artmıştır. </w:t>
      </w:r>
    </w:p>
    <w:p w:rsidR="00FA2403" w:rsidRPr="00D22F7C" w:rsidRDefault="00FA2403" w:rsidP="00D62F1E">
      <w:pPr>
        <w:jc w:val="both"/>
        <w:rPr>
          <w:rFonts w:ascii="Arial" w:hAnsi="Arial" w:cs="Arial"/>
          <w:sz w:val="22"/>
          <w:szCs w:val="22"/>
        </w:rPr>
      </w:pPr>
    </w:p>
    <w:p w:rsidR="00736644" w:rsidRPr="00D22F7C" w:rsidRDefault="00D22F7C" w:rsidP="00CD44E5">
      <w:pPr>
        <w:pStyle w:val="BodyText"/>
        <w:rPr>
          <w:rFonts w:ascii="Arial" w:hAnsi="Arial" w:cs="Arial"/>
          <w:sz w:val="22"/>
          <w:szCs w:val="22"/>
        </w:rPr>
      </w:pPr>
      <w:r w:rsidRPr="00D22F7C">
        <w:rPr>
          <w:rFonts w:ascii="Arial" w:hAnsi="Arial" w:cs="Arial"/>
          <w:sz w:val="22"/>
          <w:szCs w:val="22"/>
        </w:rPr>
        <w:t>Yılın üçüncü çeyreğinde,</w:t>
      </w:r>
      <w:r w:rsidR="00D047DA">
        <w:rPr>
          <w:rFonts w:ascii="Arial" w:hAnsi="Arial" w:cs="Arial"/>
          <w:sz w:val="22"/>
          <w:szCs w:val="22"/>
        </w:rPr>
        <w:t xml:space="preserve"> bilançonun </w:t>
      </w:r>
      <w:r w:rsidR="00806278" w:rsidRPr="00B968B0">
        <w:rPr>
          <w:rFonts w:ascii="Arial" w:hAnsi="Arial" w:cs="Arial"/>
          <w:sz w:val="22"/>
          <w:szCs w:val="22"/>
        </w:rPr>
        <w:t>T</w:t>
      </w:r>
      <w:r w:rsidR="00D047DA">
        <w:rPr>
          <w:rFonts w:ascii="Arial" w:hAnsi="Arial" w:cs="Arial"/>
          <w:sz w:val="22"/>
          <w:szCs w:val="22"/>
        </w:rPr>
        <w:t>L-YP dağılımındaki farklılık nedeniyle,</w:t>
      </w:r>
      <w:r w:rsidR="0084744F" w:rsidRPr="00D22F7C">
        <w:rPr>
          <w:rFonts w:ascii="Arial" w:hAnsi="Arial" w:cs="Arial"/>
          <w:sz w:val="22"/>
          <w:szCs w:val="22"/>
        </w:rPr>
        <w:t xml:space="preserve"> </w:t>
      </w:r>
      <w:r w:rsidR="003570CA" w:rsidRPr="00D22F7C">
        <w:rPr>
          <w:rFonts w:ascii="Arial" w:hAnsi="Arial" w:cs="Arial"/>
          <w:sz w:val="22"/>
          <w:szCs w:val="22"/>
        </w:rPr>
        <w:t xml:space="preserve">toplam aktifler içinde kamu </w:t>
      </w:r>
      <w:r w:rsidR="00D047DA">
        <w:rPr>
          <w:rFonts w:ascii="Arial" w:hAnsi="Arial" w:cs="Arial"/>
          <w:sz w:val="22"/>
          <w:szCs w:val="22"/>
        </w:rPr>
        <w:t xml:space="preserve">sermayeli </w:t>
      </w:r>
      <w:r w:rsidR="003570CA" w:rsidRPr="00D22F7C">
        <w:rPr>
          <w:rFonts w:ascii="Arial" w:hAnsi="Arial" w:cs="Arial"/>
          <w:sz w:val="22"/>
          <w:szCs w:val="22"/>
        </w:rPr>
        <w:t>bankalarının payı 2 puan azalırken, özel sermayeli bankaların payı 2 puan artmış, yabancı</w:t>
      </w:r>
      <w:r w:rsidR="00D047DA">
        <w:rPr>
          <w:rFonts w:ascii="Arial" w:hAnsi="Arial" w:cs="Arial"/>
          <w:sz w:val="22"/>
          <w:szCs w:val="22"/>
        </w:rPr>
        <w:t xml:space="preserve"> sermayeli</w:t>
      </w:r>
      <w:r w:rsidR="003570CA" w:rsidRPr="00D22F7C">
        <w:rPr>
          <w:rFonts w:ascii="Arial" w:hAnsi="Arial" w:cs="Arial"/>
          <w:sz w:val="22"/>
          <w:szCs w:val="22"/>
        </w:rPr>
        <w:t xml:space="preserve"> bankaların payı değişmemiştir. Kredi stoku içinde, </w:t>
      </w:r>
      <w:r w:rsidR="0084744F" w:rsidRPr="00D22F7C">
        <w:rPr>
          <w:rFonts w:ascii="Arial" w:hAnsi="Arial" w:cs="Arial"/>
          <w:sz w:val="22"/>
          <w:szCs w:val="22"/>
        </w:rPr>
        <w:t xml:space="preserve">kamu bankalarının </w:t>
      </w:r>
      <w:r w:rsidR="00700D37" w:rsidRPr="00D22F7C">
        <w:rPr>
          <w:rFonts w:ascii="Arial" w:hAnsi="Arial" w:cs="Arial"/>
          <w:sz w:val="22"/>
          <w:szCs w:val="22"/>
        </w:rPr>
        <w:t>payı</w:t>
      </w:r>
      <w:r w:rsidR="009767FB" w:rsidRPr="00D22F7C">
        <w:rPr>
          <w:rFonts w:ascii="Arial" w:hAnsi="Arial" w:cs="Arial"/>
          <w:sz w:val="22"/>
          <w:szCs w:val="22"/>
        </w:rPr>
        <w:t xml:space="preserve"> değişmezken</w:t>
      </w:r>
      <w:r w:rsidR="003570CA" w:rsidRPr="00D22F7C">
        <w:rPr>
          <w:rFonts w:ascii="Arial" w:hAnsi="Arial" w:cs="Arial"/>
          <w:sz w:val="22"/>
          <w:szCs w:val="22"/>
        </w:rPr>
        <w:t>,</w:t>
      </w:r>
      <w:r w:rsidR="0084744F" w:rsidRPr="00D22F7C">
        <w:rPr>
          <w:rFonts w:ascii="Arial" w:hAnsi="Arial" w:cs="Arial"/>
          <w:sz w:val="22"/>
          <w:szCs w:val="22"/>
        </w:rPr>
        <w:t xml:space="preserve"> özel sermayeli bankaların toplam krediler içindeki</w:t>
      </w:r>
      <w:r w:rsidR="007F469B" w:rsidRPr="00D22F7C">
        <w:rPr>
          <w:rFonts w:ascii="Arial" w:hAnsi="Arial" w:cs="Arial"/>
          <w:sz w:val="22"/>
          <w:szCs w:val="22"/>
        </w:rPr>
        <w:t xml:space="preserve"> payı</w:t>
      </w:r>
      <w:r w:rsidR="00700D37" w:rsidRPr="00D22F7C">
        <w:rPr>
          <w:rFonts w:ascii="Arial" w:hAnsi="Arial" w:cs="Arial"/>
          <w:sz w:val="22"/>
          <w:szCs w:val="22"/>
        </w:rPr>
        <w:t xml:space="preserve"> </w:t>
      </w:r>
      <w:r w:rsidR="009767FB" w:rsidRPr="00D22F7C">
        <w:rPr>
          <w:rFonts w:ascii="Arial" w:hAnsi="Arial" w:cs="Arial"/>
          <w:sz w:val="22"/>
          <w:szCs w:val="22"/>
        </w:rPr>
        <w:t>2</w:t>
      </w:r>
      <w:r w:rsidR="007F469B" w:rsidRPr="00D22F7C">
        <w:rPr>
          <w:rFonts w:ascii="Arial" w:hAnsi="Arial" w:cs="Arial"/>
          <w:sz w:val="22"/>
          <w:szCs w:val="22"/>
        </w:rPr>
        <w:t xml:space="preserve"> puan</w:t>
      </w:r>
      <w:r w:rsidR="0084744F" w:rsidRPr="00D22F7C">
        <w:rPr>
          <w:rFonts w:ascii="Arial" w:hAnsi="Arial" w:cs="Arial"/>
          <w:sz w:val="22"/>
          <w:szCs w:val="22"/>
        </w:rPr>
        <w:t xml:space="preserve"> </w:t>
      </w:r>
      <w:r w:rsidR="009767FB" w:rsidRPr="00D22F7C">
        <w:rPr>
          <w:rFonts w:ascii="Arial" w:hAnsi="Arial" w:cs="Arial"/>
          <w:sz w:val="22"/>
          <w:szCs w:val="22"/>
        </w:rPr>
        <w:t>artmış</w:t>
      </w:r>
      <w:r w:rsidR="0084744F" w:rsidRPr="00D22F7C">
        <w:rPr>
          <w:rFonts w:ascii="Arial" w:hAnsi="Arial" w:cs="Arial"/>
          <w:sz w:val="22"/>
          <w:szCs w:val="22"/>
        </w:rPr>
        <w:t>, yabancı bankaların payı ise</w:t>
      </w:r>
      <w:r w:rsidR="009767FB" w:rsidRPr="00D22F7C">
        <w:rPr>
          <w:rFonts w:ascii="Arial" w:hAnsi="Arial" w:cs="Arial"/>
          <w:sz w:val="22"/>
          <w:szCs w:val="22"/>
        </w:rPr>
        <w:t xml:space="preserve"> </w:t>
      </w:r>
      <w:r w:rsidR="003570CA" w:rsidRPr="00D22F7C">
        <w:rPr>
          <w:rFonts w:ascii="Arial" w:hAnsi="Arial" w:cs="Arial"/>
          <w:sz w:val="22"/>
          <w:szCs w:val="22"/>
        </w:rPr>
        <w:t>2</w:t>
      </w:r>
      <w:r w:rsidR="0084744F" w:rsidRPr="00D22F7C">
        <w:rPr>
          <w:rFonts w:ascii="Arial" w:hAnsi="Arial" w:cs="Arial"/>
          <w:sz w:val="22"/>
          <w:szCs w:val="22"/>
        </w:rPr>
        <w:t xml:space="preserve"> puan azalmıştır. </w:t>
      </w:r>
    </w:p>
    <w:p w:rsidR="00DF027D" w:rsidRPr="00D22F7C" w:rsidRDefault="00DF027D" w:rsidP="00D62F1E">
      <w:pPr>
        <w:pStyle w:val="BodyText"/>
        <w:jc w:val="center"/>
        <w:rPr>
          <w:rFonts w:ascii="Arial" w:hAnsi="Arial" w:cs="Arial"/>
          <w:b/>
          <w:sz w:val="22"/>
          <w:szCs w:val="22"/>
        </w:rPr>
      </w:pPr>
    </w:p>
    <w:p w:rsidR="00D62F1E" w:rsidRPr="00D22F7C" w:rsidRDefault="00D62F1E" w:rsidP="00D62F1E">
      <w:pPr>
        <w:pStyle w:val="BodyText"/>
        <w:jc w:val="center"/>
        <w:rPr>
          <w:rFonts w:ascii="Arial" w:hAnsi="Arial" w:cs="Arial"/>
          <w:b/>
          <w:sz w:val="22"/>
          <w:szCs w:val="22"/>
        </w:rPr>
      </w:pPr>
      <w:r w:rsidRPr="00D22F7C">
        <w:rPr>
          <w:rFonts w:ascii="Arial" w:hAnsi="Arial" w:cs="Arial"/>
          <w:b/>
          <w:sz w:val="22"/>
          <w:szCs w:val="22"/>
        </w:rPr>
        <w:t>Toplam Aktifler (Milyar dolar ve gsyih’ya oran)</w:t>
      </w:r>
    </w:p>
    <w:p w:rsidR="00DB22DA" w:rsidRPr="00D22F7C" w:rsidRDefault="00DB22DA" w:rsidP="00D62F1E">
      <w:pPr>
        <w:pStyle w:val="BodyText"/>
        <w:jc w:val="center"/>
        <w:rPr>
          <w:rFonts w:ascii="Arial" w:hAnsi="Arial" w:cs="Arial"/>
          <w:b/>
          <w:sz w:val="22"/>
          <w:szCs w:val="22"/>
        </w:rPr>
      </w:pPr>
    </w:p>
    <w:p w:rsidR="00DB22DA" w:rsidRPr="00D22F7C" w:rsidRDefault="00DB22DA" w:rsidP="00D62F1E">
      <w:pPr>
        <w:pStyle w:val="BodyText"/>
        <w:jc w:val="center"/>
        <w:rPr>
          <w:rFonts w:ascii="Arial" w:hAnsi="Arial" w:cs="Arial"/>
          <w:b/>
          <w:sz w:val="22"/>
          <w:szCs w:val="22"/>
        </w:rPr>
      </w:pPr>
      <w:r w:rsidRPr="00D22F7C">
        <w:rPr>
          <w:noProof/>
          <w:lang w:eastAsia="tr-TR"/>
        </w:rPr>
        <w:drawing>
          <wp:inline distT="0" distB="0" distL="0" distR="0" wp14:anchorId="6D8EE755" wp14:editId="1E4DA5B0">
            <wp:extent cx="4848225" cy="28575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22DA" w:rsidRPr="00D22F7C" w:rsidRDefault="00DB22DA" w:rsidP="005E5114">
      <w:pPr>
        <w:jc w:val="both"/>
        <w:rPr>
          <w:rFonts w:ascii="Arial" w:hAnsi="Arial" w:cs="Arial"/>
          <w:sz w:val="22"/>
          <w:szCs w:val="22"/>
        </w:rPr>
      </w:pPr>
    </w:p>
    <w:p w:rsidR="00EA6F06" w:rsidRDefault="00D047DA" w:rsidP="005E5114">
      <w:pPr>
        <w:jc w:val="both"/>
        <w:rPr>
          <w:rFonts w:ascii="Arial" w:hAnsi="Arial" w:cs="Arial"/>
          <w:sz w:val="22"/>
          <w:szCs w:val="22"/>
        </w:rPr>
      </w:pPr>
      <w:r>
        <w:rPr>
          <w:rFonts w:ascii="Arial" w:hAnsi="Arial" w:cs="Arial"/>
          <w:sz w:val="22"/>
          <w:szCs w:val="22"/>
        </w:rPr>
        <w:t xml:space="preserve">Yıllık bazda, kredi stoku TL olarak yüzde </w:t>
      </w:r>
      <w:r w:rsidR="00806278" w:rsidRPr="00B968B0">
        <w:rPr>
          <w:rFonts w:ascii="Arial" w:hAnsi="Arial" w:cs="Arial"/>
          <w:sz w:val="22"/>
          <w:szCs w:val="22"/>
        </w:rPr>
        <w:t>40</w:t>
      </w:r>
      <w:r w:rsidR="00806278">
        <w:rPr>
          <w:rFonts w:ascii="Arial" w:hAnsi="Arial" w:cs="Arial"/>
          <w:sz w:val="22"/>
          <w:szCs w:val="22"/>
        </w:rPr>
        <w:t xml:space="preserve">, dolar cinsinden </w:t>
      </w:r>
      <w:r w:rsidR="00E077EF">
        <w:rPr>
          <w:rFonts w:ascii="Arial" w:hAnsi="Arial" w:cs="Arial"/>
          <w:sz w:val="22"/>
          <w:szCs w:val="22"/>
        </w:rPr>
        <w:t xml:space="preserve">yüzde </w:t>
      </w:r>
      <w:r w:rsidR="00806278" w:rsidRPr="00B968B0">
        <w:rPr>
          <w:rFonts w:ascii="Arial" w:hAnsi="Arial" w:cs="Arial"/>
          <w:sz w:val="22"/>
          <w:szCs w:val="22"/>
        </w:rPr>
        <w:t>9</w:t>
      </w:r>
      <w:r>
        <w:rPr>
          <w:rFonts w:ascii="Arial" w:hAnsi="Arial" w:cs="Arial"/>
          <w:sz w:val="22"/>
          <w:szCs w:val="22"/>
        </w:rPr>
        <w:t xml:space="preserve"> artmıştır. Kur etkisinden arındırıldığında ise kredilerin büyüme hızı yavaşlamaya devam etmiştir. </w:t>
      </w:r>
      <w:r w:rsidR="00136691" w:rsidRPr="00B968B0">
        <w:rPr>
          <w:rFonts w:ascii="Arial" w:hAnsi="Arial" w:cs="Arial"/>
          <w:sz w:val="22"/>
          <w:szCs w:val="22"/>
        </w:rPr>
        <w:t>Nitekim kur etkisinden arındırılmış verilerle</w:t>
      </w:r>
      <w:r w:rsidR="00EA6F06" w:rsidRPr="00B968B0">
        <w:rPr>
          <w:rFonts w:ascii="Arial" w:hAnsi="Arial" w:cs="Arial"/>
          <w:sz w:val="22"/>
          <w:szCs w:val="22"/>
        </w:rPr>
        <w:t xml:space="preserve"> toplam</w:t>
      </w:r>
      <w:r w:rsidR="00136691" w:rsidRPr="00B968B0">
        <w:rPr>
          <w:rFonts w:ascii="Arial" w:hAnsi="Arial" w:cs="Arial"/>
          <w:sz w:val="22"/>
          <w:szCs w:val="22"/>
        </w:rPr>
        <w:t xml:space="preserve"> kredilerde büyüme hızı yüzde 29’a yavaşlamış</w:t>
      </w:r>
      <w:r w:rsidR="00EA6F06" w:rsidRPr="00B968B0">
        <w:rPr>
          <w:rFonts w:ascii="Arial" w:hAnsi="Arial" w:cs="Arial"/>
          <w:sz w:val="22"/>
          <w:szCs w:val="22"/>
        </w:rPr>
        <w:t xml:space="preserve">tır. </w:t>
      </w:r>
    </w:p>
    <w:p w:rsidR="00EA6F06" w:rsidRDefault="00EA6F06" w:rsidP="005E5114">
      <w:pPr>
        <w:jc w:val="both"/>
        <w:rPr>
          <w:rFonts w:ascii="Arial" w:hAnsi="Arial" w:cs="Arial"/>
          <w:sz w:val="22"/>
          <w:szCs w:val="22"/>
        </w:rPr>
      </w:pPr>
    </w:p>
    <w:p w:rsidR="00806278" w:rsidRDefault="00D047DA" w:rsidP="00CB11EF">
      <w:pPr>
        <w:jc w:val="both"/>
        <w:rPr>
          <w:rFonts w:ascii="Arial" w:hAnsi="Arial" w:cs="Arial"/>
          <w:sz w:val="22"/>
          <w:szCs w:val="22"/>
        </w:rPr>
      </w:pPr>
      <w:r>
        <w:rPr>
          <w:rFonts w:ascii="Arial" w:hAnsi="Arial" w:cs="Arial"/>
          <w:sz w:val="22"/>
          <w:szCs w:val="22"/>
        </w:rPr>
        <w:t>Kredilerin yüzde</w:t>
      </w:r>
      <w:r w:rsidR="00806278">
        <w:rPr>
          <w:rFonts w:ascii="Arial" w:hAnsi="Arial" w:cs="Arial"/>
          <w:sz w:val="22"/>
          <w:szCs w:val="22"/>
        </w:rPr>
        <w:t xml:space="preserve"> </w:t>
      </w:r>
      <w:r w:rsidR="00806278" w:rsidRPr="00B968B0">
        <w:rPr>
          <w:rFonts w:ascii="Arial" w:hAnsi="Arial" w:cs="Arial"/>
          <w:sz w:val="22"/>
          <w:szCs w:val="22"/>
        </w:rPr>
        <w:t>69</w:t>
      </w:r>
      <w:r w:rsidR="00806278">
        <w:rPr>
          <w:rFonts w:ascii="Arial" w:hAnsi="Arial" w:cs="Arial"/>
          <w:sz w:val="22"/>
          <w:szCs w:val="22"/>
        </w:rPr>
        <w:t xml:space="preserve">’u TL, yüzde </w:t>
      </w:r>
      <w:r w:rsidR="00806278" w:rsidRPr="00B968B0">
        <w:rPr>
          <w:rFonts w:ascii="Arial" w:hAnsi="Arial" w:cs="Arial"/>
          <w:sz w:val="22"/>
          <w:szCs w:val="22"/>
        </w:rPr>
        <w:t>31’</w:t>
      </w:r>
      <w:r w:rsidR="00806278">
        <w:rPr>
          <w:rFonts w:ascii="Arial" w:hAnsi="Arial" w:cs="Arial"/>
          <w:sz w:val="22"/>
          <w:szCs w:val="22"/>
        </w:rPr>
        <w:t>i</w:t>
      </w:r>
      <w:r>
        <w:rPr>
          <w:rFonts w:ascii="Arial" w:hAnsi="Arial" w:cs="Arial"/>
          <w:sz w:val="22"/>
          <w:szCs w:val="22"/>
        </w:rPr>
        <w:t xml:space="preserve"> yabancı para cinsindendir. </w:t>
      </w:r>
      <w:r w:rsidR="00C35DF8">
        <w:rPr>
          <w:rFonts w:ascii="Arial" w:hAnsi="Arial" w:cs="Arial"/>
          <w:sz w:val="22"/>
          <w:szCs w:val="22"/>
        </w:rPr>
        <w:t>Bireysel krediler yü</w:t>
      </w:r>
      <w:r w:rsidR="00C35DF8" w:rsidRPr="00B968B0">
        <w:rPr>
          <w:rFonts w:ascii="Arial" w:hAnsi="Arial" w:cs="Arial"/>
          <w:sz w:val="22"/>
          <w:szCs w:val="22"/>
        </w:rPr>
        <w:t>zde</w:t>
      </w:r>
      <w:r w:rsidR="00806278">
        <w:rPr>
          <w:rFonts w:ascii="Arial" w:hAnsi="Arial" w:cs="Arial"/>
          <w:sz w:val="22"/>
          <w:szCs w:val="22"/>
        </w:rPr>
        <w:t xml:space="preserve"> </w:t>
      </w:r>
      <w:r w:rsidR="00C35DF8">
        <w:rPr>
          <w:rFonts w:ascii="Arial" w:hAnsi="Arial" w:cs="Arial"/>
          <w:sz w:val="22"/>
          <w:szCs w:val="22"/>
        </w:rPr>
        <w:t xml:space="preserve"> </w:t>
      </w:r>
      <w:r w:rsidR="008945EE">
        <w:rPr>
          <w:rFonts w:ascii="Arial" w:hAnsi="Arial" w:cs="Arial"/>
          <w:sz w:val="22"/>
          <w:szCs w:val="22"/>
        </w:rPr>
        <w:t xml:space="preserve">34 </w:t>
      </w:r>
      <w:r w:rsidR="00C35DF8">
        <w:rPr>
          <w:rFonts w:ascii="Arial" w:hAnsi="Arial" w:cs="Arial"/>
          <w:sz w:val="22"/>
          <w:szCs w:val="22"/>
        </w:rPr>
        <w:t>büyümüş, kurumsal kredilerdeki artış ise yü</w:t>
      </w:r>
      <w:r w:rsidR="00C35DF8" w:rsidRPr="00B968B0">
        <w:rPr>
          <w:rFonts w:ascii="Arial" w:hAnsi="Arial" w:cs="Arial"/>
          <w:sz w:val="22"/>
          <w:szCs w:val="22"/>
        </w:rPr>
        <w:t>zde</w:t>
      </w:r>
      <w:r w:rsidR="00C35DF8">
        <w:rPr>
          <w:rFonts w:ascii="Arial" w:hAnsi="Arial" w:cs="Arial"/>
          <w:sz w:val="22"/>
          <w:szCs w:val="22"/>
        </w:rPr>
        <w:t xml:space="preserve"> </w:t>
      </w:r>
      <w:r w:rsidR="00806278">
        <w:rPr>
          <w:rFonts w:ascii="Arial" w:hAnsi="Arial" w:cs="Arial"/>
          <w:sz w:val="22"/>
          <w:szCs w:val="22"/>
        </w:rPr>
        <w:t xml:space="preserve"> </w:t>
      </w:r>
      <w:r w:rsidR="008945EE">
        <w:rPr>
          <w:rFonts w:ascii="Arial" w:hAnsi="Arial" w:cs="Arial"/>
          <w:sz w:val="22"/>
          <w:szCs w:val="22"/>
        </w:rPr>
        <w:t xml:space="preserve">37 </w:t>
      </w:r>
      <w:r w:rsidR="00C35DF8">
        <w:rPr>
          <w:rFonts w:ascii="Arial" w:hAnsi="Arial" w:cs="Arial"/>
          <w:sz w:val="22"/>
          <w:szCs w:val="22"/>
        </w:rPr>
        <w:t xml:space="preserve">olmuştur. </w:t>
      </w:r>
    </w:p>
    <w:p w:rsidR="00806278" w:rsidRDefault="00806278" w:rsidP="00CB11EF">
      <w:pPr>
        <w:jc w:val="both"/>
        <w:rPr>
          <w:rFonts w:ascii="Arial" w:hAnsi="Arial" w:cs="Arial"/>
          <w:sz w:val="22"/>
          <w:szCs w:val="22"/>
        </w:rPr>
      </w:pPr>
    </w:p>
    <w:p w:rsidR="00CB11EF" w:rsidRPr="00D22F7C" w:rsidRDefault="00E077EF" w:rsidP="00CB11EF">
      <w:pPr>
        <w:jc w:val="both"/>
        <w:rPr>
          <w:rFonts w:ascii="Arial" w:hAnsi="Arial" w:cs="Arial"/>
          <w:sz w:val="22"/>
          <w:szCs w:val="22"/>
        </w:rPr>
      </w:pPr>
      <w:r>
        <w:rPr>
          <w:rFonts w:ascii="Arial" w:hAnsi="Arial" w:cs="Arial"/>
          <w:sz w:val="22"/>
          <w:szCs w:val="22"/>
        </w:rPr>
        <w:t>K</w:t>
      </w:r>
      <w:r w:rsidR="00CB11EF" w:rsidRPr="00D22F7C">
        <w:rPr>
          <w:rFonts w:ascii="Arial" w:hAnsi="Arial" w:cs="Arial"/>
          <w:sz w:val="22"/>
          <w:szCs w:val="22"/>
        </w:rPr>
        <w:t>redilerin toplam aktiflere oranı bir önceki yılın ay</w:t>
      </w:r>
      <w:r w:rsidR="00645506" w:rsidRPr="00D22F7C">
        <w:rPr>
          <w:rFonts w:ascii="Arial" w:hAnsi="Arial" w:cs="Arial"/>
          <w:sz w:val="22"/>
          <w:szCs w:val="22"/>
        </w:rPr>
        <w:t>nı</w:t>
      </w:r>
      <w:r w:rsidR="00970B36" w:rsidRPr="00D22F7C">
        <w:rPr>
          <w:rFonts w:ascii="Arial" w:hAnsi="Arial" w:cs="Arial"/>
          <w:sz w:val="22"/>
          <w:szCs w:val="22"/>
        </w:rPr>
        <w:t xml:space="preserve"> dönemine göre </w:t>
      </w:r>
      <w:r w:rsidR="00B377A8" w:rsidRPr="00D22F7C">
        <w:rPr>
          <w:rFonts w:ascii="Arial" w:hAnsi="Arial" w:cs="Arial"/>
          <w:sz w:val="22"/>
          <w:szCs w:val="22"/>
        </w:rPr>
        <w:t>4</w:t>
      </w:r>
      <w:r w:rsidR="00940D54" w:rsidRPr="00D22F7C">
        <w:rPr>
          <w:rFonts w:ascii="Arial" w:hAnsi="Arial" w:cs="Arial"/>
          <w:sz w:val="22"/>
          <w:szCs w:val="22"/>
        </w:rPr>
        <w:t xml:space="preserve"> puan</w:t>
      </w:r>
      <w:r w:rsidR="00CB11EF" w:rsidRPr="00D22F7C">
        <w:rPr>
          <w:rFonts w:ascii="Arial" w:hAnsi="Arial" w:cs="Arial"/>
          <w:sz w:val="22"/>
          <w:szCs w:val="22"/>
        </w:rPr>
        <w:t xml:space="preserve"> </w:t>
      </w:r>
      <w:r w:rsidR="00940D54" w:rsidRPr="00D22F7C">
        <w:rPr>
          <w:rFonts w:ascii="Arial" w:hAnsi="Arial" w:cs="Arial"/>
          <w:sz w:val="22"/>
          <w:szCs w:val="22"/>
        </w:rPr>
        <w:t xml:space="preserve">artarak </w:t>
      </w:r>
      <w:r w:rsidR="00CB11EF" w:rsidRPr="00D22F7C">
        <w:rPr>
          <w:rFonts w:ascii="Arial" w:hAnsi="Arial" w:cs="Arial"/>
          <w:sz w:val="22"/>
          <w:szCs w:val="22"/>
        </w:rPr>
        <w:t xml:space="preserve">yüzde </w:t>
      </w:r>
      <w:r w:rsidR="00970B36" w:rsidRPr="00D22F7C">
        <w:rPr>
          <w:rFonts w:ascii="Arial" w:hAnsi="Arial" w:cs="Arial"/>
          <w:sz w:val="22"/>
          <w:szCs w:val="22"/>
        </w:rPr>
        <w:t>5</w:t>
      </w:r>
      <w:r w:rsidR="00471727" w:rsidRPr="00D22F7C">
        <w:rPr>
          <w:rFonts w:ascii="Arial" w:hAnsi="Arial" w:cs="Arial"/>
          <w:sz w:val="22"/>
          <w:szCs w:val="22"/>
        </w:rPr>
        <w:t>6</w:t>
      </w:r>
      <w:r w:rsidR="00CB11EF" w:rsidRPr="00D22F7C">
        <w:rPr>
          <w:rFonts w:ascii="Arial" w:hAnsi="Arial" w:cs="Arial"/>
          <w:sz w:val="22"/>
          <w:szCs w:val="22"/>
        </w:rPr>
        <w:t xml:space="preserve"> olmuş</w:t>
      </w:r>
      <w:r w:rsidR="00940D54" w:rsidRPr="00D22F7C">
        <w:rPr>
          <w:rFonts w:ascii="Arial" w:hAnsi="Arial" w:cs="Arial"/>
          <w:sz w:val="22"/>
          <w:szCs w:val="22"/>
        </w:rPr>
        <w:t>tur.</w:t>
      </w:r>
      <w:r w:rsidR="00CB11EF" w:rsidRPr="00D22F7C">
        <w:rPr>
          <w:rFonts w:ascii="Arial" w:hAnsi="Arial" w:cs="Arial"/>
          <w:sz w:val="22"/>
          <w:szCs w:val="22"/>
        </w:rPr>
        <w:t xml:space="preserve"> Mevduatın krediye dönüşme oranı, </w:t>
      </w:r>
      <w:r w:rsidR="00471727" w:rsidRPr="00D22F7C">
        <w:rPr>
          <w:rFonts w:ascii="Arial" w:hAnsi="Arial" w:cs="Arial"/>
          <w:sz w:val="22"/>
          <w:szCs w:val="22"/>
        </w:rPr>
        <w:t>Eylül</w:t>
      </w:r>
      <w:r w:rsidR="00970B36" w:rsidRPr="00D22F7C">
        <w:rPr>
          <w:rFonts w:ascii="Arial" w:hAnsi="Arial" w:cs="Arial"/>
          <w:sz w:val="22"/>
          <w:szCs w:val="22"/>
        </w:rPr>
        <w:t xml:space="preserve"> 2010</w:t>
      </w:r>
      <w:r w:rsidR="00862ACA" w:rsidRPr="00D22F7C">
        <w:rPr>
          <w:rFonts w:ascii="Arial" w:hAnsi="Arial" w:cs="Arial"/>
          <w:sz w:val="22"/>
          <w:szCs w:val="22"/>
        </w:rPr>
        <w:t xml:space="preserve">’a göre </w:t>
      </w:r>
      <w:r w:rsidR="00471727" w:rsidRPr="00D22F7C">
        <w:rPr>
          <w:rFonts w:ascii="Arial" w:hAnsi="Arial" w:cs="Arial"/>
          <w:sz w:val="22"/>
          <w:szCs w:val="22"/>
        </w:rPr>
        <w:lastRenderedPageBreak/>
        <w:t>13</w:t>
      </w:r>
      <w:r w:rsidR="00CB11EF" w:rsidRPr="00D22F7C">
        <w:rPr>
          <w:rFonts w:ascii="Arial" w:hAnsi="Arial" w:cs="Arial"/>
          <w:sz w:val="22"/>
          <w:szCs w:val="22"/>
        </w:rPr>
        <w:t xml:space="preserve"> puan </w:t>
      </w:r>
      <w:r w:rsidR="00645506" w:rsidRPr="00D22F7C">
        <w:rPr>
          <w:rFonts w:ascii="Arial" w:hAnsi="Arial" w:cs="Arial"/>
          <w:sz w:val="22"/>
          <w:szCs w:val="22"/>
        </w:rPr>
        <w:t>artarak</w:t>
      </w:r>
      <w:r w:rsidR="00CB11EF" w:rsidRPr="00D22F7C">
        <w:rPr>
          <w:rFonts w:ascii="Arial" w:hAnsi="Arial" w:cs="Arial"/>
          <w:sz w:val="22"/>
          <w:szCs w:val="22"/>
        </w:rPr>
        <w:t xml:space="preserve"> yüzde </w:t>
      </w:r>
      <w:r w:rsidR="00471727" w:rsidRPr="00D22F7C">
        <w:rPr>
          <w:rFonts w:ascii="Arial" w:hAnsi="Arial" w:cs="Arial"/>
          <w:sz w:val="22"/>
          <w:szCs w:val="22"/>
        </w:rPr>
        <w:t>94</w:t>
      </w:r>
      <w:r w:rsidR="00645506" w:rsidRPr="00D22F7C">
        <w:rPr>
          <w:rFonts w:ascii="Arial" w:hAnsi="Arial" w:cs="Arial"/>
          <w:sz w:val="22"/>
          <w:szCs w:val="22"/>
        </w:rPr>
        <w:t>’</w:t>
      </w:r>
      <w:r w:rsidR="00862ACA" w:rsidRPr="00D22F7C">
        <w:rPr>
          <w:rFonts w:ascii="Arial" w:hAnsi="Arial" w:cs="Arial"/>
          <w:sz w:val="22"/>
          <w:szCs w:val="22"/>
        </w:rPr>
        <w:t>e</w:t>
      </w:r>
      <w:r w:rsidR="00CB11EF" w:rsidRPr="00D22F7C">
        <w:rPr>
          <w:rFonts w:ascii="Arial" w:hAnsi="Arial" w:cs="Arial"/>
          <w:sz w:val="22"/>
          <w:szCs w:val="22"/>
        </w:rPr>
        <w:t xml:space="preserve"> </w:t>
      </w:r>
      <w:r w:rsidR="00645506" w:rsidRPr="00D22F7C">
        <w:rPr>
          <w:rFonts w:ascii="Arial" w:hAnsi="Arial" w:cs="Arial"/>
          <w:sz w:val="22"/>
          <w:szCs w:val="22"/>
        </w:rPr>
        <w:t>yükselmiştir</w:t>
      </w:r>
      <w:r w:rsidR="00CB11EF" w:rsidRPr="00D22F7C">
        <w:rPr>
          <w:rFonts w:ascii="Arial" w:hAnsi="Arial" w:cs="Arial"/>
          <w:sz w:val="22"/>
          <w:szCs w:val="22"/>
        </w:rPr>
        <w:t>.</w:t>
      </w:r>
      <w:r w:rsidR="00471727" w:rsidRPr="00D22F7C">
        <w:rPr>
          <w:rFonts w:ascii="Arial" w:hAnsi="Arial" w:cs="Arial"/>
          <w:sz w:val="22"/>
          <w:szCs w:val="22"/>
        </w:rPr>
        <w:t xml:space="preserve"> Eylül</w:t>
      </w:r>
      <w:r w:rsidR="00970B36" w:rsidRPr="00D22F7C">
        <w:rPr>
          <w:rFonts w:ascii="Arial" w:hAnsi="Arial" w:cs="Arial"/>
          <w:sz w:val="22"/>
          <w:szCs w:val="22"/>
        </w:rPr>
        <w:t xml:space="preserve"> 2011</w:t>
      </w:r>
      <w:r w:rsidR="00CB11EF" w:rsidRPr="00D22F7C">
        <w:rPr>
          <w:rFonts w:ascii="Arial" w:hAnsi="Arial" w:cs="Arial"/>
          <w:sz w:val="22"/>
          <w:szCs w:val="22"/>
        </w:rPr>
        <w:t xml:space="preserve"> itibariyle, bu</w:t>
      </w:r>
      <w:r w:rsidR="00471727" w:rsidRPr="00D22F7C">
        <w:rPr>
          <w:rFonts w:ascii="Arial" w:hAnsi="Arial" w:cs="Arial"/>
          <w:sz w:val="22"/>
          <w:szCs w:val="22"/>
        </w:rPr>
        <w:t xml:space="preserve"> oran kamu bankalarında yüzde 76</w:t>
      </w:r>
      <w:r w:rsidR="00CB11EF" w:rsidRPr="00D22F7C">
        <w:rPr>
          <w:rFonts w:ascii="Arial" w:hAnsi="Arial" w:cs="Arial"/>
          <w:sz w:val="22"/>
          <w:szCs w:val="22"/>
        </w:rPr>
        <w:t xml:space="preserve">, özel bankalarda yüzde </w:t>
      </w:r>
      <w:r w:rsidR="007F469B" w:rsidRPr="00D22F7C">
        <w:rPr>
          <w:rFonts w:ascii="Arial" w:hAnsi="Arial" w:cs="Arial"/>
          <w:sz w:val="22"/>
          <w:szCs w:val="22"/>
        </w:rPr>
        <w:t>98</w:t>
      </w:r>
      <w:r w:rsidR="00CB11EF" w:rsidRPr="00D22F7C">
        <w:rPr>
          <w:rFonts w:ascii="Arial" w:hAnsi="Arial" w:cs="Arial"/>
          <w:sz w:val="22"/>
          <w:szCs w:val="22"/>
        </w:rPr>
        <w:t xml:space="preserve"> ve yabanc</w:t>
      </w:r>
      <w:r w:rsidR="00B524FE" w:rsidRPr="00D22F7C">
        <w:rPr>
          <w:rFonts w:ascii="Arial" w:hAnsi="Arial" w:cs="Arial"/>
          <w:sz w:val="22"/>
          <w:szCs w:val="22"/>
        </w:rPr>
        <w:t>ı sermayeli bankalarda yüzde 10</w:t>
      </w:r>
      <w:r w:rsidR="000601DB" w:rsidRPr="00D22F7C">
        <w:rPr>
          <w:rFonts w:ascii="Arial" w:hAnsi="Arial" w:cs="Arial"/>
          <w:sz w:val="22"/>
          <w:szCs w:val="22"/>
        </w:rPr>
        <w:t xml:space="preserve">0 </w:t>
      </w:r>
      <w:r w:rsidR="00CB11EF" w:rsidRPr="00D22F7C">
        <w:rPr>
          <w:rFonts w:ascii="Arial" w:hAnsi="Arial" w:cs="Arial"/>
          <w:sz w:val="22"/>
          <w:szCs w:val="22"/>
        </w:rPr>
        <w:t>olmuştur.</w:t>
      </w:r>
    </w:p>
    <w:bookmarkEnd w:id="1"/>
    <w:bookmarkEnd w:id="2"/>
    <w:p w:rsidR="005E5114" w:rsidRPr="00D22F7C" w:rsidRDefault="005E5114" w:rsidP="00C706C0">
      <w:pPr>
        <w:jc w:val="both"/>
        <w:rPr>
          <w:rFonts w:ascii="Arial" w:hAnsi="Arial" w:cs="Arial"/>
          <w:sz w:val="22"/>
          <w:szCs w:val="22"/>
        </w:rPr>
      </w:pPr>
    </w:p>
    <w:p w:rsidR="00C706C0" w:rsidRPr="00D22F7C" w:rsidRDefault="00C706C0" w:rsidP="00C706C0">
      <w:pPr>
        <w:jc w:val="both"/>
        <w:rPr>
          <w:rFonts w:ascii="Arial" w:hAnsi="Arial" w:cs="Arial"/>
          <w:sz w:val="22"/>
          <w:szCs w:val="22"/>
        </w:rPr>
      </w:pPr>
      <w:r w:rsidRPr="00D22F7C">
        <w:rPr>
          <w:rFonts w:ascii="Arial" w:hAnsi="Arial" w:cs="Arial"/>
          <w:sz w:val="22"/>
          <w:szCs w:val="22"/>
        </w:rPr>
        <w:t>Takipteki kredilerin toplam krediler</w:t>
      </w:r>
      <w:r w:rsidR="00736644" w:rsidRPr="00D22F7C">
        <w:rPr>
          <w:rFonts w:ascii="Arial" w:hAnsi="Arial" w:cs="Arial"/>
          <w:sz w:val="22"/>
          <w:szCs w:val="22"/>
        </w:rPr>
        <w:t xml:space="preserve">e oranı </w:t>
      </w:r>
      <w:r w:rsidR="000601DB" w:rsidRPr="00D22F7C">
        <w:rPr>
          <w:rFonts w:ascii="Arial" w:hAnsi="Arial" w:cs="Arial"/>
          <w:sz w:val="22"/>
          <w:szCs w:val="22"/>
        </w:rPr>
        <w:t>yüzde 2,7’ye</w:t>
      </w:r>
      <w:r w:rsidR="00CF6B74" w:rsidRPr="00D22F7C">
        <w:rPr>
          <w:rFonts w:ascii="Arial" w:hAnsi="Arial" w:cs="Arial"/>
          <w:sz w:val="22"/>
          <w:szCs w:val="22"/>
        </w:rPr>
        <w:t xml:space="preserve"> gerilemiştir.</w:t>
      </w:r>
      <w:r w:rsidRPr="00D22F7C">
        <w:rPr>
          <w:rFonts w:ascii="Arial" w:hAnsi="Arial" w:cs="Arial"/>
          <w:sz w:val="22"/>
          <w:szCs w:val="22"/>
        </w:rPr>
        <w:t xml:space="preserve"> </w:t>
      </w:r>
      <w:r w:rsidR="00CF6B74" w:rsidRPr="00D22F7C">
        <w:rPr>
          <w:rFonts w:ascii="Arial" w:hAnsi="Arial" w:cs="Arial"/>
          <w:sz w:val="22"/>
          <w:szCs w:val="22"/>
        </w:rPr>
        <w:t>T</w:t>
      </w:r>
      <w:r w:rsidR="00736644" w:rsidRPr="00D22F7C">
        <w:rPr>
          <w:rFonts w:ascii="Arial" w:hAnsi="Arial" w:cs="Arial"/>
          <w:sz w:val="22"/>
          <w:szCs w:val="22"/>
        </w:rPr>
        <w:t xml:space="preserve">akipteki krediler </w:t>
      </w:r>
      <w:r w:rsidR="00CF50E7" w:rsidRPr="00D22F7C">
        <w:rPr>
          <w:rFonts w:ascii="Arial" w:hAnsi="Arial" w:cs="Arial"/>
          <w:sz w:val="22"/>
          <w:szCs w:val="22"/>
        </w:rPr>
        <w:t>ve özel karşılıklar Eylül 2010 ile karşılaştırıldığında gerilemiştir</w:t>
      </w:r>
      <w:r w:rsidR="00736644" w:rsidRPr="00D22F7C">
        <w:rPr>
          <w:rFonts w:ascii="Arial" w:hAnsi="Arial" w:cs="Arial"/>
          <w:sz w:val="22"/>
          <w:szCs w:val="22"/>
        </w:rPr>
        <w:t>. Özel</w:t>
      </w:r>
      <w:r w:rsidRPr="00D22F7C">
        <w:rPr>
          <w:rFonts w:ascii="Arial" w:hAnsi="Arial" w:cs="Arial"/>
          <w:sz w:val="22"/>
          <w:szCs w:val="22"/>
        </w:rPr>
        <w:t xml:space="preserve"> karşılıkların takipteki kredileri karşılama oranı </w:t>
      </w:r>
      <w:r w:rsidR="00CA4467" w:rsidRPr="00D22F7C">
        <w:rPr>
          <w:rFonts w:ascii="Arial" w:hAnsi="Arial" w:cs="Arial"/>
          <w:sz w:val="22"/>
          <w:szCs w:val="22"/>
        </w:rPr>
        <w:t>azalmıştır</w:t>
      </w:r>
      <w:r w:rsidRPr="00D22F7C">
        <w:rPr>
          <w:rFonts w:ascii="Arial" w:hAnsi="Arial" w:cs="Arial"/>
          <w:sz w:val="22"/>
          <w:szCs w:val="22"/>
        </w:rPr>
        <w:t xml:space="preserve">. </w:t>
      </w:r>
    </w:p>
    <w:p w:rsidR="007A57EB" w:rsidRPr="00D22F7C" w:rsidRDefault="007A57EB" w:rsidP="00CC3FDF">
      <w:pPr>
        <w:jc w:val="both"/>
      </w:pPr>
    </w:p>
    <w:p w:rsidR="0080653E" w:rsidRPr="00D22F7C" w:rsidRDefault="005E5114" w:rsidP="007A57EB">
      <w:pPr>
        <w:jc w:val="both"/>
        <w:rPr>
          <w:rFonts w:ascii="Arial" w:hAnsi="Arial" w:cs="Arial"/>
          <w:sz w:val="22"/>
          <w:szCs w:val="22"/>
        </w:rPr>
      </w:pPr>
      <w:r w:rsidRPr="00D22F7C">
        <w:rPr>
          <w:rFonts w:ascii="Arial" w:hAnsi="Arial" w:cs="Arial"/>
          <w:sz w:val="22"/>
          <w:szCs w:val="22"/>
        </w:rPr>
        <w:t xml:space="preserve">Toplam mevduat toplam aktiflerin yüzde </w:t>
      </w:r>
      <w:r w:rsidR="000601DB" w:rsidRPr="00D22F7C">
        <w:rPr>
          <w:rFonts w:ascii="Arial" w:hAnsi="Arial" w:cs="Arial"/>
          <w:sz w:val="22"/>
          <w:szCs w:val="22"/>
        </w:rPr>
        <w:t>59</w:t>
      </w:r>
      <w:r w:rsidR="00F450BA" w:rsidRPr="00D22F7C">
        <w:rPr>
          <w:rFonts w:ascii="Arial" w:hAnsi="Arial" w:cs="Arial"/>
          <w:sz w:val="22"/>
          <w:szCs w:val="22"/>
        </w:rPr>
        <w:t>’</w:t>
      </w:r>
      <w:r w:rsidR="00E077EF">
        <w:rPr>
          <w:rFonts w:ascii="Arial" w:hAnsi="Arial" w:cs="Arial"/>
          <w:sz w:val="22"/>
          <w:szCs w:val="22"/>
        </w:rPr>
        <w:t>u</w:t>
      </w:r>
      <w:r w:rsidRPr="00D22F7C">
        <w:rPr>
          <w:rFonts w:ascii="Arial" w:hAnsi="Arial" w:cs="Arial"/>
          <w:sz w:val="22"/>
          <w:szCs w:val="22"/>
        </w:rPr>
        <w:t xml:space="preserve"> </w:t>
      </w:r>
      <w:r w:rsidR="00E077EF">
        <w:rPr>
          <w:rFonts w:ascii="Arial" w:hAnsi="Arial" w:cs="Arial"/>
          <w:sz w:val="22"/>
          <w:szCs w:val="22"/>
        </w:rPr>
        <w:t>düzeyindedir</w:t>
      </w:r>
      <w:r w:rsidRPr="00D22F7C">
        <w:rPr>
          <w:rFonts w:ascii="Arial" w:hAnsi="Arial" w:cs="Arial"/>
          <w:sz w:val="22"/>
          <w:szCs w:val="22"/>
        </w:rPr>
        <w:t>. M</w:t>
      </w:r>
      <w:r w:rsidR="007A57EB" w:rsidRPr="00D22F7C">
        <w:rPr>
          <w:rFonts w:ascii="Arial" w:hAnsi="Arial" w:cs="Arial"/>
          <w:sz w:val="22"/>
          <w:szCs w:val="22"/>
        </w:rPr>
        <w:t xml:space="preserve">evduat </w:t>
      </w:r>
      <w:r w:rsidR="00FF2AFF" w:rsidRPr="00D22F7C">
        <w:rPr>
          <w:rFonts w:ascii="Arial" w:hAnsi="Arial" w:cs="Arial"/>
          <w:sz w:val="22"/>
          <w:szCs w:val="22"/>
        </w:rPr>
        <w:t xml:space="preserve">dışı kaynakların toplam </w:t>
      </w:r>
      <w:r w:rsidR="000601DB" w:rsidRPr="00D22F7C">
        <w:rPr>
          <w:rFonts w:ascii="Arial" w:hAnsi="Arial" w:cs="Arial"/>
          <w:sz w:val="22"/>
          <w:szCs w:val="22"/>
        </w:rPr>
        <w:t>aktiflere oranı ise yüzde 23</w:t>
      </w:r>
      <w:r w:rsidRPr="00D22F7C">
        <w:rPr>
          <w:rFonts w:ascii="Arial" w:hAnsi="Arial" w:cs="Arial"/>
          <w:sz w:val="22"/>
          <w:szCs w:val="22"/>
        </w:rPr>
        <w:t xml:space="preserve"> olmuştur. Mevduat dışı kaynaklardaki artışta bankalar tarafından </w:t>
      </w:r>
      <w:r w:rsidR="00CF3300" w:rsidRPr="00D22F7C">
        <w:rPr>
          <w:rFonts w:ascii="Arial" w:hAnsi="Arial" w:cs="Arial"/>
          <w:sz w:val="22"/>
          <w:szCs w:val="22"/>
        </w:rPr>
        <w:t>ihraç edilen tahviller ve repo işlemlerinden sağlanan fonlardaki büyüme</w:t>
      </w:r>
      <w:r w:rsidRPr="00D22F7C">
        <w:rPr>
          <w:rFonts w:ascii="Arial" w:hAnsi="Arial" w:cs="Arial"/>
          <w:sz w:val="22"/>
          <w:szCs w:val="22"/>
        </w:rPr>
        <w:t xml:space="preserve"> dikkati çekmektedir. </w:t>
      </w:r>
    </w:p>
    <w:p w:rsidR="007A57EB" w:rsidRPr="00D22F7C" w:rsidRDefault="007A57EB" w:rsidP="007A57EB">
      <w:pPr>
        <w:jc w:val="both"/>
        <w:rPr>
          <w:rFonts w:ascii="Arial" w:hAnsi="Arial" w:cs="Arial"/>
          <w:sz w:val="22"/>
          <w:szCs w:val="22"/>
        </w:rPr>
      </w:pPr>
    </w:p>
    <w:p w:rsidR="005E5114" w:rsidRPr="00D22F7C" w:rsidRDefault="00C35DF8" w:rsidP="005E5114">
      <w:pPr>
        <w:jc w:val="both"/>
        <w:rPr>
          <w:rFonts w:ascii="Arial" w:hAnsi="Arial" w:cs="Arial"/>
          <w:sz w:val="22"/>
          <w:szCs w:val="22"/>
        </w:rPr>
      </w:pPr>
      <w:r>
        <w:rPr>
          <w:rFonts w:ascii="Arial" w:hAnsi="Arial" w:cs="Arial"/>
          <w:sz w:val="22"/>
          <w:szCs w:val="22"/>
        </w:rPr>
        <w:t>Ö</w:t>
      </w:r>
      <w:r w:rsidR="00B968B0">
        <w:rPr>
          <w:rFonts w:ascii="Arial" w:hAnsi="Arial" w:cs="Arial"/>
          <w:sz w:val="22"/>
          <w:szCs w:val="22"/>
        </w:rPr>
        <w:t>zkaynaklar</w:t>
      </w:r>
      <w:r w:rsidR="001D7D3E" w:rsidRPr="00D22F7C">
        <w:rPr>
          <w:rFonts w:ascii="Arial" w:hAnsi="Arial" w:cs="Arial"/>
          <w:sz w:val="22"/>
          <w:szCs w:val="22"/>
        </w:rPr>
        <w:t xml:space="preserve">, </w:t>
      </w:r>
      <w:r w:rsidR="009C4749" w:rsidRPr="00D22F7C">
        <w:rPr>
          <w:rFonts w:ascii="Arial" w:hAnsi="Arial" w:cs="Arial"/>
          <w:sz w:val="22"/>
          <w:szCs w:val="22"/>
        </w:rPr>
        <w:t xml:space="preserve">bir yıl önceye göre yüzde </w:t>
      </w:r>
      <w:r w:rsidR="000601DB" w:rsidRPr="00D22F7C">
        <w:rPr>
          <w:rFonts w:ascii="Arial" w:hAnsi="Arial" w:cs="Arial"/>
          <w:sz w:val="22"/>
          <w:szCs w:val="22"/>
        </w:rPr>
        <w:t>11</w:t>
      </w:r>
      <w:r w:rsidR="001D7D3E" w:rsidRPr="00D22F7C">
        <w:rPr>
          <w:rFonts w:ascii="Arial" w:hAnsi="Arial" w:cs="Arial"/>
          <w:sz w:val="22"/>
          <w:szCs w:val="22"/>
        </w:rPr>
        <w:t xml:space="preserve"> artarak, </w:t>
      </w:r>
      <w:r w:rsidR="000601DB" w:rsidRPr="00D22F7C">
        <w:rPr>
          <w:rFonts w:ascii="Arial" w:hAnsi="Arial" w:cs="Arial"/>
          <w:sz w:val="22"/>
          <w:szCs w:val="22"/>
        </w:rPr>
        <w:t>Eylül</w:t>
      </w:r>
      <w:r w:rsidR="008A1D59" w:rsidRPr="00D22F7C">
        <w:rPr>
          <w:rFonts w:ascii="Arial" w:hAnsi="Arial" w:cs="Arial"/>
          <w:sz w:val="22"/>
          <w:szCs w:val="22"/>
        </w:rPr>
        <w:t xml:space="preserve"> 20</w:t>
      </w:r>
      <w:r w:rsidR="0084744F" w:rsidRPr="00D22F7C">
        <w:rPr>
          <w:rFonts w:ascii="Arial" w:hAnsi="Arial" w:cs="Arial"/>
          <w:sz w:val="22"/>
          <w:szCs w:val="22"/>
        </w:rPr>
        <w:t>11 itibariyle 1</w:t>
      </w:r>
      <w:r w:rsidR="000601DB" w:rsidRPr="00D22F7C">
        <w:rPr>
          <w:rFonts w:ascii="Arial" w:hAnsi="Arial" w:cs="Arial"/>
          <w:sz w:val="22"/>
          <w:szCs w:val="22"/>
        </w:rPr>
        <w:t>35</w:t>
      </w:r>
      <w:r w:rsidR="001D7D3E" w:rsidRPr="00D22F7C">
        <w:rPr>
          <w:rFonts w:ascii="Arial" w:hAnsi="Arial" w:cs="Arial"/>
          <w:sz w:val="22"/>
          <w:szCs w:val="22"/>
        </w:rPr>
        <w:t xml:space="preserve"> </w:t>
      </w:r>
      <w:r w:rsidR="008102F3" w:rsidRPr="00D22F7C">
        <w:rPr>
          <w:rFonts w:ascii="Arial" w:hAnsi="Arial" w:cs="Arial"/>
          <w:sz w:val="22"/>
          <w:szCs w:val="22"/>
        </w:rPr>
        <w:t>milyar TL</w:t>
      </w:r>
      <w:r w:rsidR="005E5114" w:rsidRPr="00D22F7C">
        <w:rPr>
          <w:rFonts w:ascii="Arial" w:hAnsi="Arial" w:cs="Arial"/>
          <w:sz w:val="22"/>
          <w:szCs w:val="22"/>
        </w:rPr>
        <w:t>’ye</w:t>
      </w:r>
      <w:r w:rsidR="000601DB" w:rsidRPr="00D22F7C">
        <w:rPr>
          <w:rFonts w:ascii="Arial" w:hAnsi="Arial" w:cs="Arial"/>
          <w:sz w:val="22"/>
          <w:szCs w:val="22"/>
        </w:rPr>
        <w:t xml:space="preserve"> </w:t>
      </w:r>
      <w:r w:rsidR="005E5114" w:rsidRPr="00D22F7C">
        <w:rPr>
          <w:rFonts w:ascii="Arial" w:hAnsi="Arial" w:cs="Arial"/>
          <w:sz w:val="22"/>
          <w:szCs w:val="22"/>
        </w:rPr>
        <w:t>yükselmiştir.</w:t>
      </w:r>
      <w:r w:rsidR="001D7D3E" w:rsidRPr="00D22F7C">
        <w:rPr>
          <w:rFonts w:ascii="Arial" w:hAnsi="Arial" w:cs="Arial"/>
          <w:sz w:val="22"/>
          <w:szCs w:val="22"/>
        </w:rPr>
        <w:t xml:space="preserve"> </w:t>
      </w:r>
      <w:r w:rsidR="004D4232" w:rsidRPr="00D22F7C">
        <w:rPr>
          <w:rFonts w:ascii="Arial" w:hAnsi="Arial" w:cs="Arial"/>
          <w:sz w:val="22"/>
          <w:szCs w:val="22"/>
        </w:rPr>
        <w:t>Sermaye yeterliliği standart rasyosu</w:t>
      </w:r>
      <w:r w:rsidR="00154601" w:rsidRPr="00D22F7C">
        <w:rPr>
          <w:rFonts w:ascii="Arial" w:hAnsi="Arial" w:cs="Arial"/>
          <w:sz w:val="22"/>
          <w:szCs w:val="22"/>
        </w:rPr>
        <w:t xml:space="preserve"> </w:t>
      </w:r>
      <w:r w:rsidR="000C2D9B" w:rsidRPr="00D22F7C">
        <w:rPr>
          <w:rFonts w:ascii="Arial" w:hAnsi="Arial" w:cs="Arial"/>
          <w:sz w:val="22"/>
          <w:szCs w:val="22"/>
        </w:rPr>
        <w:t>Eylül 2010’a göre 3</w:t>
      </w:r>
      <w:r w:rsidR="009634AF" w:rsidRPr="00D22F7C">
        <w:rPr>
          <w:rFonts w:ascii="Arial" w:hAnsi="Arial" w:cs="Arial"/>
          <w:sz w:val="22"/>
          <w:szCs w:val="22"/>
        </w:rPr>
        <w:t>,1</w:t>
      </w:r>
      <w:r w:rsidR="00D331FB" w:rsidRPr="00D22F7C">
        <w:rPr>
          <w:rFonts w:ascii="Arial" w:hAnsi="Arial" w:cs="Arial"/>
          <w:sz w:val="22"/>
          <w:szCs w:val="22"/>
        </w:rPr>
        <w:t xml:space="preserve"> puan </w:t>
      </w:r>
      <w:r w:rsidR="009634AF" w:rsidRPr="00D22F7C">
        <w:rPr>
          <w:rFonts w:ascii="Arial" w:hAnsi="Arial" w:cs="Arial"/>
          <w:sz w:val="22"/>
          <w:szCs w:val="22"/>
        </w:rPr>
        <w:t>azalarak</w:t>
      </w:r>
      <w:r w:rsidR="00D331FB" w:rsidRPr="00D22F7C">
        <w:rPr>
          <w:rFonts w:ascii="Arial" w:hAnsi="Arial" w:cs="Arial"/>
          <w:sz w:val="22"/>
          <w:szCs w:val="22"/>
        </w:rPr>
        <w:t xml:space="preserve"> </w:t>
      </w:r>
      <w:r w:rsidR="004D4232" w:rsidRPr="00D22F7C">
        <w:rPr>
          <w:rFonts w:ascii="Arial" w:hAnsi="Arial" w:cs="Arial"/>
          <w:sz w:val="22"/>
          <w:szCs w:val="22"/>
        </w:rPr>
        <w:t xml:space="preserve">yüzde </w:t>
      </w:r>
      <w:r w:rsidR="000C2D9B" w:rsidRPr="00D22F7C">
        <w:rPr>
          <w:rFonts w:ascii="Arial" w:hAnsi="Arial" w:cs="Arial"/>
          <w:sz w:val="22"/>
          <w:szCs w:val="22"/>
        </w:rPr>
        <w:t>16,5</w:t>
      </w:r>
      <w:r w:rsidR="009634AF" w:rsidRPr="00D22F7C">
        <w:rPr>
          <w:rFonts w:ascii="Arial" w:hAnsi="Arial" w:cs="Arial"/>
          <w:sz w:val="22"/>
          <w:szCs w:val="22"/>
        </w:rPr>
        <w:t>’e</w:t>
      </w:r>
      <w:r w:rsidR="00154601" w:rsidRPr="00D22F7C">
        <w:rPr>
          <w:rFonts w:ascii="Arial" w:hAnsi="Arial" w:cs="Arial"/>
          <w:sz w:val="22"/>
          <w:szCs w:val="22"/>
        </w:rPr>
        <w:t xml:space="preserve"> </w:t>
      </w:r>
      <w:r w:rsidR="009634AF" w:rsidRPr="00D22F7C">
        <w:rPr>
          <w:rFonts w:ascii="Arial" w:hAnsi="Arial" w:cs="Arial"/>
          <w:sz w:val="22"/>
          <w:szCs w:val="22"/>
        </w:rPr>
        <w:t>gerilemiştir</w:t>
      </w:r>
      <w:r w:rsidR="00154601" w:rsidRPr="00D22F7C">
        <w:rPr>
          <w:rFonts w:ascii="Arial" w:hAnsi="Arial" w:cs="Arial"/>
          <w:sz w:val="22"/>
          <w:szCs w:val="22"/>
        </w:rPr>
        <w:t>.</w:t>
      </w:r>
      <w:r w:rsidR="004D4232" w:rsidRPr="00D22F7C">
        <w:rPr>
          <w:rFonts w:ascii="Arial" w:hAnsi="Arial" w:cs="Arial"/>
          <w:sz w:val="22"/>
          <w:szCs w:val="22"/>
        </w:rPr>
        <w:t xml:space="preserve"> </w:t>
      </w:r>
      <w:r w:rsidR="005E5114" w:rsidRPr="00D22F7C">
        <w:rPr>
          <w:rFonts w:ascii="Arial" w:hAnsi="Arial" w:cs="Arial"/>
          <w:sz w:val="22"/>
          <w:szCs w:val="22"/>
        </w:rPr>
        <w:t xml:space="preserve">Serbest özkaynakların toplam aktiflere oranı </w:t>
      </w:r>
      <w:r w:rsidR="000908AB" w:rsidRPr="00D22F7C">
        <w:rPr>
          <w:rFonts w:ascii="Arial" w:hAnsi="Arial" w:cs="Arial"/>
          <w:sz w:val="22"/>
          <w:szCs w:val="22"/>
        </w:rPr>
        <w:t>yüzde 10,5’ ten yüzde 9,0’a</w:t>
      </w:r>
      <w:r w:rsidR="005E5114" w:rsidRPr="00D22F7C">
        <w:rPr>
          <w:rFonts w:ascii="Arial" w:hAnsi="Arial" w:cs="Arial"/>
          <w:sz w:val="22"/>
          <w:szCs w:val="22"/>
        </w:rPr>
        <w:t xml:space="preserve"> </w:t>
      </w:r>
      <w:r>
        <w:rPr>
          <w:rFonts w:ascii="Arial" w:hAnsi="Arial" w:cs="Arial"/>
          <w:sz w:val="22"/>
          <w:szCs w:val="22"/>
        </w:rPr>
        <w:t xml:space="preserve">inmiştir. </w:t>
      </w:r>
    </w:p>
    <w:p w:rsidR="004D4232" w:rsidRPr="00D22F7C" w:rsidRDefault="004D4232" w:rsidP="00CC3FDF">
      <w:pPr>
        <w:jc w:val="both"/>
        <w:rPr>
          <w:rFonts w:ascii="Arial" w:hAnsi="Arial" w:cs="Arial"/>
          <w:sz w:val="22"/>
          <w:szCs w:val="22"/>
        </w:rPr>
      </w:pPr>
    </w:p>
    <w:p w:rsidR="000C2D9B" w:rsidRPr="00D22F7C" w:rsidRDefault="00940D54" w:rsidP="00940D54">
      <w:pPr>
        <w:jc w:val="both"/>
        <w:rPr>
          <w:rFonts w:ascii="Arial" w:hAnsi="Arial" w:cs="Arial"/>
          <w:sz w:val="22"/>
          <w:szCs w:val="22"/>
        </w:rPr>
      </w:pPr>
      <w:r w:rsidRPr="00D22F7C">
        <w:rPr>
          <w:rFonts w:ascii="Arial" w:hAnsi="Arial" w:cs="Arial"/>
          <w:sz w:val="22"/>
          <w:szCs w:val="22"/>
        </w:rPr>
        <w:t xml:space="preserve">Yılın ilk </w:t>
      </w:r>
      <w:r w:rsidR="0086063C" w:rsidRPr="00D22F7C">
        <w:rPr>
          <w:rFonts w:ascii="Arial" w:hAnsi="Arial" w:cs="Arial"/>
          <w:sz w:val="22"/>
          <w:szCs w:val="22"/>
        </w:rPr>
        <w:t>dokuz</w:t>
      </w:r>
      <w:r w:rsidR="00CA5407" w:rsidRPr="00D22F7C">
        <w:rPr>
          <w:rFonts w:ascii="Arial" w:hAnsi="Arial" w:cs="Arial"/>
          <w:sz w:val="22"/>
          <w:szCs w:val="22"/>
        </w:rPr>
        <w:t xml:space="preserve"> ayında</w:t>
      </w:r>
      <w:r w:rsidR="00C35DF8">
        <w:rPr>
          <w:rFonts w:ascii="Arial" w:hAnsi="Arial" w:cs="Arial"/>
          <w:sz w:val="22"/>
          <w:szCs w:val="22"/>
        </w:rPr>
        <w:t>,</w:t>
      </w:r>
      <w:r w:rsidRPr="00D22F7C">
        <w:rPr>
          <w:rFonts w:ascii="Arial" w:hAnsi="Arial" w:cs="Arial"/>
          <w:sz w:val="22"/>
          <w:szCs w:val="22"/>
        </w:rPr>
        <w:t xml:space="preserve"> faiz gelirleri</w:t>
      </w:r>
      <w:r w:rsidR="000C2D9B" w:rsidRPr="00D22F7C">
        <w:rPr>
          <w:rFonts w:ascii="Arial" w:hAnsi="Arial" w:cs="Arial"/>
          <w:sz w:val="22"/>
          <w:szCs w:val="22"/>
        </w:rPr>
        <w:t xml:space="preserve"> </w:t>
      </w:r>
      <w:r w:rsidR="007F4850" w:rsidRPr="00D22F7C">
        <w:rPr>
          <w:rFonts w:ascii="Arial" w:hAnsi="Arial" w:cs="Arial"/>
          <w:sz w:val="22"/>
          <w:szCs w:val="22"/>
        </w:rPr>
        <w:t>TL</w:t>
      </w:r>
      <w:r w:rsidR="000C2D9B" w:rsidRPr="00D22F7C">
        <w:rPr>
          <w:rFonts w:ascii="Arial" w:hAnsi="Arial" w:cs="Arial"/>
          <w:sz w:val="22"/>
          <w:szCs w:val="22"/>
        </w:rPr>
        <w:t xml:space="preserve"> baz</w:t>
      </w:r>
      <w:r w:rsidR="007F4850" w:rsidRPr="00D22F7C">
        <w:rPr>
          <w:rFonts w:ascii="Arial" w:hAnsi="Arial" w:cs="Arial"/>
          <w:sz w:val="22"/>
          <w:szCs w:val="22"/>
        </w:rPr>
        <w:t>ın</w:t>
      </w:r>
      <w:r w:rsidR="000C2D9B" w:rsidRPr="00D22F7C">
        <w:rPr>
          <w:rFonts w:ascii="Arial" w:hAnsi="Arial" w:cs="Arial"/>
          <w:sz w:val="22"/>
          <w:szCs w:val="22"/>
        </w:rPr>
        <w:t>da</w:t>
      </w:r>
      <w:r w:rsidRPr="00D22F7C">
        <w:rPr>
          <w:rFonts w:ascii="Arial" w:hAnsi="Arial" w:cs="Arial"/>
          <w:sz w:val="22"/>
          <w:szCs w:val="22"/>
        </w:rPr>
        <w:t xml:space="preserve"> </w:t>
      </w:r>
      <w:r w:rsidR="005E5114" w:rsidRPr="00D22F7C">
        <w:rPr>
          <w:rFonts w:ascii="Arial" w:hAnsi="Arial" w:cs="Arial"/>
          <w:sz w:val="22"/>
          <w:szCs w:val="22"/>
        </w:rPr>
        <w:t>yüzde</w:t>
      </w:r>
      <w:r w:rsidR="000C2D9B" w:rsidRPr="00D22F7C">
        <w:rPr>
          <w:rFonts w:ascii="Arial" w:hAnsi="Arial" w:cs="Arial"/>
          <w:sz w:val="22"/>
          <w:szCs w:val="22"/>
        </w:rPr>
        <w:t xml:space="preserve"> 9</w:t>
      </w:r>
      <w:r w:rsidR="005E5114" w:rsidRPr="00D22F7C">
        <w:rPr>
          <w:rFonts w:ascii="Arial" w:hAnsi="Arial" w:cs="Arial"/>
          <w:sz w:val="22"/>
          <w:szCs w:val="22"/>
        </w:rPr>
        <w:t xml:space="preserve"> artarken, faiz giderleri yüzde </w:t>
      </w:r>
      <w:r w:rsidR="000C2D9B" w:rsidRPr="00D22F7C">
        <w:rPr>
          <w:rFonts w:ascii="Arial" w:hAnsi="Arial" w:cs="Arial"/>
          <w:sz w:val="22"/>
          <w:szCs w:val="22"/>
        </w:rPr>
        <w:t xml:space="preserve">23 </w:t>
      </w:r>
      <w:r w:rsidR="005E5114" w:rsidRPr="00D22F7C">
        <w:rPr>
          <w:rFonts w:ascii="Arial" w:hAnsi="Arial" w:cs="Arial"/>
          <w:sz w:val="22"/>
          <w:szCs w:val="22"/>
        </w:rPr>
        <w:t>oranında büyümüştür. Buna bağlı olarak, n</w:t>
      </w:r>
      <w:r w:rsidRPr="00D22F7C">
        <w:rPr>
          <w:rFonts w:ascii="Arial" w:hAnsi="Arial" w:cs="Arial"/>
          <w:sz w:val="22"/>
          <w:szCs w:val="22"/>
        </w:rPr>
        <w:t xml:space="preserve">et faiz gelirleri geçen </w:t>
      </w:r>
      <w:r w:rsidR="00F15267" w:rsidRPr="00D22F7C">
        <w:rPr>
          <w:rFonts w:ascii="Arial" w:hAnsi="Arial" w:cs="Arial"/>
          <w:sz w:val="22"/>
          <w:szCs w:val="22"/>
        </w:rPr>
        <w:t xml:space="preserve">yılın aynı dönemine göre </w:t>
      </w:r>
      <w:r w:rsidR="007F4850" w:rsidRPr="00D22F7C">
        <w:rPr>
          <w:rFonts w:ascii="Arial" w:hAnsi="Arial" w:cs="Arial"/>
          <w:sz w:val="22"/>
          <w:szCs w:val="22"/>
        </w:rPr>
        <w:t>TL bazında</w:t>
      </w:r>
      <w:r w:rsidR="000C2D9B" w:rsidRPr="00D22F7C">
        <w:rPr>
          <w:rFonts w:ascii="Arial" w:hAnsi="Arial" w:cs="Arial"/>
          <w:sz w:val="22"/>
          <w:szCs w:val="22"/>
        </w:rPr>
        <w:t xml:space="preserve"> </w:t>
      </w:r>
      <w:r w:rsidR="00F15267" w:rsidRPr="00D22F7C">
        <w:rPr>
          <w:rFonts w:ascii="Arial" w:hAnsi="Arial" w:cs="Arial"/>
          <w:sz w:val="22"/>
          <w:szCs w:val="22"/>
        </w:rPr>
        <w:t xml:space="preserve">yüzde </w:t>
      </w:r>
      <w:r w:rsidR="000C2D9B" w:rsidRPr="00D22F7C">
        <w:rPr>
          <w:rFonts w:ascii="Arial" w:hAnsi="Arial" w:cs="Arial"/>
          <w:sz w:val="22"/>
          <w:szCs w:val="22"/>
        </w:rPr>
        <w:t>3</w:t>
      </w:r>
      <w:r w:rsidR="000370A9" w:rsidRPr="00D22F7C">
        <w:rPr>
          <w:rFonts w:ascii="Arial" w:hAnsi="Arial" w:cs="Arial"/>
          <w:sz w:val="22"/>
          <w:szCs w:val="22"/>
        </w:rPr>
        <w:t xml:space="preserve"> </w:t>
      </w:r>
      <w:r w:rsidRPr="00D22F7C">
        <w:rPr>
          <w:rFonts w:ascii="Arial" w:hAnsi="Arial" w:cs="Arial"/>
          <w:sz w:val="22"/>
          <w:szCs w:val="22"/>
        </w:rPr>
        <w:t xml:space="preserve">oranında </w:t>
      </w:r>
      <w:r w:rsidR="005E5114" w:rsidRPr="00D22F7C">
        <w:rPr>
          <w:rFonts w:ascii="Arial" w:hAnsi="Arial" w:cs="Arial"/>
          <w:sz w:val="22"/>
          <w:szCs w:val="22"/>
        </w:rPr>
        <w:t xml:space="preserve">azalmıştır. </w:t>
      </w:r>
    </w:p>
    <w:p w:rsidR="00725158" w:rsidRPr="00D22F7C" w:rsidRDefault="00725158" w:rsidP="00725158">
      <w:pPr>
        <w:jc w:val="both"/>
        <w:rPr>
          <w:rFonts w:ascii="Arial" w:hAnsi="Arial" w:cs="Arial"/>
          <w:sz w:val="22"/>
          <w:szCs w:val="22"/>
        </w:rPr>
      </w:pPr>
    </w:p>
    <w:p w:rsidR="00C35DF8" w:rsidRPr="00D22F7C" w:rsidRDefault="00725158" w:rsidP="00C35DF8">
      <w:pPr>
        <w:jc w:val="both"/>
        <w:rPr>
          <w:rFonts w:ascii="Arial" w:hAnsi="Arial" w:cs="Arial"/>
          <w:sz w:val="22"/>
          <w:szCs w:val="22"/>
        </w:rPr>
      </w:pPr>
      <w:r w:rsidRPr="00D22F7C">
        <w:rPr>
          <w:rFonts w:ascii="Arial" w:hAnsi="Arial" w:cs="Arial"/>
          <w:sz w:val="22"/>
          <w:szCs w:val="22"/>
        </w:rPr>
        <w:t xml:space="preserve">Kar hacmi, bir önceki yılın aynı dönemine göre yüzde </w:t>
      </w:r>
      <w:r w:rsidR="00E95759" w:rsidRPr="00D22F7C">
        <w:rPr>
          <w:rFonts w:ascii="Arial" w:hAnsi="Arial" w:cs="Arial"/>
          <w:sz w:val="22"/>
          <w:szCs w:val="22"/>
        </w:rPr>
        <w:t>14</w:t>
      </w:r>
      <w:r w:rsidR="00F04FB0" w:rsidRPr="00D22F7C">
        <w:rPr>
          <w:rFonts w:ascii="Arial" w:hAnsi="Arial" w:cs="Arial"/>
          <w:sz w:val="22"/>
          <w:szCs w:val="22"/>
        </w:rPr>
        <w:t xml:space="preserve"> </w:t>
      </w:r>
      <w:r w:rsidR="00BB4E9C" w:rsidRPr="00D22F7C">
        <w:rPr>
          <w:rFonts w:ascii="Arial" w:hAnsi="Arial" w:cs="Arial"/>
          <w:sz w:val="22"/>
          <w:szCs w:val="22"/>
        </w:rPr>
        <w:t xml:space="preserve">azalarak </w:t>
      </w:r>
      <w:r w:rsidR="00E95759" w:rsidRPr="00D22F7C">
        <w:rPr>
          <w:rFonts w:ascii="Arial" w:hAnsi="Arial" w:cs="Arial"/>
          <w:sz w:val="22"/>
          <w:szCs w:val="22"/>
        </w:rPr>
        <w:t>14</w:t>
      </w:r>
      <w:r w:rsidRPr="00D22F7C">
        <w:rPr>
          <w:rFonts w:ascii="Arial" w:hAnsi="Arial" w:cs="Arial"/>
          <w:sz w:val="22"/>
          <w:szCs w:val="22"/>
        </w:rPr>
        <w:t xml:space="preserve"> milyar TL’ye </w:t>
      </w:r>
      <w:r w:rsidR="00061AB1" w:rsidRPr="00D22F7C">
        <w:rPr>
          <w:rFonts w:ascii="Arial" w:hAnsi="Arial" w:cs="Arial"/>
          <w:sz w:val="22"/>
          <w:szCs w:val="22"/>
        </w:rPr>
        <w:t>gerilemişti</w:t>
      </w:r>
      <w:r w:rsidRPr="00D22F7C">
        <w:rPr>
          <w:rFonts w:ascii="Arial" w:hAnsi="Arial" w:cs="Arial"/>
          <w:sz w:val="22"/>
          <w:szCs w:val="22"/>
        </w:rPr>
        <w:t xml:space="preserve">r. </w:t>
      </w:r>
      <w:r w:rsidR="00B968B0">
        <w:rPr>
          <w:rFonts w:ascii="Arial" w:hAnsi="Arial" w:cs="Arial"/>
          <w:sz w:val="22"/>
          <w:szCs w:val="22"/>
        </w:rPr>
        <w:t>TL’nin değer kaybetmesi</w:t>
      </w:r>
      <w:r w:rsidR="00E95759" w:rsidRPr="00D22F7C">
        <w:rPr>
          <w:rFonts w:ascii="Arial" w:hAnsi="Arial" w:cs="Arial"/>
          <w:sz w:val="22"/>
          <w:szCs w:val="22"/>
        </w:rPr>
        <w:t xml:space="preserve"> </w:t>
      </w:r>
      <w:r w:rsidR="0086063C" w:rsidRPr="00D22F7C">
        <w:rPr>
          <w:rFonts w:ascii="Arial" w:hAnsi="Arial" w:cs="Arial"/>
          <w:sz w:val="22"/>
          <w:szCs w:val="22"/>
        </w:rPr>
        <w:t>nedeniyle dolar bazında gerileme</w:t>
      </w:r>
      <w:r w:rsidR="00E95759" w:rsidRPr="00D22F7C">
        <w:rPr>
          <w:rFonts w:ascii="Arial" w:hAnsi="Arial" w:cs="Arial"/>
          <w:sz w:val="22"/>
          <w:szCs w:val="22"/>
        </w:rPr>
        <w:t xml:space="preserve"> yüzde 33 olarak gerçekleşmiştir. </w:t>
      </w:r>
      <w:r w:rsidR="00C35DF8">
        <w:rPr>
          <w:rFonts w:ascii="Arial" w:hAnsi="Arial" w:cs="Arial"/>
          <w:sz w:val="22"/>
          <w:szCs w:val="22"/>
        </w:rPr>
        <w:t>Krediler</w:t>
      </w:r>
      <w:r w:rsidR="00E077EF">
        <w:rPr>
          <w:rFonts w:ascii="Arial" w:hAnsi="Arial" w:cs="Arial"/>
          <w:sz w:val="22"/>
          <w:szCs w:val="22"/>
        </w:rPr>
        <w:t xml:space="preserve"> için ayrılan özel karşılıklar</w:t>
      </w:r>
      <w:r w:rsidR="00C35DF8">
        <w:rPr>
          <w:rFonts w:ascii="Arial" w:hAnsi="Arial" w:cs="Arial"/>
          <w:sz w:val="22"/>
          <w:szCs w:val="22"/>
        </w:rPr>
        <w:t xml:space="preserve"> azalmaya devam etmiştir. </w:t>
      </w:r>
    </w:p>
    <w:p w:rsidR="00F25941" w:rsidRPr="00D22F7C" w:rsidRDefault="00F25941" w:rsidP="00725158">
      <w:pPr>
        <w:jc w:val="both"/>
        <w:rPr>
          <w:rFonts w:ascii="Arial" w:hAnsi="Arial" w:cs="Arial"/>
          <w:sz w:val="22"/>
          <w:szCs w:val="22"/>
        </w:rPr>
      </w:pPr>
    </w:p>
    <w:p w:rsidR="00725158" w:rsidRPr="00D22F7C" w:rsidRDefault="00725158" w:rsidP="00725158">
      <w:pPr>
        <w:jc w:val="both"/>
        <w:rPr>
          <w:rFonts w:ascii="Arial" w:hAnsi="Arial" w:cs="Arial"/>
          <w:sz w:val="22"/>
          <w:szCs w:val="22"/>
        </w:rPr>
      </w:pPr>
      <w:r w:rsidRPr="00D22F7C">
        <w:rPr>
          <w:rFonts w:ascii="Arial" w:hAnsi="Arial" w:cs="Arial"/>
          <w:sz w:val="22"/>
          <w:szCs w:val="22"/>
        </w:rPr>
        <w:t>Yıllık baz</w:t>
      </w:r>
      <w:r w:rsidR="00F04FB0" w:rsidRPr="00D22F7C">
        <w:rPr>
          <w:rFonts w:ascii="Arial" w:hAnsi="Arial" w:cs="Arial"/>
          <w:sz w:val="22"/>
          <w:szCs w:val="22"/>
        </w:rPr>
        <w:t>da özkayn</w:t>
      </w:r>
      <w:r w:rsidR="004F44E5" w:rsidRPr="00D22F7C">
        <w:rPr>
          <w:rFonts w:ascii="Arial" w:hAnsi="Arial" w:cs="Arial"/>
          <w:sz w:val="22"/>
          <w:szCs w:val="22"/>
        </w:rPr>
        <w:t>ak kar</w:t>
      </w:r>
      <w:r w:rsidR="008C6307" w:rsidRPr="00D22F7C">
        <w:rPr>
          <w:rFonts w:ascii="Arial" w:hAnsi="Arial" w:cs="Arial"/>
          <w:sz w:val="22"/>
          <w:szCs w:val="22"/>
        </w:rPr>
        <w:t xml:space="preserve">lılığı </w:t>
      </w:r>
      <w:r w:rsidR="008945EE">
        <w:rPr>
          <w:rFonts w:ascii="Arial" w:hAnsi="Arial" w:cs="Arial"/>
          <w:sz w:val="22"/>
          <w:szCs w:val="22"/>
        </w:rPr>
        <w:t>Eylül 2010’a</w:t>
      </w:r>
      <w:r w:rsidR="008C6307" w:rsidRPr="00D22F7C">
        <w:rPr>
          <w:rFonts w:ascii="Arial" w:hAnsi="Arial" w:cs="Arial"/>
          <w:sz w:val="22"/>
          <w:szCs w:val="22"/>
        </w:rPr>
        <w:t xml:space="preserve"> göre</w:t>
      </w:r>
      <w:r w:rsidR="00E95759" w:rsidRPr="00D22F7C">
        <w:rPr>
          <w:rFonts w:ascii="Arial" w:hAnsi="Arial" w:cs="Arial"/>
          <w:sz w:val="22"/>
          <w:szCs w:val="22"/>
        </w:rPr>
        <w:t xml:space="preserve"> yüzde </w:t>
      </w:r>
      <w:r w:rsidR="008945EE">
        <w:rPr>
          <w:rFonts w:ascii="Arial" w:hAnsi="Arial" w:cs="Arial"/>
          <w:sz w:val="22"/>
          <w:szCs w:val="22"/>
        </w:rPr>
        <w:t>3,1</w:t>
      </w:r>
      <w:r w:rsidR="008C6307" w:rsidRPr="00D22F7C">
        <w:rPr>
          <w:rFonts w:ascii="Arial" w:hAnsi="Arial" w:cs="Arial"/>
          <w:sz w:val="22"/>
          <w:szCs w:val="22"/>
        </w:rPr>
        <w:t xml:space="preserve"> </w:t>
      </w:r>
      <w:r w:rsidR="00757953" w:rsidRPr="00D22F7C">
        <w:rPr>
          <w:rFonts w:ascii="Arial" w:hAnsi="Arial" w:cs="Arial"/>
          <w:sz w:val="22"/>
          <w:szCs w:val="22"/>
        </w:rPr>
        <w:t>azalarak</w:t>
      </w:r>
      <w:r w:rsidR="008C6307" w:rsidRPr="00D22F7C">
        <w:rPr>
          <w:rFonts w:ascii="Arial" w:hAnsi="Arial" w:cs="Arial"/>
          <w:sz w:val="22"/>
          <w:szCs w:val="22"/>
        </w:rPr>
        <w:t xml:space="preserve"> </w:t>
      </w:r>
      <w:r w:rsidR="00757953" w:rsidRPr="00D22F7C">
        <w:rPr>
          <w:rFonts w:ascii="Arial" w:hAnsi="Arial" w:cs="Arial"/>
          <w:sz w:val="22"/>
          <w:szCs w:val="22"/>
        </w:rPr>
        <w:t xml:space="preserve">Eylül 2011’de </w:t>
      </w:r>
      <w:r w:rsidR="008945EE">
        <w:rPr>
          <w:rFonts w:ascii="Arial" w:hAnsi="Arial" w:cs="Arial"/>
          <w:sz w:val="22"/>
          <w:szCs w:val="22"/>
        </w:rPr>
        <w:t>yüzde 13,4</w:t>
      </w:r>
      <w:r w:rsidR="00B968B0">
        <w:rPr>
          <w:rFonts w:ascii="Arial" w:hAnsi="Arial" w:cs="Arial"/>
          <w:sz w:val="22"/>
          <w:szCs w:val="22"/>
        </w:rPr>
        <w:t>,</w:t>
      </w:r>
      <w:r w:rsidRPr="00D22F7C">
        <w:rPr>
          <w:rFonts w:ascii="Arial" w:hAnsi="Arial" w:cs="Arial"/>
          <w:sz w:val="22"/>
          <w:szCs w:val="22"/>
        </w:rPr>
        <w:t xml:space="preserve"> aktif karlılığı ise </w:t>
      </w:r>
      <w:r w:rsidR="00DA7574">
        <w:rPr>
          <w:rFonts w:ascii="Arial" w:hAnsi="Arial" w:cs="Arial"/>
          <w:sz w:val="22"/>
          <w:szCs w:val="22"/>
        </w:rPr>
        <w:t>yüzde 0,6</w:t>
      </w:r>
      <w:r w:rsidRPr="00D22F7C">
        <w:rPr>
          <w:rFonts w:ascii="Arial" w:hAnsi="Arial" w:cs="Arial"/>
          <w:sz w:val="22"/>
          <w:szCs w:val="22"/>
        </w:rPr>
        <w:t xml:space="preserve"> </w:t>
      </w:r>
      <w:r w:rsidR="00757953" w:rsidRPr="00D22F7C">
        <w:rPr>
          <w:rFonts w:ascii="Arial" w:hAnsi="Arial" w:cs="Arial"/>
          <w:sz w:val="22"/>
          <w:szCs w:val="22"/>
        </w:rPr>
        <w:t xml:space="preserve">azalarak </w:t>
      </w:r>
      <w:r w:rsidR="00E95759" w:rsidRPr="00D22F7C">
        <w:rPr>
          <w:rFonts w:ascii="Arial" w:hAnsi="Arial" w:cs="Arial"/>
          <w:sz w:val="22"/>
          <w:szCs w:val="22"/>
        </w:rPr>
        <w:t xml:space="preserve">yüzde </w:t>
      </w:r>
      <w:r w:rsidR="00DA7574">
        <w:rPr>
          <w:rFonts w:ascii="Arial" w:hAnsi="Arial" w:cs="Arial"/>
          <w:sz w:val="22"/>
          <w:szCs w:val="22"/>
        </w:rPr>
        <w:t>1,2</w:t>
      </w:r>
      <w:r w:rsidR="008C6307" w:rsidRPr="00D22F7C">
        <w:rPr>
          <w:rFonts w:ascii="Arial" w:hAnsi="Arial" w:cs="Arial"/>
          <w:sz w:val="22"/>
          <w:szCs w:val="22"/>
        </w:rPr>
        <w:t>’</w:t>
      </w:r>
      <w:r w:rsidR="00DA7574">
        <w:rPr>
          <w:rFonts w:ascii="Arial" w:hAnsi="Arial" w:cs="Arial"/>
          <w:sz w:val="22"/>
          <w:szCs w:val="22"/>
        </w:rPr>
        <w:t>y</w:t>
      </w:r>
      <w:r w:rsidR="008C6307" w:rsidRPr="00D22F7C">
        <w:rPr>
          <w:rFonts w:ascii="Arial" w:hAnsi="Arial" w:cs="Arial"/>
          <w:sz w:val="22"/>
          <w:szCs w:val="22"/>
        </w:rPr>
        <w:t>e</w:t>
      </w:r>
      <w:r w:rsidR="00A51C3C" w:rsidRPr="00D22F7C">
        <w:rPr>
          <w:rFonts w:ascii="Arial" w:hAnsi="Arial" w:cs="Arial"/>
          <w:sz w:val="22"/>
          <w:szCs w:val="22"/>
        </w:rPr>
        <w:t xml:space="preserve"> gerilemiştir</w:t>
      </w:r>
      <w:r w:rsidRPr="00D22F7C">
        <w:rPr>
          <w:rFonts w:ascii="Arial" w:hAnsi="Arial" w:cs="Arial"/>
          <w:sz w:val="22"/>
          <w:szCs w:val="22"/>
        </w:rPr>
        <w:t>.</w:t>
      </w:r>
      <w:r w:rsidR="00F04FB0" w:rsidRPr="00D22F7C">
        <w:rPr>
          <w:rFonts w:ascii="Arial" w:hAnsi="Arial" w:cs="Arial"/>
          <w:sz w:val="22"/>
          <w:szCs w:val="22"/>
        </w:rPr>
        <w:t xml:space="preserve"> </w:t>
      </w:r>
    </w:p>
    <w:p w:rsidR="004D4232" w:rsidRPr="00D22F7C" w:rsidRDefault="004D4232" w:rsidP="00CC3FDF">
      <w:pPr>
        <w:jc w:val="both"/>
        <w:rPr>
          <w:rFonts w:ascii="Arial" w:hAnsi="Arial" w:cs="Arial"/>
          <w:sz w:val="22"/>
          <w:szCs w:val="22"/>
        </w:rPr>
      </w:pPr>
    </w:p>
    <w:p w:rsidR="00E73F9A" w:rsidRPr="00D22F7C" w:rsidRDefault="00E73F9A" w:rsidP="00E73F9A">
      <w:pPr>
        <w:jc w:val="both"/>
        <w:rPr>
          <w:rFonts w:ascii="Arial" w:hAnsi="Arial" w:cs="Arial"/>
          <w:sz w:val="22"/>
          <w:szCs w:val="22"/>
        </w:rPr>
      </w:pPr>
      <w:r w:rsidRPr="00D22F7C">
        <w:rPr>
          <w:rFonts w:ascii="Arial" w:hAnsi="Arial" w:cs="Arial"/>
          <w:sz w:val="22"/>
          <w:szCs w:val="22"/>
        </w:rPr>
        <w:t xml:space="preserve">Yabancı para net genel pozisyonu </w:t>
      </w:r>
      <w:r w:rsidR="00E95759" w:rsidRPr="00D22F7C">
        <w:rPr>
          <w:rFonts w:ascii="Arial" w:hAnsi="Arial" w:cs="Arial"/>
          <w:sz w:val="22"/>
          <w:szCs w:val="22"/>
        </w:rPr>
        <w:t>523</w:t>
      </w:r>
      <w:r w:rsidRPr="00D22F7C">
        <w:rPr>
          <w:rFonts w:ascii="Arial" w:hAnsi="Arial" w:cs="Arial"/>
          <w:sz w:val="22"/>
          <w:szCs w:val="22"/>
        </w:rPr>
        <w:t xml:space="preserve"> milyon dolar </w:t>
      </w:r>
      <w:r w:rsidR="0085294D" w:rsidRPr="00D22F7C">
        <w:rPr>
          <w:rFonts w:ascii="Arial" w:hAnsi="Arial" w:cs="Arial"/>
          <w:sz w:val="22"/>
          <w:szCs w:val="22"/>
        </w:rPr>
        <w:t>açık</w:t>
      </w:r>
      <w:r w:rsidRPr="00D22F7C">
        <w:rPr>
          <w:rFonts w:ascii="Arial" w:hAnsi="Arial" w:cs="Arial"/>
          <w:sz w:val="22"/>
          <w:szCs w:val="22"/>
        </w:rPr>
        <w:t xml:space="preserve"> vermiştir. YP aktiflerin TL karşılığının toplam aktifler içindeki payı </w:t>
      </w:r>
      <w:r w:rsidR="00BC6200" w:rsidRPr="00D22F7C">
        <w:rPr>
          <w:rFonts w:ascii="Arial" w:hAnsi="Arial" w:cs="Arial"/>
          <w:sz w:val="22"/>
          <w:szCs w:val="22"/>
        </w:rPr>
        <w:t>Eylül</w:t>
      </w:r>
      <w:r w:rsidR="0011286C" w:rsidRPr="00D22F7C">
        <w:rPr>
          <w:rFonts w:ascii="Arial" w:hAnsi="Arial" w:cs="Arial"/>
          <w:sz w:val="22"/>
          <w:szCs w:val="22"/>
        </w:rPr>
        <w:t xml:space="preserve"> 2010</w:t>
      </w:r>
      <w:r w:rsidRPr="00D22F7C">
        <w:rPr>
          <w:rFonts w:ascii="Arial" w:hAnsi="Arial" w:cs="Arial"/>
          <w:sz w:val="22"/>
          <w:szCs w:val="22"/>
        </w:rPr>
        <w:t xml:space="preserve">’a </w:t>
      </w:r>
      <w:r w:rsidR="0011286C" w:rsidRPr="00D22F7C">
        <w:rPr>
          <w:rFonts w:ascii="Arial" w:hAnsi="Arial" w:cs="Arial"/>
          <w:sz w:val="22"/>
          <w:szCs w:val="22"/>
        </w:rPr>
        <w:t xml:space="preserve">göre </w:t>
      </w:r>
      <w:r w:rsidR="00BC6200" w:rsidRPr="00D22F7C">
        <w:rPr>
          <w:rFonts w:ascii="Arial" w:hAnsi="Arial" w:cs="Arial"/>
          <w:sz w:val="22"/>
          <w:szCs w:val="22"/>
        </w:rPr>
        <w:t xml:space="preserve">3 puan artarak </w:t>
      </w:r>
      <w:r w:rsidR="0085294D" w:rsidRPr="00D22F7C">
        <w:rPr>
          <w:rFonts w:ascii="Arial" w:hAnsi="Arial" w:cs="Arial"/>
          <w:sz w:val="22"/>
          <w:szCs w:val="22"/>
        </w:rPr>
        <w:t>yüzde 2</w:t>
      </w:r>
      <w:r w:rsidR="00B968B0">
        <w:rPr>
          <w:rFonts w:ascii="Arial" w:hAnsi="Arial" w:cs="Arial"/>
          <w:sz w:val="22"/>
          <w:szCs w:val="22"/>
        </w:rPr>
        <w:t>9 seviyesine yükselmiş</w:t>
      </w:r>
      <w:r w:rsidR="0085294D" w:rsidRPr="00D22F7C">
        <w:rPr>
          <w:rFonts w:ascii="Arial" w:hAnsi="Arial" w:cs="Arial"/>
          <w:sz w:val="22"/>
          <w:szCs w:val="22"/>
        </w:rPr>
        <w:t xml:space="preserve"> ve </w:t>
      </w:r>
      <w:r w:rsidRPr="00D22F7C">
        <w:rPr>
          <w:rFonts w:ascii="Arial" w:hAnsi="Arial" w:cs="Arial"/>
          <w:sz w:val="22"/>
          <w:szCs w:val="22"/>
        </w:rPr>
        <w:t xml:space="preserve">YP </w:t>
      </w:r>
      <w:r w:rsidR="00CE34B7" w:rsidRPr="00D22F7C">
        <w:rPr>
          <w:rFonts w:ascii="Arial" w:hAnsi="Arial" w:cs="Arial"/>
          <w:sz w:val="22"/>
          <w:szCs w:val="22"/>
        </w:rPr>
        <w:t>pasiflerin</w:t>
      </w:r>
      <w:r w:rsidRPr="00D22F7C">
        <w:rPr>
          <w:rFonts w:ascii="Arial" w:hAnsi="Arial" w:cs="Arial"/>
          <w:sz w:val="22"/>
          <w:szCs w:val="22"/>
        </w:rPr>
        <w:t xml:space="preserve"> TL karşılığının toplam pasifler içindeki payı ise </w:t>
      </w:r>
      <w:r w:rsidR="00BC6200" w:rsidRPr="00D22F7C">
        <w:rPr>
          <w:rFonts w:ascii="Arial" w:hAnsi="Arial" w:cs="Arial"/>
          <w:sz w:val="22"/>
          <w:szCs w:val="22"/>
        </w:rPr>
        <w:t>4 puan artarak yüzde 35</w:t>
      </w:r>
      <w:r w:rsidRPr="00D22F7C">
        <w:rPr>
          <w:rFonts w:ascii="Arial" w:hAnsi="Arial" w:cs="Arial"/>
          <w:sz w:val="22"/>
          <w:szCs w:val="22"/>
        </w:rPr>
        <w:t xml:space="preserve"> düzeyinde gerçekleşmiştir. </w:t>
      </w:r>
    </w:p>
    <w:p w:rsidR="00E73F9A" w:rsidRPr="00D22F7C" w:rsidRDefault="00E73F9A" w:rsidP="00E73F9A">
      <w:pPr>
        <w:jc w:val="both"/>
        <w:rPr>
          <w:rFonts w:ascii="Arial" w:hAnsi="Arial" w:cs="Arial"/>
          <w:sz w:val="22"/>
          <w:szCs w:val="22"/>
        </w:rPr>
      </w:pPr>
    </w:p>
    <w:p w:rsidR="00E73F9A" w:rsidRPr="00D22F7C" w:rsidRDefault="00FF5B16" w:rsidP="00E73F9A">
      <w:pPr>
        <w:jc w:val="both"/>
        <w:rPr>
          <w:rFonts w:ascii="Arial" w:hAnsi="Arial" w:cs="Arial"/>
          <w:sz w:val="22"/>
          <w:szCs w:val="22"/>
        </w:rPr>
      </w:pPr>
      <w:r w:rsidRPr="00D22F7C">
        <w:rPr>
          <w:rFonts w:ascii="Arial" w:hAnsi="Arial" w:cs="Arial"/>
          <w:sz w:val="22"/>
          <w:szCs w:val="22"/>
        </w:rPr>
        <w:t>Toplam aktiflerin yüzde 46</w:t>
      </w:r>
      <w:r w:rsidR="006E6098" w:rsidRPr="00D22F7C">
        <w:rPr>
          <w:rFonts w:ascii="Arial" w:hAnsi="Arial" w:cs="Arial"/>
          <w:sz w:val="22"/>
          <w:szCs w:val="22"/>
        </w:rPr>
        <w:t>’</w:t>
      </w:r>
      <w:r w:rsidRPr="00D22F7C">
        <w:rPr>
          <w:rFonts w:ascii="Arial" w:hAnsi="Arial" w:cs="Arial"/>
          <w:sz w:val="22"/>
          <w:szCs w:val="22"/>
        </w:rPr>
        <w:t>sı</w:t>
      </w:r>
      <w:r w:rsidR="00BB4E9C" w:rsidRPr="00D22F7C">
        <w:rPr>
          <w:rFonts w:ascii="Arial" w:hAnsi="Arial" w:cs="Arial"/>
          <w:sz w:val="22"/>
          <w:szCs w:val="22"/>
        </w:rPr>
        <w:t>, kaynakların ise yüzde 80’i</w:t>
      </w:r>
      <w:r w:rsidR="00E73F9A" w:rsidRPr="00D22F7C">
        <w:rPr>
          <w:rFonts w:ascii="Arial" w:hAnsi="Arial" w:cs="Arial"/>
          <w:sz w:val="22"/>
          <w:szCs w:val="22"/>
        </w:rPr>
        <w:t xml:space="preserve"> 1 yıldan daha kısa vadelidir. </w:t>
      </w:r>
      <w:r w:rsidR="00AE1D6D" w:rsidRPr="00D22F7C">
        <w:rPr>
          <w:rFonts w:ascii="Arial" w:hAnsi="Arial" w:cs="Arial"/>
          <w:sz w:val="22"/>
          <w:szCs w:val="22"/>
        </w:rPr>
        <w:t xml:space="preserve">Toplam aktiflerin ve pasiflerin ortalama vade yapısında </w:t>
      </w:r>
      <w:r w:rsidR="00095DF9" w:rsidRPr="00D22F7C">
        <w:rPr>
          <w:rFonts w:ascii="Arial" w:hAnsi="Arial" w:cs="Arial"/>
          <w:sz w:val="22"/>
          <w:szCs w:val="22"/>
        </w:rPr>
        <w:t>Haziran</w:t>
      </w:r>
      <w:r w:rsidR="00700D37" w:rsidRPr="00D22F7C">
        <w:rPr>
          <w:rFonts w:ascii="Arial" w:hAnsi="Arial" w:cs="Arial"/>
          <w:sz w:val="22"/>
          <w:szCs w:val="22"/>
        </w:rPr>
        <w:t xml:space="preserve"> 2011</w:t>
      </w:r>
      <w:r w:rsidR="00AE1D6D" w:rsidRPr="00D22F7C">
        <w:rPr>
          <w:rFonts w:ascii="Arial" w:hAnsi="Arial" w:cs="Arial"/>
          <w:sz w:val="22"/>
          <w:szCs w:val="22"/>
        </w:rPr>
        <w:t>’</w:t>
      </w:r>
      <w:r w:rsidR="00700D37" w:rsidRPr="00D22F7C">
        <w:rPr>
          <w:rFonts w:ascii="Arial" w:hAnsi="Arial" w:cs="Arial"/>
          <w:sz w:val="22"/>
          <w:szCs w:val="22"/>
        </w:rPr>
        <w:t>e</w:t>
      </w:r>
      <w:r w:rsidR="00AE1D6D" w:rsidRPr="00D22F7C">
        <w:rPr>
          <w:rFonts w:ascii="Arial" w:hAnsi="Arial" w:cs="Arial"/>
          <w:sz w:val="22"/>
          <w:szCs w:val="22"/>
        </w:rPr>
        <w:t xml:space="preserve"> göre önemli bir değişiklik olmamıştır.</w:t>
      </w:r>
    </w:p>
    <w:p w:rsidR="00940D54" w:rsidRPr="00D22F7C" w:rsidRDefault="00940D54" w:rsidP="00940D54">
      <w:pPr>
        <w:jc w:val="both"/>
        <w:rPr>
          <w:rFonts w:ascii="Arial" w:hAnsi="Arial" w:cs="Arial"/>
          <w:sz w:val="22"/>
          <w:szCs w:val="22"/>
        </w:rPr>
      </w:pPr>
    </w:p>
    <w:p w:rsidR="00940D54" w:rsidRPr="00D22F7C" w:rsidRDefault="00940D54" w:rsidP="00940D54">
      <w:pPr>
        <w:jc w:val="both"/>
        <w:rPr>
          <w:rFonts w:ascii="Arial" w:hAnsi="Arial" w:cs="Arial"/>
          <w:sz w:val="22"/>
          <w:szCs w:val="22"/>
        </w:rPr>
      </w:pPr>
      <w:r w:rsidRPr="00D22F7C">
        <w:rPr>
          <w:rFonts w:ascii="Arial" w:hAnsi="Arial" w:cs="Arial"/>
          <w:sz w:val="22"/>
          <w:szCs w:val="22"/>
        </w:rPr>
        <w:t>T</w:t>
      </w:r>
      <w:r w:rsidR="007E1832" w:rsidRPr="00D22F7C">
        <w:rPr>
          <w:rFonts w:ascii="Arial" w:hAnsi="Arial" w:cs="Arial"/>
          <w:sz w:val="22"/>
          <w:szCs w:val="22"/>
        </w:rPr>
        <w:t>o</w:t>
      </w:r>
      <w:r w:rsidR="00FF5B16" w:rsidRPr="00D22F7C">
        <w:rPr>
          <w:rFonts w:ascii="Arial" w:hAnsi="Arial" w:cs="Arial"/>
          <w:sz w:val="22"/>
          <w:szCs w:val="22"/>
        </w:rPr>
        <w:t>plam kredilerin yüzde 1,4</w:t>
      </w:r>
      <w:r w:rsidR="00CD6AF6" w:rsidRPr="00D22F7C">
        <w:rPr>
          <w:rFonts w:ascii="Arial" w:hAnsi="Arial" w:cs="Arial"/>
          <w:sz w:val="22"/>
          <w:szCs w:val="22"/>
        </w:rPr>
        <w:t>’</w:t>
      </w:r>
      <w:r w:rsidR="00FF5B16" w:rsidRPr="00D22F7C">
        <w:rPr>
          <w:rFonts w:ascii="Arial" w:hAnsi="Arial" w:cs="Arial"/>
          <w:sz w:val="22"/>
          <w:szCs w:val="22"/>
        </w:rPr>
        <w:t>ü</w:t>
      </w:r>
      <w:r w:rsidR="00B916D3" w:rsidRPr="00D22F7C">
        <w:rPr>
          <w:rFonts w:ascii="Arial" w:hAnsi="Arial" w:cs="Arial"/>
          <w:sz w:val="22"/>
          <w:szCs w:val="22"/>
        </w:rPr>
        <w:t xml:space="preserve"> (9,2</w:t>
      </w:r>
      <w:r w:rsidRPr="00D22F7C">
        <w:rPr>
          <w:rFonts w:ascii="Arial" w:hAnsi="Arial" w:cs="Arial"/>
          <w:sz w:val="22"/>
          <w:szCs w:val="22"/>
        </w:rPr>
        <w:t xml:space="preserve"> milyar</w:t>
      </w:r>
      <w:r w:rsidR="00CD6AF6" w:rsidRPr="00D22F7C">
        <w:rPr>
          <w:rFonts w:ascii="Arial" w:hAnsi="Arial" w:cs="Arial"/>
          <w:sz w:val="22"/>
          <w:szCs w:val="22"/>
        </w:rPr>
        <w:t xml:space="preserve"> T</w:t>
      </w:r>
      <w:r w:rsidR="00FF5B16" w:rsidRPr="00D22F7C">
        <w:rPr>
          <w:rFonts w:ascii="Arial" w:hAnsi="Arial" w:cs="Arial"/>
          <w:sz w:val="22"/>
          <w:szCs w:val="22"/>
        </w:rPr>
        <w:t>L) ve toplam mevduatın yüzde 4</w:t>
      </w:r>
      <w:r w:rsidR="00B916D3" w:rsidRPr="00D22F7C">
        <w:rPr>
          <w:rFonts w:ascii="Arial" w:hAnsi="Arial" w:cs="Arial"/>
          <w:sz w:val="22"/>
          <w:szCs w:val="22"/>
        </w:rPr>
        <w:t>,4</w:t>
      </w:r>
      <w:r w:rsidR="00BA5F04" w:rsidRPr="00D22F7C">
        <w:rPr>
          <w:rFonts w:ascii="Arial" w:hAnsi="Arial" w:cs="Arial"/>
          <w:sz w:val="22"/>
          <w:szCs w:val="22"/>
        </w:rPr>
        <w:t>’</w:t>
      </w:r>
      <w:r w:rsidR="00FF5B16" w:rsidRPr="00D22F7C">
        <w:rPr>
          <w:rFonts w:ascii="Arial" w:hAnsi="Arial" w:cs="Arial"/>
          <w:sz w:val="22"/>
          <w:szCs w:val="22"/>
        </w:rPr>
        <w:t>ü</w:t>
      </w:r>
      <w:r w:rsidR="00B916D3" w:rsidRPr="00D22F7C">
        <w:rPr>
          <w:rFonts w:ascii="Arial" w:hAnsi="Arial" w:cs="Arial"/>
          <w:sz w:val="22"/>
          <w:szCs w:val="22"/>
        </w:rPr>
        <w:t xml:space="preserve"> (30</w:t>
      </w:r>
      <w:r w:rsidR="00FF5B16" w:rsidRPr="00D22F7C">
        <w:rPr>
          <w:rFonts w:ascii="Arial" w:hAnsi="Arial" w:cs="Arial"/>
          <w:sz w:val="22"/>
          <w:szCs w:val="22"/>
        </w:rPr>
        <w:t>,2</w:t>
      </w:r>
      <w:r w:rsidRPr="00D22F7C">
        <w:rPr>
          <w:rFonts w:ascii="Arial" w:hAnsi="Arial" w:cs="Arial"/>
          <w:sz w:val="22"/>
          <w:szCs w:val="22"/>
        </w:rPr>
        <w:t xml:space="preserve"> milyar TL) bankaların dahil oldukları risk grubuna aittir. Bankaların dahil oldukları risk grub</w:t>
      </w:r>
      <w:r w:rsidR="007E1832" w:rsidRPr="00D22F7C">
        <w:rPr>
          <w:rFonts w:ascii="Arial" w:hAnsi="Arial" w:cs="Arial"/>
          <w:sz w:val="22"/>
          <w:szCs w:val="22"/>
        </w:rPr>
        <w:t>u</w:t>
      </w:r>
      <w:r w:rsidR="00CD6AF6" w:rsidRPr="00D22F7C">
        <w:rPr>
          <w:rFonts w:ascii="Arial" w:hAnsi="Arial" w:cs="Arial"/>
          <w:sz w:val="22"/>
          <w:szCs w:val="22"/>
        </w:rPr>
        <w:t xml:space="preserve">na ait </w:t>
      </w:r>
      <w:r w:rsidR="00C175C8" w:rsidRPr="00D22F7C">
        <w:rPr>
          <w:rFonts w:ascii="Arial" w:hAnsi="Arial" w:cs="Arial"/>
          <w:sz w:val="22"/>
          <w:szCs w:val="22"/>
        </w:rPr>
        <w:t>net riskleri negatif (-21</w:t>
      </w:r>
      <w:r w:rsidRPr="00D22F7C">
        <w:rPr>
          <w:rFonts w:ascii="Arial" w:hAnsi="Arial" w:cs="Arial"/>
          <w:sz w:val="22"/>
          <w:szCs w:val="22"/>
        </w:rPr>
        <w:t xml:space="preserve"> milyar TL) olmuştur.</w:t>
      </w:r>
    </w:p>
    <w:p w:rsidR="00D22F7C" w:rsidRPr="00D22F7C" w:rsidRDefault="00D22F7C" w:rsidP="00CC3FDF">
      <w:pPr>
        <w:jc w:val="both"/>
        <w:rPr>
          <w:rFonts w:ascii="Arial" w:hAnsi="Arial" w:cs="Arial"/>
          <w:b/>
          <w:sz w:val="22"/>
          <w:szCs w:val="22"/>
        </w:rPr>
      </w:pPr>
    </w:p>
    <w:p w:rsidR="00D62F1E" w:rsidRPr="00D22F7C" w:rsidRDefault="005E5114" w:rsidP="00CC3FDF">
      <w:pPr>
        <w:jc w:val="both"/>
        <w:rPr>
          <w:rFonts w:ascii="Arial" w:hAnsi="Arial" w:cs="Arial"/>
          <w:b/>
          <w:sz w:val="22"/>
          <w:szCs w:val="22"/>
        </w:rPr>
      </w:pPr>
      <w:r w:rsidRPr="00D22F7C">
        <w:rPr>
          <w:rFonts w:ascii="Arial" w:hAnsi="Arial" w:cs="Arial"/>
          <w:b/>
          <w:sz w:val="22"/>
          <w:szCs w:val="22"/>
        </w:rPr>
        <w:t>2.</w:t>
      </w:r>
      <w:r w:rsidR="004D4232" w:rsidRPr="00D22F7C">
        <w:rPr>
          <w:rFonts w:ascii="Arial" w:hAnsi="Arial" w:cs="Arial"/>
          <w:b/>
          <w:sz w:val="22"/>
          <w:szCs w:val="22"/>
        </w:rPr>
        <w:t xml:space="preserve"> </w:t>
      </w:r>
      <w:r w:rsidR="001450BA" w:rsidRPr="00D22F7C">
        <w:rPr>
          <w:rFonts w:ascii="Arial" w:hAnsi="Arial" w:cs="Arial"/>
          <w:b/>
          <w:sz w:val="22"/>
          <w:szCs w:val="22"/>
        </w:rPr>
        <w:t xml:space="preserve">Genel bilgiler </w:t>
      </w:r>
    </w:p>
    <w:p w:rsidR="004D4232" w:rsidRPr="00D22F7C" w:rsidRDefault="004D4232" w:rsidP="00CC3FDF">
      <w:pPr>
        <w:jc w:val="both"/>
        <w:rPr>
          <w:rFonts w:ascii="Arial" w:hAnsi="Arial" w:cs="Arial"/>
          <w:sz w:val="22"/>
          <w:szCs w:val="22"/>
        </w:rPr>
      </w:pPr>
    </w:p>
    <w:p w:rsidR="00E73F9A" w:rsidRPr="00D22F7C" w:rsidRDefault="00FF1F68" w:rsidP="00E73F9A">
      <w:pPr>
        <w:jc w:val="both"/>
        <w:rPr>
          <w:rFonts w:ascii="Arial" w:hAnsi="Arial" w:cs="Arial"/>
          <w:sz w:val="22"/>
          <w:szCs w:val="22"/>
        </w:rPr>
      </w:pPr>
      <w:r w:rsidRPr="00D22F7C">
        <w:rPr>
          <w:rFonts w:ascii="Arial" w:hAnsi="Arial" w:cs="Arial"/>
          <w:sz w:val="22"/>
          <w:szCs w:val="22"/>
        </w:rPr>
        <w:t>Eylül</w:t>
      </w:r>
      <w:r w:rsidR="000E02E7" w:rsidRPr="00D22F7C">
        <w:rPr>
          <w:rFonts w:ascii="Arial" w:hAnsi="Arial" w:cs="Arial"/>
          <w:sz w:val="22"/>
          <w:szCs w:val="22"/>
        </w:rPr>
        <w:t xml:space="preserve"> 2011</w:t>
      </w:r>
      <w:r w:rsidR="00E73F9A" w:rsidRPr="00D22F7C">
        <w:rPr>
          <w:rFonts w:ascii="Arial" w:hAnsi="Arial" w:cs="Arial"/>
          <w:sz w:val="22"/>
          <w:szCs w:val="22"/>
        </w:rPr>
        <w:t xml:space="preserve"> itibariyle f</w:t>
      </w:r>
      <w:r w:rsidR="000E02E7" w:rsidRPr="00D22F7C">
        <w:rPr>
          <w:rFonts w:ascii="Arial" w:hAnsi="Arial" w:cs="Arial"/>
          <w:sz w:val="22"/>
          <w:szCs w:val="22"/>
        </w:rPr>
        <w:t xml:space="preserve">aaliyet gösteren </w:t>
      </w:r>
      <w:r w:rsidR="00C35DF8">
        <w:rPr>
          <w:rFonts w:ascii="Arial" w:hAnsi="Arial" w:cs="Arial"/>
          <w:sz w:val="22"/>
          <w:szCs w:val="22"/>
        </w:rPr>
        <w:t xml:space="preserve">mevduat bankalarının </w:t>
      </w:r>
      <w:r w:rsidR="000E02E7" w:rsidRPr="00D22F7C">
        <w:rPr>
          <w:rFonts w:ascii="Arial" w:hAnsi="Arial" w:cs="Arial"/>
          <w:sz w:val="22"/>
          <w:szCs w:val="22"/>
        </w:rPr>
        <w:t xml:space="preserve">sayısı </w:t>
      </w:r>
      <w:r w:rsidR="00C35DF8">
        <w:rPr>
          <w:rFonts w:ascii="Arial" w:hAnsi="Arial" w:cs="Arial"/>
          <w:sz w:val="22"/>
          <w:szCs w:val="22"/>
        </w:rPr>
        <w:t>33, kalkınma ve yatırım bankalarının sayısı ise 11</w:t>
      </w:r>
      <w:r w:rsidR="00E73F9A" w:rsidRPr="00D22F7C">
        <w:rPr>
          <w:rFonts w:ascii="Arial" w:hAnsi="Arial" w:cs="Arial"/>
          <w:sz w:val="22"/>
          <w:szCs w:val="22"/>
        </w:rPr>
        <w:t xml:space="preserve"> tanedir. </w:t>
      </w:r>
      <w:r w:rsidR="00DA7574">
        <w:rPr>
          <w:rFonts w:ascii="Arial" w:hAnsi="Arial" w:cs="Arial"/>
          <w:sz w:val="22"/>
          <w:szCs w:val="22"/>
        </w:rPr>
        <w:t>Bu bankaların, Eylül</w:t>
      </w:r>
      <w:r w:rsidR="00DA3691" w:rsidRPr="00D22F7C">
        <w:rPr>
          <w:rFonts w:ascii="Arial" w:hAnsi="Arial" w:cs="Arial"/>
          <w:sz w:val="22"/>
          <w:szCs w:val="22"/>
        </w:rPr>
        <w:t xml:space="preserve"> 201</w:t>
      </w:r>
      <w:r w:rsidR="00DA7574">
        <w:rPr>
          <w:rFonts w:ascii="Arial" w:hAnsi="Arial" w:cs="Arial"/>
          <w:sz w:val="22"/>
          <w:szCs w:val="22"/>
        </w:rPr>
        <w:t>0</w:t>
      </w:r>
      <w:r w:rsidR="00E73F9A" w:rsidRPr="00D22F7C">
        <w:rPr>
          <w:rFonts w:ascii="Arial" w:hAnsi="Arial" w:cs="Arial"/>
          <w:sz w:val="22"/>
          <w:szCs w:val="22"/>
        </w:rPr>
        <w:t xml:space="preserve"> dönemine göre,</w:t>
      </w:r>
      <w:r w:rsidR="00006D24" w:rsidRPr="00D22F7C">
        <w:rPr>
          <w:rFonts w:ascii="Arial" w:hAnsi="Arial" w:cs="Arial"/>
          <w:sz w:val="22"/>
          <w:szCs w:val="22"/>
        </w:rPr>
        <w:t xml:space="preserve"> </w:t>
      </w:r>
      <w:r w:rsidR="00E73F9A" w:rsidRPr="00D22F7C">
        <w:rPr>
          <w:rFonts w:ascii="Arial" w:hAnsi="Arial" w:cs="Arial"/>
          <w:sz w:val="22"/>
          <w:szCs w:val="22"/>
        </w:rPr>
        <w:t xml:space="preserve">şube sayısı </w:t>
      </w:r>
      <w:r w:rsidR="00DA7574">
        <w:rPr>
          <w:rFonts w:ascii="Arial" w:hAnsi="Arial" w:cs="Arial"/>
          <w:sz w:val="22"/>
          <w:szCs w:val="22"/>
        </w:rPr>
        <w:t>503</w:t>
      </w:r>
      <w:r w:rsidR="00E341E1" w:rsidRPr="00D22F7C">
        <w:rPr>
          <w:rFonts w:ascii="Arial" w:hAnsi="Arial" w:cs="Arial"/>
          <w:sz w:val="22"/>
          <w:szCs w:val="22"/>
        </w:rPr>
        <w:t xml:space="preserve"> adet artar</w:t>
      </w:r>
      <w:r w:rsidRPr="00D22F7C">
        <w:rPr>
          <w:rFonts w:ascii="Arial" w:hAnsi="Arial" w:cs="Arial"/>
          <w:sz w:val="22"/>
          <w:szCs w:val="22"/>
        </w:rPr>
        <w:t>ak 9.841</w:t>
      </w:r>
      <w:r w:rsidR="000445E2" w:rsidRPr="00D22F7C">
        <w:rPr>
          <w:rFonts w:ascii="Arial" w:hAnsi="Arial" w:cs="Arial"/>
          <w:sz w:val="22"/>
          <w:szCs w:val="22"/>
        </w:rPr>
        <w:t>’e</w:t>
      </w:r>
      <w:r w:rsidR="00E73F9A" w:rsidRPr="00D22F7C">
        <w:rPr>
          <w:rFonts w:ascii="Arial" w:hAnsi="Arial" w:cs="Arial"/>
          <w:sz w:val="22"/>
          <w:szCs w:val="22"/>
        </w:rPr>
        <w:t xml:space="preserve"> yükselmiştir. Personel sayısı</w:t>
      </w:r>
      <w:r w:rsidR="00924635" w:rsidRPr="00D22F7C">
        <w:rPr>
          <w:rFonts w:ascii="Arial" w:hAnsi="Arial" w:cs="Arial"/>
          <w:sz w:val="22"/>
          <w:szCs w:val="22"/>
        </w:rPr>
        <w:t xml:space="preserve"> </w:t>
      </w:r>
      <w:r w:rsidR="00DA7574">
        <w:rPr>
          <w:rFonts w:ascii="Arial" w:hAnsi="Arial" w:cs="Arial"/>
          <w:sz w:val="22"/>
          <w:szCs w:val="22"/>
        </w:rPr>
        <w:t xml:space="preserve">Eylül </w:t>
      </w:r>
      <w:r w:rsidR="00614B29" w:rsidRPr="00D22F7C">
        <w:rPr>
          <w:rFonts w:ascii="Arial" w:hAnsi="Arial" w:cs="Arial"/>
          <w:sz w:val="22"/>
          <w:szCs w:val="22"/>
        </w:rPr>
        <w:t>201</w:t>
      </w:r>
      <w:r w:rsidR="00DA7574">
        <w:rPr>
          <w:rFonts w:ascii="Arial" w:hAnsi="Arial" w:cs="Arial"/>
          <w:sz w:val="22"/>
          <w:szCs w:val="22"/>
        </w:rPr>
        <w:t>0</w:t>
      </w:r>
      <w:r w:rsidR="00924635" w:rsidRPr="00D22F7C">
        <w:rPr>
          <w:rFonts w:ascii="Arial" w:hAnsi="Arial" w:cs="Arial"/>
          <w:sz w:val="22"/>
          <w:szCs w:val="22"/>
        </w:rPr>
        <w:t>’</w:t>
      </w:r>
      <w:r w:rsidR="00DA7574">
        <w:rPr>
          <w:rFonts w:ascii="Arial" w:hAnsi="Arial" w:cs="Arial"/>
          <w:sz w:val="22"/>
          <w:szCs w:val="22"/>
        </w:rPr>
        <w:t>a</w:t>
      </w:r>
      <w:r w:rsidR="00924635" w:rsidRPr="00D22F7C">
        <w:rPr>
          <w:rFonts w:ascii="Arial" w:hAnsi="Arial" w:cs="Arial"/>
          <w:sz w:val="22"/>
          <w:szCs w:val="22"/>
        </w:rPr>
        <w:t xml:space="preserve"> göre </w:t>
      </w:r>
      <w:r w:rsidR="00DA7574">
        <w:rPr>
          <w:rFonts w:ascii="Arial" w:hAnsi="Arial" w:cs="Arial"/>
          <w:sz w:val="22"/>
          <w:szCs w:val="22"/>
        </w:rPr>
        <w:t>3908</w:t>
      </w:r>
      <w:r w:rsidRPr="00D22F7C">
        <w:rPr>
          <w:rFonts w:ascii="Arial" w:hAnsi="Arial" w:cs="Arial"/>
          <w:sz w:val="22"/>
          <w:szCs w:val="22"/>
        </w:rPr>
        <w:t xml:space="preserve"> </w:t>
      </w:r>
      <w:r w:rsidR="00DA7574">
        <w:rPr>
          <w:rFonts w:ascii="Arial" w:hAnsi="Arial" w:cs="Arial"/>
          <w:sz w:val="22"/>
          <w:szCs w:val="22"/>
        </w:rPr>
        <w:t>kişi artarak</w:t>
      </w:r>
      <w:r w:rsidR="009D0CDA" w:rsidRPr="00D22F7C">
        <w:rPr>
          <w:rFonts w:ascii="Arial" w:hAnsi="Arial" w:cs="Arial"/>
          <w:sz w:val="22"/>
          <w:szCs w:val="22"/>
        </w:rPr>
        <w:t xml:space="preserve"> </w:t>
      </w:r>
      <w:r w:rsidRPr="00D22F7C">
        <w:rPr>
          <w:rFonts w:ascii="Arial" w:hAnsi="Arial" w:cs="Arial"/>
          <w:sz w:val="22"/>
          <w:szCs w:val="22"/>
        </w:rPr>
        <w:t>181.277</w:t>
      </w:r>
      <w:r w:rsidR="00E341E1" w:rsidRPr="00D22F7C">
        <w:rPr>
          <w:rFonts w:ascii="Arial" w:hAnsi="Arial" w:cs="Arial"/>
          <w:sz w:val="22"/>
          <w:szCs w:val="22"/>
        </w:rPr>
        <w:t>’</w:t>
      </w:r>
      <w:r w:rsidRPr="00D22F7C">
        <w:rPr>
          <w:rFonts w:ascii="Arial" w:hAnsi="Arial" w:cs="Arial"/>
          <w:sz w:val="22"/>
          <w:szCs w:val="22"/>
        </w:rPr>
        <w:t>y</w:t>
      </w:r>
      <w:r w:rsidR="00E341E1" w:rsidRPr="00D22F7C">
        <w:rPr>
          <w:rFonts w:ascii="Arial" w:hAnsi="Arial" w:cs="Arial"/>
          <w:sz w:val="22"/>
          <w:szCs w:val="22"/>
        </w:rPr>
        <w:t>e</w:t>
      </w:r>
      <w:r w:rsidR="00DA7574">
        <w:rPr>
          <w:rFonts w:ascii="Arial" w:hAnsi="Arial" w:cs="Arial"/>
          <w:sz w:val="22"/>
          <w:szCs w:val="22"/>
        </w:rPr>
        <w:t xml:space="preserve"> ulaşmıştır</w:t>
      </w:r>
      <w:r w:rsidR="00924635" w:rsidRPr="00D22F7C">
        <w:rPr>
          <w:rFonts w:ascii="Arial" w:hAnsi="Arial" w:cs="Arial"/>
          <w:sz w:val="22"/>
          <w:szCs w:val="22"/>
        </w:rPr>
        <w:t>.</w:t>
      </w:r>
    </w:p>
    <w:p w:rsidR="00E73F9A" w:rsidRPr="00D22F7C" w:rsidRDefault="00E73F9A" w:rsidP="00CC3FDF">
      <w:pPr>
        <w:jc w:val="both"/>
        <w:rPr>
          <w:rFonts w:ascii="Arial" w:hAnsi="Arial" w:cs="Arial"/>
          <w:sz w:val="22"/>
          <w:szCs w:val="22"/>
        </w:rPr>
      </w:pPr>
    </w:p>
    <w:p w:rsidR="009D0CDA" w:rsidRPr="0086063C" w:rsidRDefault="0086063C" w:rsidP="009D0CDA">
      <w:pPr>
        <w:jc w:val="both"/>
        <w:rPr>
          <w:rFonts w:ascii="Arial" w:hAnsi="Arial" w:cs="Arial"/>
          <w:color w:val="0000CC"/>
          <w:sz w:val="22"/>
          <w:szCs w:val="22"/>
        </w:rPr>
      </w:pPr>
      <w:r w:rsidRPr="00D22F7C">
        <w:rPr>
          <w:rFonts w:ascii="Arial" w:hAnsi="Arial" w:cs="Arial"/>
          <w:sz w:val="22"/>
          <w:szCs w:val="22"/>
        </w:rPr>
        <w:lastRenderedPageBreak/>
        <w:t xml:space="preserve">Eylül 2011 itibariyle, </w:t>
      </w:r>
      <w:r w:rsidR="004C7609" w:rsidRPr="00D22F7C">
        <w:rPr>
          <w:rFonts w:ascii="Arial" w:hAnsi="Arial" w:cs="Arial"/>
          <w:sz w:val="22"/>
          <w:szCs w:val="22"/>
        </w:rPr>
        <w:t xml:space="preserve"> </w:t>
      </w:r>
      <w:r w:rsidR="00DE35D9" w:rsidRPr="00D22F7C">
        <w:rPr>
          <w:rFonts w:ascii="Arial" w:hAnsi="Arial" w:cs="Arial"/>
          <w:sz w:val="22"/>
          <w:szCs w:val="22"/>
        </w:rPr>
        <w:t xml:space="preserve">ilk beş bankanın </w:t>
      </w:r>
      <w:r w:rsidR="00230002" w:rsidRPr="00D22F7C">
        <w:rPr>
          <w:rFonts w:ascii="Arial" w:hAnsi="Arial" w:cs="Arial"/>
          <w:sz w:val="22"/>
          <w:szCs w:val="22"/>
        </w:rPr>
        <w:t xml:space="preserve">toplam </w:t>
      </w:r>
      <w:r w:rsidR="00DE35D9" w:rsidRPr="00D22F7C">
        <w:rPr>
          <w:rFonts w:ascii="Arial" w:hAnsi="Arial" w:cs="Arial"/>
          <w:sz w:val="22"/>
          <w:szCs w:val="22"/>
        </w:rPr>
        <w:t>aktif</w:t>
      </w:r>
      <w:r w:rsidR="00230002" w:rsidRPr="00D22F7C">
        <w:rPr>
          <w:rFonts w:ascii="Arial" w:hAnsi="Arial" w:cs="Arial"/>
          <w:sz w:val="22"/>
          <w:szCs w:val="22"/>
        </w:rPr>
        <w:t xml:space="preserve">ler içindeki payı </w:t>
      </w:r>
      <w:r w:rsidR="00B968B0">
        <w:rPr>
          <w:rFonts w:ascii="Arial" w:hAnsi="Arial" w:cs="Arial"/>
          <w:sz w:val="22"/>
          <w:szCs w:val="22"/>
        </w:rPr>
        <w:t xml:space="preserve">Haziran </w:t>
      </w:r>
      <w:r w:rsidRPr="00D22F7C">
        <w:rPr>
          <w:rFonts w:ascii="Arial" w:hAnsi="Arial" w:cs="Arial"/>
          <w:sz w:val="22"/>
          <w:szCs w:val="22"/>
        </w:rPr>
        <w:t xml:space="preserve">2011’e göre </w:t>
      </w:r>
      <w:r w:rsidR="008258D7" w:rsidRPr="00D22F7C">
        <w:rPr>
          <w:rFonts w:ascii="Arial" w:hAnsi="Arial" w:cs="Arial"/>
          <w:sz w:val="22"/>
          <w:szCs w:val="22"/>
        </w:rPr>
        <w:t>değişmeyerek</w:t>
      </w:r>
      <w:r w:rsidR="00230002" w:rsidRPr="00D22F7C">
        <w:rPr>
          <w:rFonts w:ascii="Arial" w:hAnsi="Arial" w:cs="Arial"/>
          <w:sz w:val="22"/>
          <w:szCs w:val="22"/>
        </w:rPr>
        <w:t xml:space="preserve"> yüzde 62</w:t>
      </w:r>
      <w:r w:rsidR="00DE35D9" w:rsidRPr="00D22F7C">
        <w:rPr>
          <w:rFonts w:ascii="Arial" w:hAnsi="Arial" w:cs="Arial"/>
          <w:sz w:val="22"/>
          <w:szCs w:val="22"/>
        </w:rPr>
        <w:t xml:space="preserve">, mevduat içindeki payı </w:t>
      </w:r>
      <w:r w:rsidR="00230002" w:rsidRPr="00D22F7C">
        <w:rPr>
          <w:rFonts w:ascii="Arial" w:hAnsi="Arial" w:cs="Arial"/>
          <w:sz w:val="22"/>
          <w:szCs w:val="22"/>
        </w:rPr>
        <w:t xml:space="preserve">ise </w:t>
      </w:r>
      <w:r w:rsidR="00FF1F68" w:rsidRPr="00D22F7C">
        <w:rPr>
          <w:rFonts w:ascii="Arial" w:hAnsi="Arial" w:cs="Arial"/>
          <w:sz w:val="22"/>
          <w:szCs w:val="22"/>
        </w:rPr>
        <w:t>2</w:t>
      </w:r>
      <w:r w:rsidR="008258D7" w:rsidRPr="00D22F7C">
        <w:rPr>
          <w:rFonts w:ascii="Arial" w:hAnsi="Arial" w:cs="Arial"/>
          <w:sz w:val="22"/>
          <w:szCs w:val="22"/>
        </w:rPr>
        <w:t xml:space="preserve"> puan azalarak</w:t>
      </w:r>
      <w:r w:rsidR="00DE35D9" w:rsidRPr="00D22F7C">
        <w:rPr>
          <w:rFonts w:ascii="Arial" w:hAnsi="Arial" w:cs="Arial"/>
          <w:sz w:val="22"/>
          <w:szCs w:val="22"/>
        </w:rPr>
        <w:t xml:space="preserve"> yüzde 6</w:t>
      </w:r>
      <w:r w:rsidR="00FF1F68" w:rsidRPr="00D22F7C">
        <w:rPr>
          <w:rFonts w:ascii="Arial" w:hAnsi="Arial" w:cs="Arial"/>
          <w:sz w:val="22"/>
          <w:szCs w:val="22"/>
        </w:rPr>
        <w:t>3</w:t>
      </w:r>
      <w:r w:rsidR="00DE35D9" w:rsidRPr="00D22F7C">
        <w:rPr>
          <w:rFonts w:ascii="Arial" w:hAnsi="Arial" w:cs="Arial"/>
          <w:sz w:val="22"/>
          <w:szCs w:val="22"/>
        </w:rPr>
        <w:t xml:space="preserve"> ve </w:t>
      </w:r>
      <w:r w:rsidR="008258D7" w:rsidRPr="00D22F7C">
        <w:rPr>
          <w:rFonts w:ascii="Arial" w:hAnsi="Arial" w:cs="Arial"/>
          <w:sz w:val="22"/>
          <w:szCs w:val="22"/>
        </w:rPr>
        <w:t>kredi</w:t>
      </w:r>
      <w:r w:rsidR="007B2A46" w:rsidRPr="00D22F7C">
        <w:rPr>
          <w:rFonts w:ascii="Arial" w:hAnsi="Arial" w:cs="Arial"/>
          <w:sz w:val="22"/>
          <w:szCs w:val="22"/>
        </w:rPr>
        <w:t>ler</w:t>
      </w:r>
      <w:r w:rsidR="008258D7" w:rsidRPr="00D22F7C">
        <w:rPr>
          <w:rFonts w:ascii="Arial" w:hAnsi="Arial" w:cs="Arial"/>
          <w:sz w:val="22"/>
          <w:szCs w:val="22"/>
        </w:rPr>
        <w:t xml:space="preserve"> içindeki payı ise </w:t>
      </w:r>
      <w:r w:rsidR="00FF1F68" w:rsidRPr="00D22F7C">
        <w:rPr>
          <w:rFonts w:ascii="Arial" w:hAnsi="Arial" w:cs="Arial"/>
          <w:sz w:val="22"/>
          <w:szCs w:val="22"/>
        </w:rPr>
        <w:t>değişmeyerek</w:t>
      </w:r>
      <w:r w:rsidR="008258D7" w:rsidRPr="00D22F7C">
        <w:rPr>
          <w:rFonts w:ascii="Arial" w:hAnsi="Arial" w:cs="Arial"/>
          <w:sz w:val="22"/>
          <w:szCs w:val="22"/>
        </w:rPr>
        <w:t xml:space="preserve"> yüzde 58</w:t>
      </w:r>
      <w:r w:rsidR="00DE35D9" w:rsidRPr="00D22F7C">
        <w:rPr>
          <w:rFonts w:ascii="Arial" w:hAnsi="Arial" w:cs="Arial"/>
          <w:sz w:val="22"/>
          <w:szCs w:val="22"/>
        </w:rPr>
        <w:t xml:space="preserve"> düzeyinde gerçekleşmiştir.</w:t>
      </w:r>
      <w:r w:rsidR="00230002" w:rsidRPr="00D22F7C">
        <w:rPr>
          <w:rFonts w:ascii="Arial" w:hAnsi="Arial" w:cs="Arial"/>
          <w:sz w:val="22"/>
          <w:szCs w:val="22"/>
        </w:rPr>
        <w:t xml:space="preserve"> İlk on bankanın</w:t>
      </w:r>
      <w:r w:rsidR="008258D7" w:rsidRPr="00D22F7C">
        <w:rPr>
          <w:rFonts w:ascii="Arial" w:hAnsi="Arial" w:cs="Arial"/>
          <w:sz w:val="22"/>
          <w:szCs w:val="22"/>
        </w:rPr>
        <w:t xml:space="preserve"> </w:t>
      </w:r>
      <w:r w:rsidR="00C35DF8">
        <w:rPr>
          <w:rFonts w:ascii="Arial" w:hAnsi="Arial" w:cs="Arial"/>
          <w:sz w:val="22"/>
          <w:szCs w:val="22"/>
        </w:rPr>
        <w:t xml:space="preserve">payları, </w:t>
      </w:r>
      <w:r w:rsidR="00230002" w:rsidRPr="00D22F7C">
        <w:rPr>
          <w:rFonts w:ascii="Arial" w:hAnsi="Arial" w:cs="Arial"/>
          <w:sz w:val="22"/>
          <w:szCs w:val="22"/>
        </w:rPr>
        <w:t>sırasıyla yüzde</w:t>
      </w:r>
      <w:r w:rsidR="00FF1F68" w:rsidRPr="00D22F7C">
        <w:rPr>
          <w:rFonts w:ascii="Arial" w:hAnsi="Arial" w:cs="Arial"/>
          <w:sz w:val="22"/>
          <w:szCs w:val="22"/>
        </w:rPr>
        <w:t xml:space="preserve"> 88, yüzde</w:t>
      </w:r>
      <w:r w:rsidR="00230002" w:rsidRPr="00D22F7C">
        <w:rPr>
          <w:rFonts w:ascii="Arial" w:hAnsi="Arial" w:cs="Arial"/>
          <w:sz w:val="22"/>
          <w:szCs w:val="22"/>
        </w:rPr>
        <w:t xml:space="preserve"> 87 ve yüzde 91 düzeyinde </w:t>
      </w:r>
      <w:r w:rsidR="00C35DF8">
        <w:rPr>
          <w:rFonts w:ascii="Arial" w:hAnsi="Arial" w:cs="Arial"/>
          <w:sz w:val="22"/>
          <w:szCs w:val="22"/>
        </w:rPr>
        <w:t xml:space="preserve">aynı kalmıştır. </w:t>
      </w:r>
    </w:p>
    <w:p w:rsidR="00CC3FDF" w:rsidRPr="00CD44E5" w:rsidRDefault="00CC3FDF" w:rsidP="00CC3FDF">
      <w:pPr>
        <w:pStyle w:val="BodyText"/>
        <w:rPr>
          <w:rFonts w:ascii="Arial" w:hAnsi="Arial" w:cs="Arial"/>
          <w:b/>
          <w:color w:val="000000" w:themeColor="text1"/>
          <w:sz w:val="22"/>
          <w:szCs w:val="22"/>
        </w:rPr>
      </w:pPr>
    </w:p>
    <w:p w:rsidR="00CE08B2" w:rsidRPr="00CD44E5" w:rsidRDefault="00CE08B2" w:rsidP="00CC3FDF">
      <w:pPr>
        <w:pStyle w:val="Heading4"/>
        <w:rPr>
          <w:rFonts w:ascii="Arial" w:hAnsi="Arial" w:cs="Arial"/>
          <w:b/>
          <w:color w:val="000000" w:themeColor="text1"/>
          <w:szCs w:val="24"/>
        </w:rPr>
      </w:pPr>
    </w:p>
    <w:p w:rsidR="004F5921" w:rsidRPr="00CD44E5" w:rsidRDefault="004F5921" w:rsidP="004F5921">
      <w:pPr>
        <w:rPr>
          <w:color w:val="000000" w:themeColor="text1"/>
        </w:rPr>
      </w:pPr>
    </w:p>
    <w:sectPr w:rsidR="004F5921" w:rsidRPr="00CD44E5" w:rsidSect="00150A4B">
      <w:headerReference w:type="default" r:id="rId13"/>
      <w:footerReference w:type="even" r:id="rId14"/>
      <w:footerReference w:type="default" r:id="rId15"/>
      <w:headerReference w:type="first" r:id="rId16"/>
      <w:pgSz w:w="11909" w:h="16834" w:code="9"/>
      <w:pgMar w:top="2381" w:right="2268" w:bottom="1440" w:left="1814" w:header="1151" w:footer="43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30" w:rsidRDefault="00DB6630">
      <w:r>
        <w:separator/>
      </w:r>
    </w:p>
  </w:endnote>
  <w:endnote w:type="continuationSeparator" w:id="0">
    <w:p w:rsidR="00DB6630" w:rsidRDefault="00DB6630">
      <w:r>
        <w:continuationSeparator/>
      </w:r>
    </w:p>
  </w:endnote>
  <w:endnote w:type="continuationNotice" w:id="1">
    <w:p w:rsidR="00DB6630" w:rsidRDefault="00DB6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8A" w:rsidRDefault="00E73D8A" w:rsidP="00AC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3D8A" w:rsidRDefault="00E73D8A" w:rsidP="00150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8A" w:rsidRPr="00150A4B" w:rsidRDefault="00E73D8A" w:rsidP="00AC3738">
    <w:pPr>
      <w:pStyle w:val="Footer"/>
      <w:framePr w:wrap="around" w:vAnchor="text" w:hAnchor="margin" w:xAlign="right" w:y="1"/>
      <w:rPr>
        <w:rStyle w:val="PageNumber"/>
        <w:rFonts w:ascii="Arial" w:hAnsi="Arial" w:cs="Arial"/>
        <w:sz w:val="18"/>
        <w:szCs w:val="18"/>
      </w:rPr>
    </w:pPr>
    <w:r w:rsidRPr="00150A4B">
      <w:rPr>
        <w:rStyle w:val="PageNumber"/>
        <w:rFonts w:ascii="Arial" w:hAnsi="Arial" w:cs="Arial"/>
        <w:sz w:val="18"/>
        <w:szCs w:val="18"/>
      </w:rPr>
      <w:fldChar w:fldCharType="begin"/>
    </w:r>
    <w:r w:rsidRPr="00150A4B">
      <w:rPr>
        <w:rStyle w:val="PageNumber"/>
        <w:rFonts w:ascii="Arial" w:hAnsi="Arial" w:cs="Arial"/>
        <w:sz w:val="18"/>
        <w:szCs w:val="18"/>
      </w:rPr>
      <w:instrText xml:space="preserve">PAGE  </w:instrText>
    </w:r>
    <w:r w:rsidRPr="00150A4B">
      <w:rPr>
        <w:rStyle w:val="PageNumber"/>
        <w:rFonts w:ascii="Arial" w:hAnsi="Arial" w:cs="Arial"/>
        <w:sz w:val="18"/>
        <w:szCs w:val="18"/>
      </w:rPr>
      <w:fldChar w:fldCharType="separate"/>
    </w:r>
    <w:r w:rsidR="00CB1998">
      <w:rPr>
        <w:rStyle w:val="PageNumber"/>
        <w:rFonts w:ascii="Arial" w:hAnsi="Arial" w:cs="Arial"/>
        <w:noProof/>
        <w:sz w:val="18"/>
        <w:szCs w:val="18"/>
      </w:rPr>
      <w:t>1</w:t>
    </w:r>
    <w:r w:rsidRPr="00150A4B">
      <w:rPr>
        <w:rStyle w:val="PageNumber"/>
        <w:rFonts w:ascii="Arial" w:hAnsi="Arial" w:cs="Arial"/>
        <w:sz w:val="18"/>
        <w:szCs w:val="18"/>
      </w:rPr>
      <w:fldChar w:fldCharType="end"/>
    </w:r>
  </w:p>
  <w:p w:rsidR="00E73D8A" w:rsidRPr="00150A4B" w:rsidRDefault="00E73D8A" w:rsidP="00150A4B">
    <w:pPr>
      <w:pStyle w:val="Footer"/>
      <w:ind w:right="360"/>
      <w:rPr>
        <w:rFonts w:ascii="Arial" w:hAnsi="Arial" w:cs="Arial"/>
        <w:sz w:val="18"/>
        <w:szCs w:val="18"/>
      </w:rPr>
    </w:pPr>
    <w:r w:rsidRPr="00150A4B">
      <w:rPr>
        <w:rFonts w:ascii="Arial" w:hAnsi="Arial" w:cs="Arial"/>
        <w:sz w:val="18"/>
        <w:szCs w:val="18"/>
      </w:rPr>
      <w:t>TBB/İstatistiki Raporlar/Üç Aylık B</w:t>
    </w:r>
    <w:r>
      <w:rPr>
        <w:rFonts w:ascii="Arial" w:hAnsi="Arial" w:cs="Arial"/>
        <w:sz w:val="18"/>
        <w:szCs w:val="18"/>
      </w:rPr>
      <w:t>ankacılık Sektörü Bilgileri/Eylül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30" w:rsidRDefault="00DB6630">
      <w:r>
        <w:separator/>
      </w:r>
    </w:p>
  </w:footnote>
  <w:footnote w:type="continuationSeparator" w:id="0">
    <w:p w:rsidR="00DB6630" w:rsidRDefault="00DB6630">
      <w:r>
        <w:continuationSeparator/>
      </w:r>
    </w:p>
  </w:footnote>
  <w:footnote w:type="continuationNotice" w:id="1">
    <w:p w:rsidR="00DB6630" w:rsidRDefault="00DB6630"/>
  </w:footnote>
  <w:footnote w:id="2">
    <w:p w:rsidR="00E73D8A" w:rsidRPr="0043078B" w:rsidRDefault="00E73D8A" w:rsidP="00F56C32">
      <w:pPr>
        <w:pStyle w:val="FootnoteText"/>
        <w:jc w:val="both"/>
        <w:rPr>
          <w:rFonts w:ascii="Arial" w:hAnsi="Arial" w:cs="Arial"/>
          <w:sz w:val="18"/>
          <w:szCs w:val="18"/>
        </w:rPr>
      </w:pPr>
      <w:r w:rsidRPr="0043078B">
        <w:rPr>
          <w:rStyle w:val="FootnoteReference"/>
          <w:rFonts w:ascii="Arial" w:hAnsi="Arial" w:cs="Arial"/>
          <w:sz w:val="18"/>
          <w:szCs w:val="18"/>
        </w:rPr>
        <w:footnoteRef/>
      </w:r>
      <w:r w:rsidRPr="0043078B">
        <w:rPr>
          <w:rFonts w:ascii="Arial" w:hAnsi="Arial" w:cs="Arial"/>
          <w:sz w:val="18"/>
          <w:szCs w:val="18"/>
        </w:rPr>
        <w:t xml:space="preserve"> Mevduat bankalarıyla kalkınma ve yatırım bankalarını (KYB) kapsamaktadır.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8A" w:rsidRDefault="00E73D8A">
    <w:pPr>
      <w:pStyle w:val="Header"/>
    </w:pPr>
    <w:r>
      <w:rPr>
        <w:noProof/>
        <w:lang w:eastAsia="tr-TR"/>
      </w:rPr>
      <w:drawing>
        <wp:anchor distT="0" distB="0" distL="114300" distR="114300" simplePos="0" relativeHeight="251658241" behindDoc="0" locked="0" layoutInCell="1" allowOverlap="1" wp14:anchorId="54C6E4B1" wp14:editId="6D40460C">
          <wp:simplePos x="0" y="0"/>
          <wp:positionH relativeFrom="page">
            <wp:posOffset>6364605</wp:posOffset>
          </wp:positionH>
          <wp:positionV relativeFrom="page">
            <wp:posOffset>302260</wp:posOffset>
          </wp:positionV>
          <wp:extent cx="913130" cy="929005"/>
          <wp:effectExtent l="0" t="0" r="1270" b="4445"/>
          <wp:wrapSquare wrapText="bothSides"/>
          <wp:docPr id="2"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8A" w:rsidRDefault="00E73D8A">
    <w:pPr>
      <w:pStyle w:val="Header"/>
    </w:pPr>
    <w:r>
      <w:rPr>
        <w:noProof/>
        <w:lang w:eastAsia="tr-TR"/>
      </w:rPr>
      <w:drawing>
        <wp:anchor distT="0" distB="0" distL="114300" distR="114300" simplePos="0" relativeHeight="251658240" behindDoc="0" locked="0" layoutInCell="1" allowOverlap="1" wp14:anchorId="55CC1BD7" wp14:editId="1254ED16">
          <wp:simplePos x="0" y="0"/>
          <wp:positionH relativeFrom="page">
            <wp:posOffset>6299835</wp:posOffset>
          </wp:positionH>
          <wp:positionV relativeFrom="page">
            <wp:posOffset>269875</wp:posOffset>
          </wp:positionV>
          <wp:extent cx="966470" cy="1760220"/>
          <wp:effectExtent l="0" t="0" r="5080" b="0"/>
          <wp:wrapSquare wrapText="bothSides"/>
          <wp:docPr id="1" name="Picture 1" descr="logo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176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560"/>
    <w:multiLevelType w:val="singleLevel"/>
    <w:tmpl w:val="04AC9B60"/>
    <w:lvl w:ilvl="0">
      <w:start w:val="1"/>
      <w:numFmt w:val="decimal"/>
      <w:lvlText w:val="%1."/>
      <w:lvlJc w:val="left"/>
      <w:pPr>
        <w:tabs>
          <w:tab w:val="num" w:pos="360"/>
        </w:tabs>
        <w:ind w:left="360" w:hanging="360"/>
      </w:pPr>
      <w:rPr>
        <w:rFonts w:hint="default"/>
      </w:rPr>
    </w:lvl>
  </w:abstractNum>
  <w:abstractNum w:abstractNumId="1">
    <w:nsid w:val="05787ED7"/>
    <w:multiLevelType w:val="hybridMultilevel"/>
    <w:tmpl w:val="9B44F288"/>
    <w:lvl w:ilvl="0" w:tplc="E91EC322">
      <w:start w:val="1"/>
      <w:numFmt w:val="bullet"/>
      <w:lvlText w:val="•"/>
      <w:lvlJc w:val="left"/>
      <w:pPr>
        <w:tabs>
          <w:tab w:val="num" w:pos="720"/>
        </w:tabs>
        <w:ind w:left="720" w:hanging="360"/>
      </w:pPr>
      <w:rPr>
        <w:rFonts w:ascii="Arial" w:hAnsi="Arial" w:hint="default"/>
      </w:rPr>
    </w:lvl>
    <w:lvl w:ilvl="1" w:tplc="70168F52" w:tentative="1">
      <w:start w:val="1"/>
      <w:numFmt w:val="bullet"/>
      <w:lvlText w:val="•"/>
      <w:lvlJc w:val="left"/>
      <w:pPr>
        <w:tabs>
          <w:tab w:val="num" w:pos="1440"/>
        </w:tabs>
        <w:ind w:left="1440" w:hanging="360"/>
      </w:pPr>
      <w:rPr>
        <w:rFonts w:ascii="Arial" w:hAnsi="Arial" w:hint="default"/>
      </w:rPr>
    </w:lvl>
    <w:lvl w:ilvl="2" w:tplc="9F90FB2C" w:tentative="1">
      <w:start w:val="1"/>
      <w:numFmt w:val="bullet"/>
      <w:lvlText w:val="•"/>
      <w:lvlJc w:val="left"/>
      <w:pPr>
        <w:tabs>
          <w:tab w:val="num" w:pos="2160"/>
        </w:tabs>
        <w:ind w:left="2160" w:hanging="360"/>
      </w:pPr>
      <w:rPr>
        <w:rFonts w:ascii="Arial" w:hAnsi="Arial" w:hint="default"/>
      </w:rPr>
    </w:lvl>
    <w:lvl w:ilvl="3" w:tplc="5580919A" w:tentative="1">
      <w:start w:val="1"/>
      <w:numFmt w:val="bullet"/>
      <w:lvlText w:val="•"/>
      <w:lvlJc w:val="left"/>
      <w:pPr>
        <w:tabs>
          <w:tab w:val="num" w:pos="2880"/>
        </w:tabs>
        <w:ind w:left="2880" w:hanging="360"/>
      </w:pPr>
      <w:rPr>
        <w:rFonts w:ascii="Arial" w:hAnsi="Arial" w:hint="default"/>
      </w:rPr>
    </w:lvl>
    <w:lvl w:ilvl="4" w:tplc="3588E9BE" w:tentative="1">
      <w:start w:val="1"/>
      <w:numFmt w:val="bullet"/>
      <w:lvlText w:val="•"/>
      <w:lvlJc w:val="left"/>
      <w:pPr>
        <w:tabs>
          <w:tab w:val="num" w:pos="3600"/>
        </w:tabs>
        <w:ind w:left="3600" w:hanging="360"/>
      </w:pPr>
      <w:rPr>
        <w:rFonts w:ascii="Arial" w:hAnsi="Arial" w:hint="default"/>
      </w:rPr>
    </w:lvl>
    <w:lvl w:ilvl="5" w:tplc="E13E9548" w:tentative="1">
      <w:start w:val="1"/>
      <w:numFmt w:val="bullet"/>
      <w:lvlText w:val="•"/>
      <w:lvlJc w:val="left"/>
      <w:pPr>
        <w:tabs>
          <w:tab w:val="num" w:pos="4320"/>
        </w:tabs>
        <w:ind w:left="4320" w:hanging="360"/>
      </w:pPr>
      <w:rPr>
        <w:rFonts w:ascii="Arial" w:hAnsi="Arial" w:hint="default"/>
      </w:rPr>
    </w:lvl>
    <w:lvl w:ilvl="6" w:tplc="636ECC20" w:tentative="1">
      <w:start w:val="1"/>
      <w:numFmt w:val="bullet"/>
      <w:lvlText w:val="•"/>
      <w:lvlJc w:val="left"/>
      <w:pPr>
        <w:tabs>
          <w:tab w:val="num" w:pos="5040"/>
        </w:tabs>
        <w:ind w:left="5040" w:hanging="360"/>
      </w:pPr>
      <w:rPr>
        <w:rFonts w:ascii="Arial" w:hAnsi="Arial" w:hint="default"/>
      </w:rPr>
    </w:lvl>
    <w:lvl w:ilvl="7" w:tplc="7578D8D2" w:tentative="1">
      <w:start w:val="1"/>
      <w:numFmt w:val="bullet"/>
      <w:lvlText w:val="•"/>
      <w:lvlJc w:val="left"/>
      <w:pPr>
        <w:tabs>
          <w:tab w:val="num" w:pos="5760"/>
        </w:tabs>
        <w:ind w:left="5760" w:hanging="360"/>
      </w:pPr>
      <w:rPr>
        <w:rFonts w:ascii="Arial" w:hAnsi="Arial" w:hint="default"/>
      </w:rPr>
    </w:lvl>
    <w:lvl w:ilvl="8" w:tplc="8E167BAA" w:tentative="1">
      <w:start w:val="1"/>
      <w:numFmt w:val="bullet"/>
      <w:lvlText w:val="•"/>
      <w:lvlJc w:val="left"/>
      <w:pPr>
        <w:tabs>
          <w:tab w:val="num" w:pos="6480"/>
        </w:tabs>
        <w:ind w:left="6480" w:hanging="360"/>
      </w:pPr>
      <w:rPr>
        <w:rFonts w:ascii="Arial" w:hAnsi="Arial" w:hint="default"/>
      </w:rPr>
    </w:lvl>
  </w:abstractNum>
  <w:abstractNum w:abstractNumId="2">
    <w:nsid w:val="06F46E6D"/>
    <w:multiLevelType w:val="hybridMultilevel"/>
    <w:tmpl w:val="59E41534"/>
    <w:lvl w:ilvl="0" w:tplc="EB7EE5D6">
      <w:start w:val="1"/>
      <w:numFmt w:val="bullet"/>
      <w:lvlText w:val="•"/>
      <w:lvlJc w:val="left"/>
      <w:pPr>
        <w:tabs>
          <w:tab w:val="num" w:pos="720"/>
        </w:tabs>
        <w:ind w:left="720" w:hanging="360"/>
      </w:pPr>
      <w:rPr>
        <w:rFonts w:ascii="Arial" w:hAnsi="Arial" w:hint="default"/>
      </w:rPr>
    </w:lvl>
    <w:lvl w:ilvl="1" w:tplc="F1E0BA6C" w:tentative="1">
      <w:start w:val="1"/>
      <w:numFmt w:val="bullet"/>
      <w:lvlText w:val="•"/>
      <w:lvlJc w:val="left"/>
      <w:pPr>
        <w:tabs>
          <w:tab w:val="num" w:pos="1440"/>
        </w:tabs>
        <w:ind w:left="1440" w:hanging="360"/>
      </w:pPr>
      <w:rPr>
        <w:rFonts w:ascii="Arial" w:hAnsi="Arial" w:hint="default"/>
      </w:rPr>
    </w:lvl>
    <w:lvl w:ilvl="2" w:tplc="669872B0" w:tentative="1">
      <w:start w:val="1"/>
      <w:numFmt w:val="bullet"/>
      <w:lvlText w:val="•"/>
      <w:lvlJc w:val="left"/>
      <w:pPr>
        <w:tabs>
          <w:tab w:val="num" w:pos="2160"/>
        </w:tabs>
        <w:ind w:left="2160" w:hanging="360"/>
      </w:pPr>
      <w:rPr>
        <w:rFonts w:ascii="Arial" w:hAnsi="Arial" w:hint="default"/>
      </w:rPr>
    </w:lvl>
    <w:lvl w:ilvl="3" w:tplc="31003C0E" w:tentative="1">
      <w:start w:val="1"/>
      <w:numFmt w:val="bullet"/>
      <w:lvlText w:val="•"/>
      <w:lvlJc w:val="left"/>
      <w:pPr>
        <w:tabs>
          <w:tab w:val="num" w:pos="2880"/>
        </w:tabs>
        <w:ind w:left="2880" w:hanging="360"/>
      </w:pPr>
      <w:rPr>
        <w:rFonts w:ascii="Arial" w:hAnsi="Arial" w:hint="default"/>
      </w:rPr>
    </w:lvl>
    <w:lvl w:ilvl="4" w:tplc="4300CD42" w:tentative="1">
      <w:start w:val="1"/>
      <w:numFmt w:val="bullet"/>
      <w:lvlText w:val="•"/>
      <w:lvlJc w:val="left"/>
      <w:pPr>
        <w:tabs>
          <w:tab w:val="num" w:pos="3600"/>
        </w:tabs>
        <w:ind w:left="3600" w:hanging="360"/>
      </w:pPr>
      <w:rPr>
        <w:rFonts w:ascii="Arial" w:hAnsi="Arial" w:hint="default"/>
      </w:rPr>
    </w:lvl>
    <w:lvl w:ilvl="5" w:tplc="F2C615CC" w:tentative="1">
      <w:start w:val="1"/>
      <w:numFmt w:val="bullet"/>
      <w:lvlText w:val="•"/>
      <w:lvlJc w:val="left"/>
      <w:pPr>
        <w:tabs>
          <w:tab w:val="num" w:pos="4320"/>
        </w:tabs>
        <w:ind w:left="4320" w:hanging="360"/>
      </w:pPr>
      <w:rPr>
        <w:rFonts w:ascii="Arial" w:hAnsi="Arial" w:hint="default"/>
      </w:rPr>
    </w:lvl>
    <w:lvl w:ilvl="6" w:tplc="A1BA0EDA" w:tentative="1">
      <w:start w:val="1"/>
      <w:numFmt w:val="bullet"/>
      <w:lvlText w:val="•"/>
      <w:lvlJc w:val="left"/>
      <w:pPr>
        <w:tabs>
          <w:tab w:val="num" w:pos="5040"/>
        </w:tabs>
        <w:ind w:left="5040" w:hanging="360"/>
      </w:pPr>
      <w:rPr>
        <w:rFonts w:ascii="Arial" w:hAnsi="Arial" w:hint="default"/>
      </w:rPr>
    </w:lvl>
    <w:lvl w:ilvl="7" w:tplc="081EBCC0" w:tentative="1">
      <w:start w:val="1"/>
      <w:numFmt w:val="bullet"/>
      <w:lvlText w:val="•"/>
      <w:lvlJc w:val="left"/>
      <w:pPr>
        <w:tabs>
          <w:tab w:val="num" w:pos="5760"/>
        </w:tabs>
        <w:ind w:left="5760" w:hanging="360"/>
      </w:pPr>
      <w:rPr>
        <w:rFonts w:ascii="Arial" w:hAnsi="Arial" w:hint="default"/>
      </w:rPr>
    </w:lvl>
    <w:lvl w:ilvl="8" w:tplc="87928A6E" w:tentative="1">
      <w:start w:val="1"/>
      <w:numFmt w:val="bullet"/>
      <w:lvlText w:val="•"/>
      <w:lvlJc w:val="left"/>
      <w:pPr>
        <w:tabs>
          <w:tab w:val="num" w:pos="6480"/>
        </w:tabs>
        <w:ind w:left="6480" w:hanging="360"/>
      </w:pPr>
      <w:rPr>
        <w:rFonts w:ascii="Arial" w:hAnsi="Arial" w:hint="default"/>
      </w:rPr>
    </w:lvl>
  </w:abstractNum>
  <w:abstractNum w:abstractNumId="3">
    <w:nsid w:val="0D930167"/>
    <w:multiLevelType w:val="hybridMultilevel"/>
    <w:tmpl w:val="062E7C2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09F4800"/>
    <w:multiLevelType w:val="hybridMultilevel"/>
    <w:tmpl w:val="A4EEF14E"/>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1512264"/>
    <w:multiLevelType w:val="hybridMultilevel"/>
    <w:tmpl w:val="09160564"/>
    <w:lvl w:ilvl="0" w:tplc="44E68C1C">
      <w:start w:val="1"/>
      <w:numFmt w:val="bullet"/>
      <w:lvlText w:val="•"/>
      <w:lvlJc w:val="left"/>
      <w:pPr>
        <w:tabs>
          <w:tab w:val="num" w:pos="720"/>
        </w:tabs>
        <w:ind w:left="720" w:hanging="360"/>
      </w:pPr>
      <w:rPr>
        <w:rFonts w:ascii="Times New Roman" w:hAnsi="Times New Roman" w:hint="default"/>
      </w:rPr>
    </w:lvl>
    <w:lvl w:ilvl="1" w:tplc="8C8A218C" w:tentative="1">
      <w:start w:val="1"/>
      <w:numFmt w:val="bullet"/>
      <w:lvlText w:val="•"/>
      <w:lvlJc w:val="left"/>
      <w:pPr>
        <w:tabs>
          <w:tab w:val="num" w:pos="1440"/>
        </w:tabs>
        <w:ind w:left="1440" w:hanging="360"/>
      </w:pPr>
      <w:rPr>
        <w:rFonts w:ascii="Times New Roman" w:hAnsi="Times New Roman" w:hint="default"/>
      </w:rPr>
    </w:lvl>
    <w:lvl w:ilvl="2" w:tplc="51CA3026" w:tentative="1">
      <w:start w:val="1"/>
      <w:numFmt w:val="bullet"/>
      <w:lvlText w:val="•"/>
      <w:lvlJc w:val="left"/>
      <w:pPr>
        <w:tabs>
          <w:tab w:val="num" w:pos="2160"/>
        </w:tabs>
        <w:ind w:left="2160" w:hanging="360"/>
      </w:pPr>
      <w:rPr>
        <w:rFonts w:ascii="Times New Roman" w:hAnsi="Times New Roman" w:hint="default"/>
      </w:rPr>
    </w:lvl>
    <w:lvl w:ilvl="3" w:tplc="980CACC0" w:tentative="1">
      <w:start w:val="1"/>
      <w:numFmt w:val="bullet"/>
      <w:lvlText w:val="•"/>
      <w:lvlJc w:val="left"/>
      <w:pPr>
        <w:tabs>
          <w:tab w:val="num" w:pos="2880"/>
        </w:tabs>
        <w:ind w:left="2880" w:hanging="360"/>
      </w:pPr>
      <w:rPr>
        <w:rFonts w:ascii="Times New Roman" w:hAnsi="Times New Roman" w:hint="default"/>
      </w:rPr>
    </w:lvl>
    <w:lvl w:ilvl="4" w:tplc="F424CD96" w:tentative="1">
      <w:start w:val="1"/>
      <w:numFmt w:val="bullet"/>
      <w:lvlText w:val="•"/>
      <w:lvlJc w:val="left"/>
      <w:pPr>
        <w:tabs>
          <w:tab w:val="num" w:pos="3600"/>
        </w:tabs>
        <w:ind w:left="3600" w:hanging="360"/>
      </w:pPr>
      <w:rPr>
        <w:rFonts w:ascii="Times New Roman" w:hAnsi="Times New Roman" w:hint="default"/>
      </w:rPr>
    </w:lvl>
    <w:lvl w:ilvl="5" w:tplc="8D4E8354" w:tentative="1">
      <w:start w:val="1"/>
      <w:numFmt w:val="bullet"/>
      <w:lvlText w:val="•"/>
      <w:lvlJc w:val="left"/>
      <w:pPr>
        <w:tabs>
          <w:tab w:val="num" w:pos="4320"/>
        </w:tabs>
        <w:ind w:left="4320" w:hanging="360"/>
      </w:pPr>
      <w:rPr>
        <w:rFonts w:ascii="Times New Roman" w:hAnsi="Times New Roman" w:hint="default"/>
      </w:rPr>
    </w:lvl>
    <w:lvl w:ilvl="6" w:tplc="AF5E4F12" w:tentative="1">
      <w:start w:val="1"/>
      <w:numFmt w:val="bullet"/>
      <w:lvlText w:val="•"/>
      <w:lvlJc w:val="left"/>
      <w:pPr>
        <w:tabs>
          <w:tab w:val="num" w:pos="5040"/>
        </w:tabs>
        <w:ind w:left="5040" w:hanging="360"/>
      </w:pPr>
      <w:rPr>
        <w:rFonts w:ascii="Times New Roman" w:hAnsi="Times New Roman" w:hint="default"/>
      </w:rPr>
    </w:lvl>
    <w:lvl w:ilvl="7" w:tplc="EFC6224A" w:tentative="1">
      <w:start w:val="1"/>
      <w:numFmt w:val="bullet"/>
      <w:lvlText w:val="•"/>
      <w:lvlJc w:val="left"/>
      <w:pPr>
        <w:tabs>
          <w:tab w:val="num" w:pos="5760"/>
        </w:tabs>
        <w:ind w:left="5760" w:hanging="360"/>
      </w:pPr>
      <w:rPr>
        <w:rFonts w:ascii="Times New Roman" w:hAnsi="Times New Roman" w:hint="default"/>
      </w:rPr>
    </w:lvl>
    <w:lvl w:ilvl="8" w:tplc="ECE6E5F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437F18"/>
    <w:multiLevelType w:val="hybridMultilevel"/>
    <w:tmpl w:val="2FE83432"/>
    <w:lvl w:ilvl="0" w:tplc="E9481BD4">
      <w:start w:val="1"/>
      <w:numFmt w:val="bullet"/>
      <w:lvlText w:val="•"/>
      <w:lvlJc w:val="left"/>
      <w:pPr>
        <w:tabs>
          <w:tab w:val="num" w:pos="720"/>
        </w:tabs>
        <w:ind w:left="720" w:hanging="360"/>
      </w:pPr>
      <w:rPr>
        <w:rFonts w:ascii="Arial" w:hAnsi="Arial" w:hint="default"/>
      </w:rPr>
    </w:lvl>
    <w:lvl w:ilvl="1" w:tplc="F06627AE" w:tentative="1">
      <w:start w:val="1"/>
      <w:numFmt w:val="bullet"/>
      <w:lvlText w:val="•"/>
      <w:lvlJc w:val="left"/>
      <w:pPr>
        <w:tabs>
          <w:tab w:val="num" w:pos="1440"/>
        </w:tabs>
        <w:ind w:left="1440" w:hanging="360"/>
      </w:pPr>
      <w:rPr>
        <w:rFonts w:ascii="Arial" w:hAnsi="Arial" w:hint="default"/>
      </w:rPr>
    </w:lvl>
    <w:lvl w:ilvl="2" w:tplc="89608ACC" w:tentative="1">
      <w:start w:val="1"/>
      <w:numFmt w:val="bullet"/>
      <w:lvlText w:val="•"/>
      <w:lvlJc w:val="left"/>
      <w:pPr>
        <w:tabs>
          <w:tab w:val="num" w:pos="2160"/>
        </w:tabs>
        <w:ind w:left="2160" w:hanging="360"/>
      </w:pPr>
      <w:rPr>
        <w:rFonts w:ascii="Arial" w:hAnsi="Arial" w:hint="default"/>
      </w:rPr>
    </w:lvl>
    <w:lvl w:ilvl="3" w:tplc="2936489E" w:tentative="1">
      <w:start w:val="1"/>
      <w:numFmt w:val="bullet"/>
      <w:lvlText w:val="•"/>
      <w:lvlJc w:val="left"/>
      <w:pPr>
        <w:tabs>
          <w:tab w:val="num" w:pos="2880"/>
        </w:tabs>
        <w:ind w:left="2880" w:hanging="360"/>
      </w:pPr>
      <w:rPr>
        <w:rFonts w:ascii="Arial" w:hAnsi="Arial" w:hint="default"/>
      </w:rPr>
    </w:lvl>
    <w:lvl w:ilvl="4" w:tplc="53EAB2B0" w:tentative="1">
      <w:start w:val="1"/>
      <w:numFmt w:val="bullet"/>
      <w:lvlText w:val="•"/>
      <w:lvlJc w:val="left"/>
      <w:pPr>
        <w:tabs>
          <w:tab w:val="num" w:pos="3600"/>
        </w:tabs>
        <w:ind w:left="3600" w:hanging="360"/>
      </w:pPr>
      <w:rPr>
        <w:rFonts w:ascii="Arial" w:hAnsi="Arial" w:hint="default"/>
      </w:rPr>
    </w:lvl>
    <w:lvl w:ilvl="5" w:tplc="7EE80FEA" w:tentative="1">
      <w:start w:val="1"/>
      <w:numFmt w:val="bullet"/>
      <w:lvlText w:val="•"/>
      <w:lvlJc w:val="left"/>
      <w:pPr>
        <w:tabs>
          <w:tab w:val="num" w:pos="4320"/>
        </w:tabs>
        <w:ind w:left="4320" w:hanging="360"/>
      </w:pPr>
      <w:rPr>
        <w:rFonts w:ascii="Arial" w:hAnsi="Arial" w:hint="default"/>
      </w:rPr>
    </w:lvl>
    <w:lvl w:ilvl="6" w:tplc="DFA68D52" w:tentative="1">
      <w:start w:val="1"/>
      <w:numFmt w:val="bullet"/>
      <w:lvlText w:val="•"/>
      <w:lvlJc w:val="left"/>
      <w:pPr>
        <w:tabs>
          <w:tab w:val="num" w:pos="5040"/>
        </w:tabs>
        <w:ind w:left="5040" w:hanging="360"/>
      </w:pPr>
      <w:rPr>
        <w:rFonts w:ascii="Arial" w:hAnsi="Arial" w:hint="default"/>
      </w:rPr>
    </w:lvl>
    <w:lvl w:ilvl="7" w:tplc="0D1C3482" w:tentative="1">
      <w:start w:val="1"/>
      <w:numFmt w:val="bullet"/>
      <w:lvlText w:val="•"/>
      <w:lvlJc w:val="left"/>
      <w:pPr>
        <w:tabs>
          <w:tab w:val="num" w:pos="5760"/>
        </w:tabs>
        <w:ind w:left="5760" w:hanging="360"/>
      </w:pPr>
      <w:rPr>
        <w:rFonts w:ascii="Arial" w:hAnsi="Arial" w:hint="default"/>
      </w:rPr>
    </w:lvl>
    <w:lvl w:ilvl="8" w:tplc="F16E8CF6" w:tentative="1">
      <w:start w:val="1"/>
      <w:numFmt w:val="bullet"/>
      <w:lvlText w:val="•"/>
      <w:lvlJc w:val="left"/>
      <w:pPr>
        <w:tabs>
          <w:tab w:val="num" w:pos="6480"/>
        </w:tabs>
        <w:ind w:left="6480" w:hanging="360"/>
      </w:pPr>
      <w:rPr>
        <w:rFonts w:ascii="Arial" w:hAnsi="Arial" w:hint="default"/>
      </w:rPr>
    </w:lvl>
  </w:abstractNum>
  <w:abstractNum w:abstractNumId="7">
    <w:nsid w:val="40BC1C00"/>
    <w:multiLevelType w:val="multilevel"/>
    <w:tmpl w:val="D756A7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541286"/>
    <w:multiLevelType w:val="hybridMultilevel"/>
    <w:tmpl w:val="5B9E18A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41F69C0"/>
    <w:multiLevelType w:val="hybridMultilevel"/>
    <w:tmpl w:val="68FE4D80"/>
    <w:lvl w:ilvl="0" w:tplc="857A031A">
      <w:start w:val="1"/>
      <w:numFmt w:val="bullet"/>
      <w:lvlText w:val="•"/>
      <w:lvlJc w:val="left"/>
      <w:pPr>
        <w:tabs>
          <w:tab w:val="num" w:pos="720"/>
        </w:tabs>
        <w:ind w:left="720" w:hanging="360"/>
      </w:pPr>
      <w:rPr>
        <w:rFonts w:ascii="Arial" w:hAnsi="Arial" w:hint="default"/>
      </w:rPr>
    </w:lvl>
    <w:lvl w:ilvl="1" w:tplc="60342440" w:tentative="1">
      <w:start w:val="1"/>
      <w:numFmt w:val="bullet"/>
      <w:lvlText w:val="•"/>
      <w:lvlJc w:val="left"/>
      <w:pPr>
        <w:tabs>
          <w:tab w:val="num" w:pos="1440"/>
        </w:tabs>
        <w:ind w:left="1440" w:hanging="360"/>
      </w:pPr>
      <w:rPr>
        <w:rFonts w:ascii="Arial" w:hAnsi="Arial" w:hint="default"/>
      </w:rPr>
    </w:lvl>
    <w:lvl w:ilvl="2" w:tplc="1B840706" w:tentative="1">
      <w:start w:val="1"/>
      <w:numFmt w:val="bullet"/>
      <w:lvlText w:val="•"/>
      <w:lvlJc w:val="left"/>
      <w:pPr>
        <w:tabs>
          <w:tab w:val="num" w:pos="2160"/>
        </w:tabs>
        <w:ind w:left="2160" w:hanging="360"/>
      </w:pPr>
      <w:rPr>
        <w:rFonts w:ascii="Arial" w:hAnsi="Arial" w:hint="default"/>
      </w:rPr>
    </w:lvl>
    <w:lvl w:ilvl="3" w:tplc="DDD4CF32" w:tentative="1">
      <w:start w:val="1"/>
      <w:numFmt w:val="bullet"/>
      <w:lvlText w:val="•"/>
      <w:lvlJc w:val="left"/>
      <w:pPr>
        <w:tabs>
          <w:tab w:val="num" w:pos="2880"/>
        </w:tabs>
        <w:ind w:left="2880" w:hanging="360"/>
      </w:pPr>
      <w:rPr>
        <w:rFonts w:ascii="Arial" w:hAnsi="Arial" w:hint="default"/>
      </w:rPr>
    </w:lvl>
    <w:lvl w:ilvl="4" w:tplc="48E02DAC" w:tentative="1">
      <w:start w:val="1"/>
      <w:numFmt w:val="bullet"/>
      <w:lvlText w:val="•"/>
      <w:lvlJc w:val="left"/>
      <w:pPr>
        <w:tabs>
          <w:tab w:val="num" w:pos="3600"/>
        </w:tabs>
        <w:ind w:left="3600" w:hanging="360"/>
      </w:pPr>
      <w:rPr>
        <w:rFonts w:ascii="Arial" w:hAnsi="Arial" w:hint="default"/>
      </w:rPr>
    </w:lvl>
    <w:lvl w:ilvl="5" w:tplc="AC222214" w:tentative="1">
      <w:start w:val="1"/>
      <w:numFmt w:val="bullet"/>
      <w:lvlText w:val="•"/>
      <w:lvlJc w:val="left"/>
      <w:pPr>
        <w:tabs>
          <w:tab w:val="num" w:pos="4320"/>
        </w:tabs>
        <w:ind w:left="4320" w:hanging="360"/>
      </w:pPr>
      <w:rPr>
        <w:rFonts w:ascii="Arial" w:hAnsi="Arial" w:hint="default"/>
      </w:rPr>
    </w:lvl>
    <w:lvl w:ilvl="6" w:tplc="A7921CA8" w:tentative="1">
      <w:start w:val="1"/>
      <w:numFmt w:val="bullet"/>
      <w:lvlText w:val="•"/>
      <w:lvlJc w:val="left"/>
      <w:pPr>
        <w:tabs>
          <w:tab w:val="num" w:pos="5040"/>
        </w:tabs>
        <w:ind w:left="5040" w:hanging="360"/>
      </w:pPr>
      <w:rPr>
        <w:rFonts w:ascii="Arial" w:hAnsi="Arial" w:hint="default"/>
      </w:rPr>
    </w:lvl>
    <w:lvl w:ilvl="7" w:tplc="B120A274" w:tentative="1">
      <w:start w:val="1"/>
      <w:numFmt w:val="bullet"/>
      <w:lvlText w:val="•"/>
      <w:lvlJc w:val="left"/>
      <w:pPr>
        <w:tabs>
          <w:tab w:val="num" w:pos="5760"/>
        </w:tabs>
        <w:ind w:left="5760" w:hanging="360"/>
      </w:pPr>
      <w:rPr>
        <w:rFonts w:ascii="Arial" w:hAnsi="Arial" w:hint="default"/>
      </w:rPr>
    </w:lvl>
    <w:lvl w:ilvl="8" w:tplc="A5ECEB20" w:tentative="1">
      <w:start w:val="1"/>
      <w:numFmt w:val="bullet"/>
      <w:lvlText w:val="•"/>
      <w:lvlJc w:val="left"/>
      <w:pPr>
        <w:tabs>
          <w:tab w:val="num" w:pos="6480"/>
        </w:tabs>
        <w:ind w:left="6480" w:hanging="360"/>
      </w:pPr>
      <w:rPr>
        <w:rFonts w:ascii="Arial" w:hAnsi="Arial" w:hint="default"/>
      </w:rPr>
    </w:lvl>
  </w:abstractNum>
  <w:abstractNum w:abstractNumId="10">
    <w:nsid w:val="553C1CE8"/>
    <w:multiLevelType w:val="hybridMultilevel"/>
    <w:tmpl w:val="4E2AF872"/>
    <w:lvl w:ilvl="0" w:tplc="CEBEE3E8">
      <w:start w:val="1"/>
      <w:numFmt w:val="bullet"/>
      <w:lvlText w:val="•"/>
      <w:lvlJc w:val="left"/>
      <w:pPr>
        <w:tabs>
          <w:tab w:val="num" w:pos="720"/>
        </w:tabs>
        <w:ind w:left="720" w:hanging="360"/>
      </w:pPr>
      <w:rPr>
        <w:rFonts w:ascii="Times New Roman" w:hAnsi="Times New Roman" w:hint="default"/>
      </w:rPr>
    </w:lvl>
    <w:lvl w:ilvl="1" w:tplc="B9E405AA" w:tentative="1">
      <w:start w:val="1"/>
      <w:numFmt w:val="bullet"/>
      <w:lvlText w:val="•"/>
      <w:lvlJc w:val="left"/>
      <w:pPr>
        <w:tabs>
          <w:tab w:val="num" w:pos="1440"/>
        </w:tabs>
        <w:ind w:left="1440" w:hanging="360"/>
      </w:pPr>
      <w:rPr>
        <w:rFonts w:ascii="Times New Roman" w:hAnsi="Times New Roman" w:hint="default"/>
      </w:rPr>
    </w:lvl>
    <w:lvl w:ilvl="2" w:tplc="CE7888B8" w:tentative="1">
      <w:start w:val="1"/>
      <w:numFmt w:val="bullet"/>
      <w:lvlText w:val="•"/>
      <w:lvlJc w:val="left"/>
      <w:pPr>
        <w:tabs>
          <w:tab w:val="num" w:pos="2160"/>
        </w:tabs>
        <w:ind w:left="2160" w:hanging="360"/>
      </w:pPr>
      <w:rPr>
        <w:rFonts w:ascii="Times New Roman" w:hAnsi="Times New Roman" w:hint="default"/>
      </w:rPr>
    </w:lvl>
    <w:lvl w:ilvl="3" w:tplc="9482E0C0" w:tentative="1">
      <w:start w:val="1"/>
      <w:numFmt w:val="bullet"/>
      <w:lvlText w:val="•"/>
      <w:lvlJc w:val="left"/>
      <w:pPr>
        <w:tabs>
          <w:tab w:val="num" w:pos="2880"/>
        </w:tabs>
        <w:ind w:left="2880" w:hanging="360"/>
      </w:pPr>
      <w:rPr>
        <w:rFonts w:ascii="Times New Roman" w:hAnsi="Times New Roman" w:hint="default"/>
      </w:rPr>
    </w:lvl>
    <w:lvl w:ilvl="4" w:tplc="B128C562" w:tentative="1">
      <w:start w:val="1"/>
      <w:numFmt w:val="bullet"/>
      <w:lvlText w:val="•"/>
      <w:lvlJc w:val="left"/>
      <w:pPr>
        <w:tabs>
          <w:tab w:val="num" w:pos="3600"/>
        </w:tabs>
        <w:ind w:left="3600" w:hanging="360"/>
      </w:pPr>
      <w:rPr>
        <w:rFonts w:ascii="Times New Roman" w:hAnsi="Times New Roman" w:hint="default"/>
      </w:rPr>
    </w:lvl>
    <w:lvl w:ilvl="5" w:tplc="F8D21B1E" w:tentative="1">
      <w:start w:val="1"/>
      <w:numFmt w:val="bullet"/>
      <w:lvlText w:val="•"/>
      <w:lvlJc w:val="left"/>
      <w:pPr>
        <w:tabs>
          <w:tab w:val="num" w:pos="4320"/>
        </w:tabs>
        <w:ind w:left="4320" w:hanging="360"/>
      </w:pPr>
      <w:rPr>
        <w:rFonts w:ascii="Times New Roman" w:hAnsi="Times New Roman" w:hint="default"/>
      </w:rPr>
    </w:lvl>
    <w:lvl w:ilvl="6" w:tplc="8DF696DE" w:tentative="1">
      <w:start w:val="1"/>
      <w:numFmt w:val="bullet"/>
      <w:lvlText w:val="•"/>
      <w:lvlJc w:val="left"/>
      <w:pPr>
        <w:tabs>
          <w:tab w:val="num" w:pos="5040"/>
        </w:tabs>
        <w:ind w:left="5040" w:hanging="360"/>
      </w:pPr>
      <w:rPr>
        <w:rFonts w:ascii="Times New Roman" w:hAnsi="Times New Roman" w:hint="default"/>
      </w:rPr>
    </w:lvl>
    <w:lvl w:ilvl="7" w:tplc="35C0737C" w:tentative="1">
      <w:start w:val="1"/>
      <w:numFmt w:val="bullet"/>
      <w:lvlText w:val="•"/>
      <w:lvlJc w:val="left"/>
      <w:pPr>
        <w:tabs>
          <w:tab w:val="num" w:pos="5760"/>
        </w:tabs>
        <w:ind w:left="5760" w:hanging="360"/>
      </w:pPr>
      <w:rPr>
        <w:rFonts w:ascii="Times New Roman" w:hAnsi="Times New Roman" w:hint="default"/>
      </w:rPr>
    </w:lvl>
    <w:lvl w:ilvl="8" w:tplc="E3A4C86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F870B78"/>
    <w:multiLevelType w:val="hybridMultilevel"/>
    <w:tmpl w:val="5D32BAFC"/>
    <w:lvl w:ilvl="0" w:tplc="D3DC2B5C">
      <w:start w:val="1"/>
      <w:numFmt w:val="bullet"/>
      <w:lvlText w:val="•"/>
      <w:lvlJc w:val="left"/>
      <w:pPr>
        <w:tabs>
          <w:tab w:val="num" w:pos="720"/>
        </w:tabs>
        <w:ind w:left="720" w:hanging="360"/>
      </w:pPr>
      <w:rPr>
        <w:rFonts w:ascii="Times New Roman" w:hAnsi="Times New Roman" w:hint="default"/>
      </w:rPr>
    </w:lvl>
    <w:lvl w:ilvl="1" w:tplc="BED0C0D2" w:tentative="1">
      <w:start w:val="1"/>
      <w:numFmt w:val="bullet"/>
      <w:lvlText w:val="•"/>
      <w:lvlJc w:val="left"/>
      <w:pPr>
        <w:tabs>
          <w:tab w:val="num" w:pos="1440"/>
        </w:tabs>
        <w:ind w:left="1440" w:hanging="360"/>
      </w:pPr>
      <w:rPr>
        <w:rFonts w:ascii="Times New Roman" w:hAnsi="Times New Roman" w:hint="default"/>
      </w:rPr>
    </w:lvl>
    <w:lvl w:ilvl="2" w:tplc="B6C64712" w:tentative="1">
      <w:start w:val="1"/>
      <w:numFmt w:val="bullet"/>
      <w:lvlText w:val="•"/>
      <w:lvlJc w:val="left"/>
      <w:pPr>
        <w:tabs>
          <w:tab w:val="num" w:pos="2160"/>
        </w:tabs>
        <w:ind w:left="2160" w:hanging="360"/>
      </w:pPr>
      <w:rPr>
        <w:rFonts w:ascii="Times New Roman" w:hAnsi="Times New Roman" w:hint="default"/>
      </w:rPr>
    </w:lvl>
    <w:lvl w:ilvl="3" w:tplc="CA20CDB6" w:tentative="1">
      <w:start w:val="1"/>
      <w:numFmt w:val="bullet"/>
      <w:lvlText w:val="•"/>
      <w:lvlJc w:val="left"/>
      <w:pPr>
        <w:tabs>
          <w:tab w:val="num" w:pos="2880"/>
        </w:tabs>
        <w:ind w:left="2880" w:hanging="360"/>
      </w:pPr>
      <w:rPr>
        <w:rFonts w:ascii="Times New Roman" w:hAnsi="Times New Roman" w:hint="default"/>
      </w:rPr>
    </w:lvl>
    <w:lvl w:ilvl="4" w:tplc="50706B7C" w:tentative="1">
      <w:start w:val="1"/>
      <w:numFmt w:val="bullet"/>
      <w:lvlText w:val="•"/>
      <w:lvlJc w:val="left"/>
      <w:pPr>
        <w:tabs>
          <w:tab w:val="num" w:pos="3600"/>
        </w:tabs>
        <w:ind w:left="3600" w:hanging="360"/>
      </w:pPr>
      <w:rPr>
        <w:rFonts w:ascii="Times New Roman" w:hAnsi="Times New Roman" w:hint="default"/>
      </w:rPr>
    </w:lvl>
    <w:lvl w:ilvl="5" w:tplc="F196A2F6" w:tentative="1">
      <w:start w:val="1"/>
      <w:numFmt w:val="bullet"/>
      <w:lvlText w:val="•"/>
      <w:lvlJc w:val="left"/>
      <w:pPr>
        <w:tabs>
          <w:tab w:val="num" w:pos="4320"/>
        </w:tabs>
        <w:ind w:left="4320" w:hanging="360"/>
      </w:pPr>
      <w:rPr>
        <w:rFonts w:ascii="Times New Roman" w:hAnsi="Times New Roman" w:hint="default"/>
      </w:rPr>
    </w:lvl>
    <w:lvl w:ilvl="6" w:tplc="23A8488A" w:tentative="1">
      <w:start w:val="1"/>
      <w:numFmt w:val="bullet"/>
      <w:lvlText w:val="•"/>
      <w:lvlJc w:val="left"/>
      <w:pPr>
        <w:tabs>
          <w:tab w:val="num" w:pos="5040"/>
        </w:tabs>
        <w:ind w:left="5040" w:hanging="360"/>
      </w:pPr>
      <w:rPr>
        <w:rFonts w:ascii="Times New Roman" w:hAnsi="Times New Roman" w:hint="default"/>
      </w:rPr>
    </w:lvl>
    <w:lvl w:ilvl="7" w:tplc="379CAC9C" w:tentative="1">
      <w:start w:val="1"/>
      <w:numFmt w:val="bullet"/>
      <w:lvlText w:val="•"/>
      <w:lvlJc w:val="left"/>
      <w:pPr>
        <w:tabs>
          <w:tab w:val="num" w:pos="5760"/>
        </w:tabs>
        <w:ind w:left="5760" w:hanging="360"/>
      </w:pPr>
      <w:rPr>
        <w:rFonts w:ascii="Times New Roman" w:hAnsi="Times New Roman" w:hint="default"/>
      </w:rPr>
    </w:lvl>
    <w:lvl w:ilvl="8" w:tplc="88629E1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3AC0777"/>
    <w:multiLevelType w:val="hybridMultilevel"/>
    <w:tmpl w:val="26087EE8"/>
    <w:lvl w:ilvl="0" w:tplc="0B040FB0">
      <w:start w:val="1"/>
      <w:numFmt w:val="bullet"/>
      <w:lvlText w:val="•"/>
      <w:lvlJc w:val="left"/>
      <w:pPr>
        <w:tabs>
          <w:tab w:val="num" w:pos="720"/>
        </w:tabs>
        <w:ind w:left="720" w:hanging="360"/>
      </w:pPr>
      <w:rPr>
        <w:rFonts w:ascii="Times New Roman" w:hAnsi="Times New Roman" w:hint="default"/>
      </w:rPr>
    </w:lvl>
    <w:lvl w:ilvl="1" w:tplc="3640B5FA" w:tentative="1">
      <w:start w:val="1"/>
      <w:numFmt w:val="bullet"/>
      <w:lvlText w:val="•"/>
      <w:lvlJc w:val="left"/>
      <w:pPr>
        <w:tabs>
          <w:tab w:val="num" w:pos="1440"/>
        </w:tabs>
        <w:ind w:left="1440" w:hanging="360"/>
      </w:pPr>
      <w:rPr>
        <w:rFonts w:ascii="Times New Roman" w:hAnsi="Times New Roman" w:hint="default"/>
      </w:rPr>
    </w:lvl>
    <w:lvl w:ilvl="2" w:tplc="CBD4307E" w:tentative="1">
      <w:start w:val="1"/>
      <w:numFmt w:val="bullet"/>
      <w:lvlText w:val="•"/>
      <w:lvlJc w:val="left"/>
      <w:pPr>
        <w:tabs>
          <w:tab w:val="num" w:pos="2160"/>
        </w:tabs>
        <w:ind w:left="2160" w:hanging="360"/>
      </w:pPr>
      <w:rPr>
        <w:rFonts w:ascii="Times New Roman" w:hAnsi="Times New Roman" w:hint="default"/>
      </w:rPr>
    </w:lvl>
    <w:lvl w:ilvl="3" w:tplc="C9F09984" w:tentative="1">
      <w:start w:val="1"/>
      <w:numFmt w:val="bullet"/>
      <w:lvlText w:val="•"/>
      <w:lvlJc w:val="left"/>
      <w:pPr>
        <w:tabs>
          <w:tab w:val="num" w:pos="2880"/>
        </w:tabs>
        <w:ind w:left="2880" w:hanging="360"/>
      </w:pPr>
      <w:rPr>
        <w:rFonts w:ascii="Times New Roman" w:hAnsi="Times New Roman" w:hint="default"/>
      </w:rPr>
    </w:lvl>
    <w:lvl w:ilvl="4" w:tplc="FE64080C" w:tentative="1">
      <w:start w:val="1"/>
      <w:numFmt w:val="bullet"/>
      <w:lvlText w:val="•"/>
      <w:lvlJc w:val="left"/>
      <w:pPr>
        <w:tabs>
          <w:tab w:val="num" w:pos="3600"/>
        </w:tabs>
        <w:ind w:left="3600" w:hanging="360"/>
      </w:pPr>
      <w:rPr>
        <w:rFonts w:ascii="Times New Roman" w:hAnsi="Times New Roman" w:hint="default"/>
      </w:rPr>
    </w:lvl>
    <w:lvl w:ilvl="5" w:tplc="286866E2" w:tentative="1">
      <w:start w:val="1"/>
      <w:numFmt w:val="bullet"/>
      <w:lvlText w:val="•"/>
      <w:lvlJc w:val="left"/>
      <w:pPr>
        <w:tabs>
          <w:tab w:val="num" w:pos="4320"/>
        </w:tabs>
        <w:ind w:left="4320" w:hanging="360"/>
      </w:pPr>
      <w:rPr>
        <w:rFonts w:ascii="Times New Roman" w:hAnsi="Times New Roman" w:hint="default"/>
      </w:rPr>
    </w:lvl>
    <w:lvl w:ilvl="6" w:tplc="8384DC40" w:tentative="1">
      <w:start w:val="1"/>
      <w:numFmt w:val="bullet"/>
      <w:lvlText w:val="•"/>
      <w:lvlJc w:val="left"/>
      <w:pPr>
        <w:tabs>
          <w:tab w:val="num" w:pos="5040"/>
        </w:tabs>
        <w:ind w:left="5040" w:hanging="360"/>
      </w:pPr>
      <w:rPr>
        <w:rFonts w:ascii="Times New Roman" w:hAnsi="Times New Roman" w:hint="default"/>
      </w:rPr>
    </w:lvl>
    <w:lvl w:ilvl="7" w:tplc="1A4AD6E8" w:tentative="1">
      <w:start w:val="1"/>
      <w:numFmt w:val="bullet"/>
      <w:lvlText w:val="•"/>
      <w:lvlJc w:val="left"/>
      <w:pPr>
        <w:tabs>
          <w:tab w:val="num" w:pos="5760"/>
        </w:tabs>
        <w:ind w:left="5760" w:hanging="360"/>
      </w:pPr>
      <w:rPr>
        <w:rFonts w:ascii="Times New Roman" w:hAnsi="Times New Roman" w:hint="default"/>
      </w:rPr>
    </w:lvl>
    <w:lvl w:ilvl="8" w:tplc="FF587D9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CD31728"/>
    <w:multiLevelType w:val="hybridMultilevel"/>
    <w:tmpl w:val="1682CF7C"/>
    <w:lvl w:ilvl="0" w:tplc="47FE680E">
      <w:start w:val="1"/>
      <w:numFmt w:val="bullet"/>
      <w:lvlText w:val="•"/>
      <w:lvlJc w:val="left"/>
      <w:pPr>
        <w:tabs>
          <w:tab w:val="num" w:pos="720"/>
        </w:tabs>
        <w:ind w:left="720" w:hanging="360"/>
      </w:pPr>
      <w:rPr>
        <w:rFonts w:ascii="Times New Roman" w:hAnsi="Times New Roman" w:hint="default"/>
      </w:rPr>
    </w:lvl>
    <w:lvl w:ilvl="1" w:tplc="68226314" w:tentative="1">
      <w:start w:val="1"/>
      <w:numFmt w:val="bullet"/>
      <w:lvlText w:val="•"/>
      <w:lvlJc w:val="left"/>
      <w:pPr>
        <w:tabs>
          <w:tab w:val="num" w:pos="1440"/>
        </w:tabs>
        <w:ind w:left="1440" w:hanging="360"/>
      </w:pPr>
      <w:rPr>
        <w:rFonts w:ascii="Times New Roman" w:hAnsi="Times New Roman" w:hint="default"/>
      </w:rPr>
    </w:lvl>
    <w:lvl w:ilvl="2" w:tplc="80E09616" w:tentative="1">
      <w:start w:val="1"/>
      <w:numFmt w:val="bullet"/>
      <w:lvlText w:val="•"/>
      <w:lvlJc w:val="left"/>
      <w:pPr>
        <w:tabs>
          <w:tab w:val="num" w:pos="2160"/>
        </w:tabs>
        <w:ind w:left="2160" w:hanging="360"/>
      </w:pPr>
      <w:rPr>
        <w:rFonts w:ascii="Times New Roman" w:hAnsi="Times New Roman" w:hint="default"/>
      </w:rPr>
    </w:lvl>
    <w:lvl w:ilvl="3" w:tplc="39DE7A6A" w:tentative="1">
      <w:start w:val="1"/>
      <w:numFmt w:val="bullet"/>
      <w:lvlText w:val="•"/>
      <w:lvlJc w:val="left"/>
      <w:pPr>
        <w:tabs>
          <w:tab w:val="num" w:pos="2880"/>
        </w:tabs>
        <w:ind w:left="2880" w:hanging="360"/>
      </w:pPr>
      <w:rPr>
        <w:rFonts w:ascii="Times New Roman" w:hAnsi="Times New Roman" w:hint="default"/>
      </w:rPr>
    </w:lvl>
    <w:lvl w:ilvl="4" w:tplc="B352D4BE" w:tentative="1">
      <w:start w:val="1"/>
      <w:numFmt w:val="bullet"/>
      <w:lvlText w:val="•"/>
      <w:lvlJc w:val="left"/>
      <w:pPr>
        <w:tabs>
          <w:tab w:val="num" w:pos="3600"/>
        </w:tabs>
        <w:ind w:left="3600" w:hanging="360"/>
      </w:pPr>
      <w:rPr>
        <w:rFonts w:ascii="Times New Roman" w:hAnsi="Times New Roman" w:hint="default"/>
      </w:rPr>
    </w:lvl>
    <w:lvl w:ilvl="5" w:tplc="27F8B69E" w:tentative="1">
      <w:start w:val="1"/>
      <w:numFmt w:val="bullet"/>
      <w:lvlText w:val="•"/>
      <w:lvlJc w:val="left"/>
      <w:pPr>
        <w:tabs>
          <w:tab w:val="num" w:pos="4320"/>
        </w:tabs>
        <w:ind w:left="4320" w:hanging="360"/>
      </w:pPr>
      <w:rPr>
        <w:rFonts w:ascii="Times New Roman" w:hAnsi="Times New Roman" w:hint="default"/>
      </w:rPr>
    </w:lvl>
    <w:lvl w:ilvl="6" w:tplc="468CE05C" w:tentative="1">
      <w:start w:val="1"/>
      <w:numFmt w:val="bullet"/>
      <w:lvlText w:val="•"/>
      <w:lvlJc w:val="left"/>
      <w:pPr>
        <w:tabs>
          <w:tab w:val="num" w:pos="5040"/>
        </w:tabs>
        <w:ind w:left="5040" w:hanging="360"/>
      </w:pPr>
      <w:rPr>
        <w:rFonts w:ascii="Times New Roman" w:hAnsi="Times New Roman" w:hint="default"/>
      </w:rPr>
    </w:lvl>
    <w:lvl w:ilvl="7" w:tplc="E938CC18" w:tentative="1">
      <w:start w:val="1"/>
      <w:numFmt w:val="bullet"/>
      <w:lvlText w:val="•"/>
      <w:lvlJc w:val="left"/>
      <w:pPr>
        <w:tabs>
          <w:tab w:val="num" w:pos="5760"/>
        </w:tabs>
        <w:ind w:left="5760" w:hanging="360"/>
      </w:pPr>
      <w:rPr>
        <w:rFonts w:ascii="Times New Roman" w:hAnsi="Times New Roman" w:hint="default"/>
      </w:rPr>
    </w:lvl>
    <w:lvl w:ilvl="8" w:tplc="6052B6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EEC3131"/>
    <w:multiLevelType w:val="hybridMultilevel"/>
    <w:tmpl w:val="BEFEC0E6"/>
    <w:lvl w:ilvl="0" w:tplc="DD28DE3E">
      <w:start w:val="1"/>
      <w:numFmt w:val="bullet"/>
      <w:lvlText w:val=""/>
      <w:lvlJc w:val="left"/>
      <w:pPr>
        <w:tabs>
          <w:tab w:val="num" w:pos="720"/>
        </w:tabs>
        <w:ind w:left="720" w:hanging="360"/>
      </w:pPr>
      <w:rPr>
        <w:rFonts w:ascii="Wingdings" w:hAnsi="Wingdings" w:hint="default"/>
      </w:rPr>
    </w:lvl>
    <w:lvl w:ilvl="1" w:tplc="9C54E676" w:tentative="1">
      <w:start w:val="1"/>
      <w:numFmt w:val="bullet"/>
      <w:lvlText w:val=""/>
      <w:lvlJc w:val="left"/>
      <w:pPr>
        <w:tabs>
          <w:tab w:val="num" w:pos="1440"/>
        </w:tabs>
        <w:ind w:left="1440" w:hanging="360"/>
      </w:pPr>
      <w:rPr>
        <w:rFonts w:ascii="Wingdings" w:hAnsi="Wingdings" w:hint="default"/>
      </w:rPr>
    </w:lvl>
    <w:lvl w:ilvl="2" w:tplc="E99EE486" w:tentative="1">
      <w:start w:val="1"/>
      <w:numFmt w:val="bullet"/>
      <w:lvlText w:val=""/>
      <w:lvlJc w:val="left"/>
      <w:pPr>
        <w:tabs>
          <w:tab w:val="num" w:pos="2160"/>
        </w:tabs>
        <w:ind w:left="2160" w:hanging="360"/>
      </w:pPr>
      <w:rPr>
        <w:rFonts w:ascii="Wingdings" w:hAnsi="Wingdings" w:hint="default"/>
      </w:rPr>
    </w:lvl>
    <w:lvl w:ilvl="3" w:tplc="7CE6DFC8" w:tentative="1">
      <w:start w:val="1"/>
      <w:numFmt w:val="bullet"/>
      <w:lvlText w:val=""/>
      <w:lvlJc w:val="left"/>
      <w:pPr>
        <w:tabs>
          <w:tab w:val="num" w:pos="2880"/>
        </w:tabs>
        <w:ind w:left="2880" w:hanging="360"/>
      </w:pPr>
      <w:rPr>
        <w:rFonts w:ascii="Wingdings" w:hAnsi="Wingdings" w:hint="default"/>
      </w:rPr>
    </w:lvl>
    <w:lvl w:ilvl="4" w:tplc="B364A030" w:tentative="1">
      <w:start w:val="1"/>
      <w:numFmt w:val="bullet"/>
      <w:lvlText w:val=""/>
      <w:lvlJc w:val="left"/>
      <w:pPr>
        <w:tabs>
          <w:tab w:val="num" w:pos="3600"/>
        </w:tabs>
        <w:ind w:left="3600" w:hanging="360"/>
      </w:pPr>
      <w:rPr>
        <w:rFonts w:ascii="Wingdings" w:hAnsi="Wingdings" w:hint="default"/>
      </w:rPr>
    </w:lvl>
    <w:lvl w:ilvl="5" w:tplc="D32CCCEC" w:tentative="1">
      <w:start w:val="1"/>
      <w:numFmt w:val="bullet"/>
      <w:lvlText w:val=""/>
      <w:lvlJc w:val="left"/>
      <w:pPr>
        <w:tabs>
          <w:tab w:val="num" w:pos="4320"/>
        </w:tabs>
        <w:ind w:left="4320" w:hanging="360"/>
      </w:pPr>
      <w:rPr>
        <w:rFonts w:ascii="Wingdings" w:hAnsi="Wingdings" w:hint="default"/>
      </w:rPr>
    </w:lvl>
    <w:lvl w:ilvl="6" w:tplc="082830A2" w:tentative="1">
      <w:start w:val="1"/>
      <w:numFmt w:val="bullet"/>
      <w:lvlText w:val=""/>
      <w:lvlJc w:val="left"/>
      <w:pPr>
        <w:tabs>
          <w:tab w:val="num" w:pos="5040"/>
        </w:tabs>
        <w:ind w:left="5040" w:hanging="360"/>
      </w:pPr>
      <w:rPr>
        <w:rFonts w:ascii="Wingdings" w:hAnsi="Wingdings" w:hint="default"/>
      </w:rPr>
    </w:lvl>
    <w:lvl w:ilvl="7" w:tplc="0C7AE286" w:tentative="1">
      <w:start w:val="1"/>
      <w:numFmt w:val="bullet"/>
      <w:lvlText w:val=""/>
      <w:lvlJc w:val="left"/>
      <w:pPr>
        <w:tabs>
          <w:tab w:val="num" w:pos="5760"/>
        </w:tabs>
        <w:ind w:left="5760" w:hanging="360"/>
      </w:pPr>
      <w:rPr>
        <w:rFonts w:ascii="Wingdings" w:hAnsi="Wingdings" w:hint="default"/>
      </w:rPr>
    </w:lvl>
    <w:lvl w:ilvl="8" w:tplc="D148787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4"/>
  </w:num>
  <w:num w:numId="6">
    <w:abstractNumId w:val="5"/>
  </w:num>
  <w:num w:numId="7">
    <w:abstractNumId w:val="12"/>
  </w:num>
  <w:num w:numId="8">
    <w:abstractNumId w:val="2"/>
  </w:num>
  <w:num w:numId="9">
    <w:abstractNumId w:val="11"/>
  </w:num>
  <w:num w:numId="10">
    <w:abstractNumId w:val="13"/>
  </w:num>
  <w:num w:numId="11">
    <w:abstractNumId w:val="14"/>
  </w:num>
  <w:num w:numId="12">
    <w:abstractNumId w:val="6"/>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DF"/>
    <w:rsid w:val="000011A7"/>
    <w:rsid w:val="00001C37"/>
    <w:rsid w:val="000032CF"/>
    <w:rsid w:val="0000594D"/>
    <w:rsid w:val="000059AC"/>
    <w:rsid w:val="00005DCA"/>
    <w:rsid w:val="00006D24"/>
    <w:rsid w:val="00011F74"/>
    <w:rsid w:val="00020CE0"/>
    <w:rsid w:val="00022197"/>
    <w:rsid w:val="00024B85"/>
    <w:rsid w:val="0002551A"/>
    <w:rsid w:val="000259D4"/>
    <w:rsid w:val="000278CF"/>
    <w:rsid w:val="0003002A"/>
    <w:rsid w:val="000305F2"/>
    <w:rsid w:val="00032C99"/>
    <w:rsid w:val="00032FBF"/>
    <w:rsid w:val="00033D63"/>
    <w:rsid w:val="00034CC3"/>
    <w:rsid w:val="000370A9"/>
    <w:rsid w:val="000445E2"/>
    <w:rsid w:val="000463F7"/>
    <w:rsid w:val="00050BEE"/>
    <w:rsid w:val="0005252A"/>
    <w:rsid w:val="0006000E"/>
    <w:rsid w:val="000601DB"/>
    <w:rsid w:val="00061AB1"/>
    <w:rsid w:val="00061BE5"/>
    <w:rsid w:val="00063096"/>
    <w:rsid w:val="00063DD6"/>
    <w:rsid w:val="0006776F"/>
    <w:rsid w:val="00071922"/>
    <w:rsid w:val="0007418F"/>
    <w:rsid w:val="000753BC"/>
    <w:rsid w:val="00075ACB"/>
    <w:rsid w:val="00075DBF"/>
    <w:rsid w:val="00077A58"/>
    <w:rsid w:val="000811AE"/>
    <w:rsid w:val="00081CCD"/>
    <w:rsid w:val="00083580"/>
    <w:rsid w:val="00086B44"/>
    <w:rsid w:val="0008765B"/>
    <w:rsid w:val="000879F2"/>
    <w:rsid w:val="000908AB"/>
    <w:rsid w:val="000936F4"/>
    <w:rsid w:val="00093E05"/>
    <w:rsid w:val="00093E66"/>
    <w:rsid w:val="0009420C"/>
    <w:rsid w:val="00095DF9"/>
    <w:rsid w:val="000967DD"/>
    <w:rsid w:val="00097274"/>
    <w:rsid w:val="000A2627"/>
    <w:rsid w:val="000A4894"/>
    <w:rsid w:val="000A70E6"/>
    <w:rsid w:val="000B4601"/>
    <w:rsid w:val="000B6BA1"/>
    <w:rsid w:val="000C0B54"/>
    <w:rsid w:val="000C1C7E"/>
    <w:rsid w:val="000C2C6E"/>
    <w:rsid w:val="000C2D9B"/>
    <w:rsid w:val="000C3218"/>
    <w:rsid w:val="000C58F6"/>
    <w:rsid w:val="000C6167"/>
    <w:rsid w:val="000C6FD5"/>
    <w:rsid w:val="000C7475"/>
    <w:rsid w:val="000D3587"/>
    <w:rsid w:val="000D471E"/>
    <w:rsid w:val="000D6B38"/>
    <w:rsid w:val="000E02E7"/>
    <w:rsid w:val="000E31DB"/>
    <w:rsid w:val="000E35C0"/>
    <w:rsid w:val="000E509C"/>
    <w:rsid w:val="000E51E4"/>
    <w:rsid w:val="000F6ED3"/>
    <w:rsid w:val="00103A86"/>
    <w:rsid w:val="00103AB5"/>
    <w:rsid w:val="0010596C"/>
    <w:rsid w:val="00111013"/>
    <w:rsid w:val="0011286C"/>
    <w:rsid w:val="00112CE3"/>
    <w:rsid w:val="00122327"/>
    <w:rsid w:val="00122E2E"/>
    <w:rsid w:val="0012491B"/>
    <w:rsid w:val="00125017"/>
    <w:rsid w:val="00131823"/>
    <w:rsid w:val="00136691"/>
    <w:rsid w:val="00136B7D"/>
    <w:rsid w:val="00136CB6"/>
    <w:rsid w:val="001447FF"/>
    <w:rsid w:val="001450BA"/>
    <w:rsid w:val="00147144"/>
    <w:rsid w:val="00150A4B"/>
    <w:rsid w:val="001514D2"/>
    <w:rsid w:val="00152005"/>
    <w:rsid w:val="00153528"/>
    <w:rsid w:val="00154601"/>
    <w:rsid w:val="00155926"/>
    <w:rsid w:val="001574B3"/>
    <w:rsid w:val="0016118B"/>
    <w:rsid w:val="00161F83"/>
    <w:rsid w:val="001636FB"/>
    <w:rsid w:val="00165874"/>
    <w:rsid w:val="00166097"/>
    <w:rsid w:val="00167128"/>
    <w:rsid w:val="00167EDA"/>
    <w:rsid w:val="00172BAC"/>
    <w:rsid w:val="0018089A"/>
    <w:rsid w:val="00180DAB"/>
    <w:rsid w:val="001828AC"/>
    <w:rsid w:val="00191F07"/>
    <w:rsid w:val="00194709"/>
    <w:rsid w:val="00195E9D"/>
    <w:rsid w:val="001A100A"/>
    <w:rsid w:val="001A3625"/>
    <w:rsid w:val="001A3896"/>
    <w:rsid w:val="001A3B73"/>
    <w:rsid w:val="001A421F"/>
    <w:rsid w:val="001A5AA7"/>
    <w:rsid w:val="001A794A"/>
    <w:rsid w:val="001B0C6F"/>
    <w:rsid w:val="001B7295"/>
    <w:rsid w:val="001C04BB"/>
    <w:rsid w:val="001C2CFD"/>
    <w:rsid w:val="001C42E9"/>
    <w:rsid w:val="001D051F"/>
    <w:rsid w:val="001D05D0"/>
    <w:rsid w:val="001D2E7D"/>
    <w:rsid w:val="001D7D3E"/>
    <w:rsid w:val="001E228E"/>
    <w:rsid w:val="001E73D9"/>
    <w:rsid w:val="001F16BE"/>
    <w:rsid w:val="001F2AB3"/>
    <w:rsid w:val="001F4C7F"/>
    <w:rsid w:val="001F5F13"/>
    <w:rsid w:val="0020333F"/>
    <w:rsid w:val="00203C7D"/>
    <w:rsid w:val="00206936"/>
    <w:rsid w:val="00207DB5"/>
    <w:rsid w:val="0021772C"/>
    <w:rsid w:val="00217832"/>
    <w:rsid w:val="0022175F"/>
    <w:rsid w:val="00222299"/>
    <w:rsid w:val="002224FB"/>
    <w:rsid w:val="00225997"/>
    <w:rsid w:val="00230002"/>
    <w:rsid w:val="00230DCA"/>
    <w:rsid w:val="0023180D"/>
    <w:rsid w:val="00232A50"/>
    <w:rsid w:val="0023445A"/>
    <w:rsid w:val="0024522A"/>
    <w:rsid w:val="00245C28"/>
    <w:rsid w:val="00251274"/>
    <w:rsid w:val="00254778"/>
    <w:rsid w:val="00254A3B"/>
    <w:rsid w:val="00260664"/>
    <w:rsid w:val="00260B58"/>
    <w:rsid w:val="00261591"/>
    <w:rsid w:val="00261CF1"/>
    <w:rsid w:val="002659B2"/>
    <w:rsid w:val="00266803"/>
    <w:rsid w:val="002749B5"/>
    <w:rsid w:val="002754BE"/>
    <w:rsid w:val="002755B6"/>
    <w:rsid w:val="00275616"/>
    <w:rsid w:val="00276405"/>
    <w:rsid w:val="00285C69"/>
    <w:rsid w:val="00290664"/>
    <w:rsid w:val="002910A9"/>
    <w:rsid w:val="002918BD"/>
    <w:rsid w:val="00295A20"/>
    <w:rsid w:val="0029736E"/>
    <w:rsid w:val="002A1921"/>
    <w:rsid w:val="002A3055"/>
    <w:rsid w:val="002A3392"/>
    <w:rsid w:val="002A395D"/>
    <w:rsid w:val="002A411A"/>
    <w:rsid w:val="002A436F"/>
    <w:rsid w:val="002A5130"/>
    <w:rsid w:val="002A522A"/>
    <w:rsid w:val="002A6850"/>
    <w:rsid w:val="002C3712"/>
    <w:rsid w:val="002C3ED8"/>
    <w:rsid w:val="002C7DDB"/>
    <w:rsid w:val="002D0DE5"/>
    <w:rsid w:val="002D130A"/>
    <w:rsid w:val="002D2756"/>
    <w:rsid w:val="002D3980"/>
    <w:rsid w:val="002D5069"/>
    <w:rsid w:val="002D7A9D"/>
    <w:rsid w:val="002E2194"/>
    <w:rsid w:val="002E6204"/>
    <w:rsid w:val="002E6743"/>
    <w:rsid w:val="002F34E9"/>
    <w:rsid w:val="002F4B22"/>
    <w:rsid w:val="002F4CD8"/>
    <w:rsid w:val="003006EF"/>
    <w:rsid w:val="0030136D"/>
    <w:rsid w:val="003014E8"/>
    <w:rsid w:val="003046C8"/>
    <w:rsid w:val="00305757"/>
    <w:rsid w:val="00306747"/>
    <w:rsid w:val="00312173"/>
    <w:rsid w:val="003163D5"/>
    <w:rsid w:val="00330FE3"/>
    <w:rsid w:val="003323C1"/>
    <w:rsid w:val="003330C4"/>
    <w:rsid w:val="00335F58"/>
    <w:rsid w:val="00335FF8"/>
    <w:rsid w:val="00336F28"/>
    <w:rsid w:val="0033715A"/>
    <w:rsid w:val="00340088"/>
    <w:rsid w:val="00340F3E"/>
    <w:rsid w:val="00345E90"/>
    <w:rsid w:val="0034679A"/>
    <w:rsid w:val="00350863"/>
    <w:rsid w:val="00352BD4"/>
    <w:rsid w:val="003570CA"/>
    <w:rsid w:val="003578A3"/>
    <w:rsid w:val="0036173B"/>
    <w:rsid w:val="0036213D"/>
    <w:rsid w:val="00362919"/>
    <w:rsid w:val="00363D8B"/>
    <w:rsid w:val="00370D0D"/>
    <w:rsid w:val="00373ED0"/>
    <w:rsid w:val="003745B7"/>
    <w:rsid w:val="003757FE"/>
    <w:rsid w:val="00380952"/>
    <w:rsid w:val="00380F02"/>
    <w:rsid w:val="003837C0"/>
    <w:rsid w:val="0039275A"/>
    <w:rsid w:val="0039426B"/>
    <w:rsid w:val="003A5525"/>
    <w:rsid w:val="003A56FF"/>
    <w:rsid w:val="003A6266"/>
    <w:rsid w:val="003B13E1"/>
    <w:rsid w:val="003B19BC"/>
    <w:rsid w:val="003B386B"/>
    <w:rsid w:val="003B5786"/>
    <w:rsid w:val="003B622B"/>
    <w:rsid w:val="003B7722"/>
    <w:rsid w:val="003C70ED"/>
    <w:rsid w:val="003C72C4"/>
    <w:rsid w:val="003D0D61"/>
    <w:rsid w:val="003D1BCF"/>
    <w:rsid w:val="003D478A"/>
    <w:rsid w:val="003D63AC"/>
    <w:rsid w:val="003D68BD"/>
    <w:rsid w:val="003E2E7F"/>
    <w:rsid w:val="003E5C60"/>
    <w:rsid w:val="003E7E27"/>
    <w:rsid w:val="003F1945"/>
    <w:rsid w:val="003F1DF5"/>
    <w:rsid w:val="003F272F"/>
    <w:rsid w:val="003F3E6D"/>
    <w:rsid w:val="003F54DC"/>
    <w:rsid w:val="003F5C3C"/>
    <w:rsid w:val="003F60E2"/>
    <w:rsid w:val="003F6D0B"/>
    <w:rsid w:val="00400B5C"/>
    <w:rsid w:val="004017C3"/>
    <w:rsid w:val="0040486F"/>
    <w:rsid w:val="004102AE"/>
    <w:rsid w:val="004105D3"/>
    <w:rsid w:val="00412035"/>
    <w:rsid w:val="004127D7"/>
    <w:rsid w:val="00416474"/>
    <w:rsid w:val="00416F67"/>
    <w:rsid w:val="00420C40"/>
    <w:rsid w:val="00421689"/>
    <w:rsid w:val="0042259E"/>
    <w:rsid w:val="00423136"/>
    <w:rsid w:val="004247CC"/>
    <w:rsid w:val="00427CE0"/>
    <w:rsid w:val="00430E8D"/>
    <w:rsid w:val="004322BD"/>
    <w:rsid w:val="0043620B"/>
    <w:rsid w:val="00437F86"/>
    <w:rsid w:val="00442F96"/>
    <w:rsid w:val="004434AA"/>
    <w:rsid w:val="00455529"/>
    <w:rsid w:val="00456A62"/>
    <w:rsid w:val="00462089"/>
    <w:rsid w:val="004654B5"/>
    <w:rsid w:val="00466055"/>
    <w:rsid w:val="00470F99"/>
    <w:rsid w:val="00471727"/>
    <w:rsid w:val="00473AB2"/>
    <w:rsid w:val="00477332"/>
    <w:rsid w:val="00477356"/>
    <w:rsid w:val="004774B6"/>
    <w:rsid w:val="00480730"/>
    <w:rsid w:val="00480EDA"/>
    <w:rsid w:val="00481874"/>
    <w:rsid w:val="00482B3B"/>
    <w:rsid w:val="00482B60"/>
    <w:rsid w:val="00485FDC"/>
    <w:rsid w:val="00486730"/>
    <w:rsid w:val="00486C4D"/>
    <w:rsid w:val="00497A10"/>
    <w:rsid w:val="00497A9E"/>
    <w:rsid w:val="004A1F60"/>
    <w:rsid w:val="004A3FB3"/>
    <w:rsid w:val="004A4178"/>
    <w:rsid w:val="004A4B10"/>
    <w:rsid w:val="004A555F"/>
    <w:rsid w:val="004A7C1A"/>
    <w:rsid w:val="004B1643"/>
    <w:rsid w:val="004B2791"/>
    <w:rsid w:val="004B4BF8"/>
    <w:rsid w:val="004C02B9"/>
    <w:rsid w:val="004C1703"/>
    <w:rsid w:val="004C7609"/>
    <w:rsid w:val="004C7C41"/>
    <w:rsid w:val="004D05CD"/>
    <w:rsid w:val="004D3AC4"/>
    <w:rsid w:val="004D403E"/>
    <w:rsid w:val="004D4232"/>
    <w:rsid w:val="004D5CF1"/>
    <w:rsid w:val="004D787D"/>
    <w:rsid w:val="004E14E4"/>
    <w:rsid w:val="004E2606"/>
    <w:rsid w:val="004E396B"/>
    <w:rsid w:val="004E4338"/>
    <w:rsid w:val="004E5DFF"/>
    <w:rsid w:val="004E6E67"/>
    <w:rsid w:val="004E7CE0"/>
    <w:rsid w:val="004E7D5B"/>
    <w:rsid w:val="004E7FE8"/>
    <w:rsid w:val="004F1D3D"/>
    <w:rsid w:val="004F3B96"/>
    <w:rsid w:val="004F44E5"/>
    <w:rsid w:val="004F5487"/>
    <w:rsid w:val="004F5921"/>
    <w:rsid w:val="005018EA"/>
    <w:rsid w:val="00505221"/>
    <w:rsid w:val="0050684C"/>
    <w:rsid w:val="00506B8D"/>
    <w:rsid w:val="00507BB0"/>
    <w:rsid w:val="005122F3"/>
    <w:rsid w:val="005148BF"/>
    <w:rsid w:val="00516ECA"/>
    <w:rsid w:val="00525CA5"/>
    <w:rsid w:val="00531E64"/>
    <w:rsid w:val="00536AD5"/>
    <w:rsid w:val="00537C3F"/>
    <w:rsid w:val="00537E7E"/>
    <w:rsid w:val="00541E6B"/>
    <w:rsid w:val="0054289A"/>
    <w:rsid w:val="00546246"/>
    <w:rsid w:val="00551550"/>
    <w:rsid w:val="00551C6A"/>
    <w:rsid w:val="00551FB3"/>
    <w:rsid w:val="00552B31"/>
    <w:rsid w:val="00553BC6"/>
    <w:rsid w:val="00555027"/>
    <w:rsid w:val="0055654D"/>
    <w:rsid w:val="00556E57"/>
    <w:rsid w:val="005574AD"/>
    <w:rsid w:val="005579B8"/>
    <w:rsid w:val="005603BB"/>
    <w:rsid w:val="00564AEE"/>
    <w:rsid w:val="00565B88"/>
    <w:rsid w:val="00567223"/>
    <w:rsid w:val="00572680"/>
    <w:rsid w:val="00575870"/>
    <w:rsid w:val="00577367"/>
    <w:rsid w:val="00584963"/>
    <w:rsid w:val="00586269"/>
    <w:rsid w:val="0058626F"/>
    <w:rsid w:val="00591106"/>
    <w:rsid w:val="00591B57"/>
    <w:rsid w:val="00592862"/>
    <w:rsid w:val="005953B8"/>
    <w:rsid w:val="0059643E"/>
    <w:rsid w:val="005976B8"/>
    <w:rsid w:val="005A168C"/>
    <w:rsid w:val="005A25E2"/>
    <w:rsid w:val="005A266D"/>
    <w:rsid w:val="005A5609"/>
    <w:rsid w:val="005A5C4B"/>
    <w:rsid w:val="005A6016"/>
    <w:rsid w:val="005A6CD3"/>
    <w:rsid w:val="005B0140"/>
    <w:rsid w:val="005B05D6"/>
    <w:rsid w:val="005B1C8E"/>
    <w:rsid w:val="005B2B21"/>
    <w:rsid w:val="005B3898"/>
    <w:rsid w:val="005B3EFF"/>
    <w:rsid w:val="005B44F3"/>
    <w:rsid w:val="005B6700"/>
    <w:rsid w:val="005C2713"/>
    <w:rsid w:val="005C4052"/>
    <w:rsid w:val="005C409F"/>
    <w:rsid w:val="005C7CE5"/>
    <w:rsid w:val="005D06FE"/>
    <w:rsid w:val="005D12F2"/>
    <w:rsid w:val="005D1D5E"/>
    <w:rsid w:val="005D29B1"/>
    <w:rsid w:val="005D35A0"/>
    <w:rsid w:val="005D58E4"/>
    <w:rsid w:val="005D7F85"/>
    <w:rsid w:val="005E2055"/>
    <w:rsid w:val="005E3E8E"/>
    <w:rsid w:val="005E5114"/>
    <w:rsid w:val="005F04CA"/>
    <w:rsid w:val="005F15D0"/>
    <w:rsid w:val="005F213D"/>
    <w:rsid w:val="005F2667"/>
    <w:rsid w:val="005F66FE"/>
    <w:rsid w:val="00604C5F"/>
    <w:rsid w:val="00607C2D"/>
    <w:rsid w:val="00611335"/>
    <w:rsid w:val="00611613"/>
    <w:rsid w:val="006117B9"/>
    <w:rsid w:val="00614B08"/>
    <w:rsid w:val="00614B29"/>
    <w:rsid w:val="00624C34"/>
    <w:rsid w:val="0062500F"/>
    <w:rsid w:val="0062616B"/>
    <w:rsid w:val="00627C07"/>
    <w:rsid w:val="00632D6B"/>
    <w:rsid w:val="0063456B"/>
    <w:rsid w:val="0063687C"/>
    <w:rsid w:val="00640452"/>
    <w:rsid w:val="00640A80"/>
    <w:rsid w:val="00641A2F"/>
    <w:rsid w:val="006426AA"/>
    <w:rsid w:val="00644CD9"/>
    <w:rsid w:val="00645506"/>
    <w:rsid w:val="00647886"/>
    <w:rsid w:val="00647F4A"/>
    <w:rsid w:val="00650E79"/>
    <w:rsid w:val="006512E4"/>
    <w:rsid w:val="006519EE"/>
    <w:rsid w:val="00652B19"/>
    <w:rsid w:val="00652CD7"/>
    <w:rsid w:val="00653C01"/>
    <w:rsid w:val="0065417E"/>
    <w:rsid w:val="00654CD1"/>
    <w:rsid w:val="00654F24"/>
    <w:rsid w:val="0065518C"/>
    <w:rsid w:val="00661190"/>
    <w:rsid w:val="006627DB"/>
    <w:rsid w:val="00665004"/>
    <w:rsid w:val="006666E6"/>
    <w:rsid w:val="00666EB4"/>
    <w:rsid w:val="0066712B"/>
    <w:rsid w:val="00667D87"/>
    <w:rsid w:val="006700E1"/>
    <w:rsid w:val="00671675"/>
    <w:rsid w:val="006772EF"/>
    <w:rsid w:val="006774D2"/>
    <w:rsid w:val="006775AB"/>
    <w:rsid w:val="00682012"/>
    <w:rsid w:val="006820F1"/>
    <w:rsid w:val="00682B26"/>
    <w:rsid w:val="00683217"/>
    <w:rsid w:val="00686DCE"/>
    <w:rsid w:val="00687560"/>
    <w:rsid w:val="00687966"/>
    <w:rsid w:val="006914FC"/>
    <w:rsid w:val="00693B87"/>
    <w:rsid w:val="0069507F"/>
    <w:rsid w:val="006954A3"/>
    <w:rsid w:val="00696A6F"/>
    <w:rsid w:val="006972CF"/>
    <w:rsid w:val="006A0114"/>
    <w:rsid w:val="006A0315"/>
    <w:rsid w:val="006A2F97"/>
    <w:rsid w:val="006A4559"/>
    <w:rsid w:val="006A6D53"/>
    <w:rsid w:val="006A707E"/>
    <w:rsid w:val="006A7761"/>
    <w:rsid w:val="006B349D"/>
    <w:rsid w:val="006B4250"/>
    <w:rsid w:val="006B6B40"/>
    <w:rsid w:val="006C1716"/>
    <w:rsid w:val="006C1F9C"/>
    <w:rsid w:val="006C513A"/>
    <w:rsid w:val="006C5339"/>
    <w:rsid w:val="006C6B87"/>
    <w:rsid w:val="006C7F38"/>
    <w:rsid w:val="006D052E"/>
    <w:rsid w:val="006D0623"/>
    <w:rsid w:val="006D0981"/>
    <w:rsid w:val="006D2484"/>
    <w:rsid w:val="006D2835"/>
    <w:rsid w:val="006D2CEF"/>
    <w:rsid w:val="006D455F"/>
    <w:rsid w:val="006D4FF6"/>
    <w:rsid w:val="006E2E9F"/>
    <w:rsid w:val="006E6098"/>
    <w:rsid w:val="006F6C26"/>
    <w:rsid w:val="0070050D"/>
    <w:rsid w:val="00700D37"/>
    <w:rsid w:val="007046DB"/>
    <w:rsid w:val="007061C7"/>
    <w:rsid w:val="00710059"/>
    <w:rsid w:val="00712084"/>
    <w:rsid w:val="007124A8"/>
    <w:rsid w:val="0071472E"/>
    <w:rsid w:val="007159EA"/>
    <w:rsid w:val="00715B51"/>
    <w:rsid w:val="007178F9"/>
    <w:rsid w:val="00721BE3"/>
    <w:rsid w:val="00722D11"/>
    <w:rsid w:val="0072311B"/>
    <w:rsid w:val="00725158"/>
    <w:rsid w:val="00727469"/>
    <w:rsid w:val="00730ED9"/>
    <w:rsid w:val="00731499"/>
    <w:rsid w:val="00735AF8"/>
    <w:rsid w:val="00736644"/>
    <w:rsid w:val="00736ED1"/>
    <w:rsid w:val="00737D21"/>
    <w:rsid w:val="00737DCB"/>
    <w:rsid w:val="007419B4"/>
    <w:rsid w:val="00745565"/>
    <w:rsid w:val="00746D32"/>
    <w:rsid w:val="00755393"/>
    <w:rsid w:val="00755D03"/>
    <w:rsid w:val="007575D8"/>
    <w:rsid w:val="00757953"/>
    <w:rsid w:val="00757B91"/>
    <w:rsid w:val="007605DA"/>
    <w:rsid w:val="00762450"/>
    <w:rsid w:val="00764C16"/>
    <w:rsid w:val="00765701"/>
    <w:rsid w:val="00766D9A"/>
    <w:rsid w:val="00767790"/>
    <w:rsid w:val="00772054"/>
    <w:rsid w:val="00772D5D"/>
    <w:rsid w:val="00776E52"/>
    <w:rsid w:val="0078217B"/>
    <w:rsid w:val="007826A3"/>
    <w:rsid w:val="00783920"/>
    <w:rsid w:val="00784A1E"/>
    <w:rsid w:val="00790245"/>
    <w:rsid w:val="007913B0"/>
    <w:rsid w:val="00791D09"/>
    <w:rsid w:val="00793ECE"/>
    <w:rsid w:val="00794FAA"/>
    <w:rsid w:val="007964CC"/>
    <w:rsid w:val="007A16D8"/>
    <w:rsid w:val="007A3257"/>
    <w:rsid w:val="007A3993"/>
    <w:rsid w:val="007A4430"/>
    <w:rsid w:val="007A57EB"/>
    <w:rsid w:val="007A6654"/>
    <w:rsid w:val="007A71E1"/>
    <w:rsid w:val="007A7F7F"/>
    <w:rsid w:val="007B141B"/>
    <w:rsid w:val="007B19AB"/>
    <w:rsid w:val="007B2A46"/>
    <w:rsid w:val="007B7F6D"/>
    <w:rsid w:val="007C0AEA"/>
    <w:rsid w:val="007C1059"/>
    <w:rsid w:val="007C5AD9"/>
    <w:rsid w:val="007C77CB"/>
    <w:rsid w:val="007D0A2C"/>
    <w:rsid w:val="007D191A"/>
    <w:rsid w:val="007D59DF"/>
    <w:rsid w:val="007D6B34"/>
    <w:rsid w:val="007D70BB"/>
    <w:rsid w:val="007E1832"/>
    <w:rsid w:val="007E1AC7"/>
    <w:rsid w:val="007E2822"/>
    <w:rsid w:val="007E2A78"/>
    <w:rsid w:val="007E3557"/>
    <w:rsid w:val="007E4AF2"/>
    <w:rsid w:val="007E7590"/>
    <w:rsid w:val="007F3E67"/>
    <w:rsid w:val="007F469B"/>
    <w:rsid w:val="007F47D4"/>
    <w:rsid w:val="007F4850"/>
    <w:rsid w:val="007F49D8"/>
    <w:rsid w:val="007F4A76"/>
    <w:rsid w:val="007F5D24"/>
    <w:rsid w:val="00800C4D"/>
    <w:rsid w:val="008042C8"/>
    <w:rsid w:val="008049D1"/>
    <w:rsid w:val="00804FFF"/>
    <w:rsid w:val="00806278"/>
    <w:rsid w:val="0080653E"/>
    <w:rsid w:val="00806C65"/>
    <w:rsid w:val="008102F3"/>
    <w:rsid w:val="008108CB"/>
    <w:rsid w:val="00810CD6"/>
    <w:rsid w:val="008153CD"/>
    <w:rsid w:val="00817885"/>
    <w:rsid w:val="0081788A"/>
    <w:rsid w:val="008258D7"/>
    <w:rsid w:val="00825E65"/>
    <w:rsid w:val="00830114"/>
    <w:rsid w:val="0083217D"/>
    <w:rsid w:val="00833A0A"/>
    <w:rsid w:val="00833E8B"/>
    <w:rsid w:val="0083577B"/>
    <w:rsid w:val="008369CA"/>
    <w:rsid w:val="0084744F"/>
    <w:rsid w:val="00847DF9"/>
    <w:rsid w:val="0085294D"/>
    <w:rsid w:val="00852BCF"/>
    <w:rsid w:val="00854E79"/>
    <w:rsid w:val="008556EE"/>
    <w:rsid w:val="00855975"/>
    <w:rsid w:val="00855EFF"/>
    <w:rsid w:val="00856624"/>
    <w:rsid w:val="0086063C"/>
    <w:rsid w:val="00860DBB"/>
    <w:rsid w:val="008618B7"/>
    <w:rsid w:val="008620EB"/>
    <w:rsid w:val="008622F4"/>
    <w:rsid w:val="00862ACA"/>
    <w:rsid w:val="008638FB"/>
    <w:rsid w:val="00863E6D"/>
    <w:rsid w:val="008654C4"/>
    <w:rsid w:val="00873BF4"/>
    <w:rsid w:val="00874CCA"/>
    <w:rsid w:val="00876518"/>
    <w:rsid w:val="00880CB4"/>
    <w:rsid w:val="00881A93"/>
    <w:rsid w:val="00885E1E"/>
    <w:rsid w:val="008861B0"/>
    <w:rsid w:val="00887ADA"/>
    <w:rsid w:val="008945EE"/>
    <w:rsid w:val="008964A8"/>
    <w:rsid w:val="008974BF"/>
    <w:rsid w:val="008A1D59"/>
    <w:rsid w:val="008A71FB"/>
    <w:rsid w:val="008A78DE"/>
    <w:rsid w:val="008B01D7"/>
    <w:rsid w:val="008B1E31"/>
    <w:rsid w:val="008B4FC3"/>
    <w:rsid w:val="008B53B2"/>
    <w:rsid w:val="008B622D"/>
    <w:rsid w:val="008C1224"/>
    <w:rsid w:val="008C1A50"/>
    <w:rsid w:val="008C3653"/>
    <w:rsid w:val="008C4221"/>
    <w:rsid w:val="008C55E1"/>
    <w:rsid w:val="008C6307"/>
    <w:rsid w:val="008C758A"/>
    <w:rsid w:val="008C7E48"/>
    <w:rsid w:val="008D1679"/>
    <w:rsid w:val="008D1D5E"/>
    <w:rsid w:val="008D6852"/>
    <w:rsid w:val="008E599A"/>
    <w:rsid w:val="008E7143"/>
    <w:rsid w:val="008E72BC"/>
    <w:rsid w:val="008F07C6"/>
    <w:rsid w:val="008F0DE6"/>
    <w:rsid w:val="008F130F"/>
    <w:rsid w:val="008F2964"/>
    <w:rsid w:val="008F65D7"/>
    <w:rsid w:val="00900A08"/>
    <w:rsid w:val="009049AF"/>
    <w:rsid w:val="0090590F"/>
    <w:rsid w:val="009059FF"/>
    <w:rsid w:val="00905A81"/>
    <w:rsid w:val="00907783"/>
    <w:rsid w:val="00911328"/>
    <w:rsid w:val="00912C71"/>
    <w:rsid w:val="009138E8"/>
    <w:rsid w:val="009151A4"/>
    <w:rsid w:val="00915359"/>
    <w:rsid w:val="00916775"/>
    <w:rsid w:val="009231F0"/>
    <w:rsid w:val="00924635"/>
    <w:rsid w:val="00930047"/>
    <w:rsid w:val="00940242"/>
    <w:rsid w:val="00940D54"/>
    <w:rsid w:val="00952E33"/>
    <w:rsid w:val="009535B2"/>
    <w:rsid w:val="0095455B"/>
    <w:rsid w:val="009554CD"/>
    <w:rsid w:val="00960732"/>
    <w:rsid w:val="009634AF"/>
    <w:rsid w:val="00965A8B"/>
    <w:rsid w:val="00967CBC"/>
    <w:rsid w:val="00970B36"/>
    <w:rsid w:val="009724AE"/>
    <w:rsid w:val="00975B71"/>
    <w:rsid w:val="00975E31"/>
    <w:rsid w:val="009767FB"/>
    <w:rsid w:val="00983868"/>
    <w:rsid w:val="00983A3D"/>
    <w:rsid w:val="009901C0"/>
    <w:rsid w:val="00992E84"/>
    <w:rsid w:val="00994241"/>
    <w:rsid w:val="009A0646"/>
    <w:rsid w:val="009A1083"/>
    <w:rsid w:val="009A17FE"/>
    <w:rsid w:val="009A1BE7"/>
    <w:rsid w:val="009A565D"/>
    <w:rsid w:val="009A7A59"/>
    <w:rsid w:val="009B0446"/>
    <w:rsid w:val="009B0D31"/>
    <w:rsid w:val="009B4E56"/>
    <w:rsid w:val="009C07F4"/>
    <w:rsid w:val="009C1881"/>
    <w:rsid w:val="009C308E"/>
    <w:rsid w:val="009C34A0"/>
    <w:rsid w:val="009C4749"/>
    <w:rsid w:val="009D0CDA"/>
    <w:rsid w:val="009D1030"/>
    <w:rsid w:val="009D3A68"/>
    <w:rsid w:val="009E4B22"/>
    <w:rsid w:val="009E6161"/>
    <w:rsid w:val="009F1914"/>
    <w:rsid w:val="009F25A5"/>
    <w:rsid w:val="009F3E29"/>
    <w:rsid w:val="009F78D3"/>
    <w:rsid w:val="00A02C0C"/>
    <w:rsid w:val="00A0306E"/>
    <w:rsid w:val="00A0461F"/>
    <w:rsid w:val="00A05BB6"/>
    <w:rsid w:val="00A07355"/>
    <w:rsid w:val="00A10CD9"/>
    <w:rsid w:val="00A11798"/>
    <w:rsid w:val="00A12E01"/>
    <w:rsid w:val="00A13155"/>
    <w:rsid w:val="00A20B6F"/>
    <w:rsid w:val="00A21128"/>
    <w:rsid w:val="00A21D70"/>
    <w:rsid w:val="00A23A52"/>
    <w:rsid w:val="00A25B23"/>
    <w:rsid w:val="00A26A4D"/>
    <w:rsid w:val="00A31B87"/>
    <w:rsid w:val="00A31EF6"/>
    <w:rsid w:val="00A3506E"/>
    <w:rsid w:val="00A467DF"/>
    <w:rsid w:val="00A51C3C"/>
    <w:rsid w:val="00A52AC7"/>
    <w:rsid w:val="00A6029D"/>
    <w:rsid w:val="00A61E86"/>
    <w:rsid w:val="00A62814"/>
    <w:rsid w:val="00A62BA8"/>
    <w:rsid w:val="00A634DF"/>
    <w:rsid w:val="00A635EB"/>
    <w:rsid w:val="00A65F0C"/>
    <w:rsid w:val="00A70DC7"/>
    <w:rsid w:val="00A72125"/>
    <w:rsid w:val="00A724A1"/>
    <w:rsid w:val="00A764FD"/>
    <w:rsid w:val="00A774EA"/>
    <w:rsid w:val="00A82433"/>
    <w:rsid w:val="00A84040"/>
    <w:rsid w:val="00A84955"/>
    <w:rsid w:val="00A8595D"/>
    <w:rsid w:val="00A93F51"/>
    <w:rsid w:val="00A94D85"/>
    <w:rsid w:val="00A97E2E"/>
    <w:rsid w:val="00AA0762"/>
    <w:rsid w:val="00AA1423"/>
    <w:rsid w:val="00AA4A24"/>
    <w:rsid w:val="00AA6F78"/>
    <w:rsid w:val="00AB0E3B"/>
    <w:rsid w:val="00AB2236"/>
    <w:rsid w:val="00AB45AE"/>
    <w:rsid w:val="00AC095A"/>
    <w:rsid w:val="00AC1A06"/>
    <w:rsid w:val="00AC2261"/>
    <w:rsid w:val="00AC255A"/>
    <w:rsid w:val="00AC367E"/>
    <w:rsid w:val="00AC3738"/>
    <w:rsid w:val="00AC6DC4"/>
    <w:rsid w:val="00AC7A5A"/>
    <w:rsid w:val="00AD2036"/>
    <w:rsid w:val="00AD4967"/>
    <w:rsid w:val="00AD4C87"/>
    <w:rsid w:val="00AD5A9E"/>
    <w:rsid w:val="00AD5B8D"/>
    <w:rsid w:val="00AD762A"/>
    <w:rsid w:val="00AE0C00"/>
    <w:rsid w:val="00AE1D6D"/>
    <w:rsid w:val="00AE28EF"/>
    <w:rsid w:val="00AE2B3B"/>
    <w:rsid w:val="00AE7290"/>
    <w:rsid w:val="00AF286A"/>
    <w:rsid w:val="00AF39D2"/>
    <w:rsid w:val="00AF7648"/>
    <w:rsid w:val="00B036BB"/>
    <w:rsid w:val="00B0725D"/>
    <w:rsid w:val="00B13A78"/>
    <w:rsid w:val="00B15FB7"/>
    <w:rsid w:val="00B317F5"/>
    <w:rsid w:val="00B36C62"/>
    <w:rsid w:val="00B377A8"/>
    <w:rsid w:val="00B37B11"/>
    <w:rsid w:val="00B40D73"/>
    <w:rsid w:val="00B42401"/>
    <w:rsid w:val="00B4764C"/>
    <w:rsid w:val="00B47D4B"/>
    <w:rsid w:val="00B5062F"/>
    <w:rsid w:val="00B524FE"/>
    <w:rsid w:val="00B53166"/>
    <w:rsid w:val="00B54293"/>
    <w:rsid w:val="00B544A9"/>
    <w:rsid w:val="00B54736"/>
    <w:rsid w:val="00B54A6C"/>
    <w:rsid w:val="00B57C3B"/>
    <w:rsid w:val="00B57EF3"/>
    <w:rsid w:val="00B607EC"/>
    <w:rsid w:val="00B61717"/>
    <w:rsid w:val="00B61E33"/>
    <w:rsid w:val="00B629B7"/>
    <w:rsid w:val="00B67179"/>
    <w:rsid w:val="00B67341"/>
    <w:rsid w:val="00B6764C"/>
    <w:rsid w:val="00B678DD"/>
    <w:rsid w:val="00B714E2"/>
    <w:rsid w:val="00B7355D"/>
    <w:rsid w:val="00B7395F"/>
    <w:rsid w:val="00B74935"/>
    <w:rsid w:val="00B74D61"/>
    <w:rsid w:val="00B776E9"/>
    <w:rsid w:val="00B77C6A"/>
    <w:rsid w:val="00B8193E"/>
    <w:rsid w:val="00B81F6E"/>
    <w:rsid w:val="00B90FBD"/>
    <w:rsid w:val="00B916D3"/>
    <w:rsid w:val="00B92B96"/>
    <w:rsid w:val="00B92D13"/>
    <w:rsid w:val="00B92E86"/>
    <w:rsid w:val="00B94017"/>
    <w:rsid w:val="00B946B0"/>
    <w:rsid w:val="00B958B5"/>
    <w:rsid w:val="00B96753"/>
    <w:rsid w:val="00B968B0"/>
    <w:rsid w:val="00B96964"/>
    <w:rsid w:val="00B97452"/>
    <w:rsid w:val="00BA1195"/>
    <w:rsid w:val="00BA34C9"/>
    <w:rsid w:val="00BA365D"/>
    <w:rsid w:val="00BA3FC9"/>
    <w:rsid w:val="00BA4A6A"/>
    <w:rsid w:val="00BA5F04"/>
    <w:rsid w:val="00BA6D98"/>
    <w:rsid w:val="00BB21A0"/>
    <w:rsid w:val="00BB481A"/>
    <w:rsid w:val="00BB4E9C"/>
    <w:rsid w:val="00BB5AE2"/>
    <w:rsid w:val="00BB7368"/>
    <w:rsid w:val="00BB7A53"/>
    <w:rsid w:val="00BC036B"/>
    <w:rsid w:val="00BC4703"/>
    <w:rsid w:val="00BC5F9F"/>
    <w:rsid w:val="00BC6200"/>
    <w:rsid w:val="00BD0C9A"/>
    <w:rsid w:val="00BD161D"/>
    <w:rsid w:val="00BD1A9A"/>
    <w:rsid w:val="00BD3A4A"/>
    <w:rsid w:val="00BD47B6"/>
    <w:rsid w:val="00BD4A48"/>
    <w:rsid w:val="00BD4CEB"/>
    <w:rsid w:val="00BD5557"/>
    <w:rsid w:val="00BD5DEB"/>
    <w:rsid w:val="00BE0DD8"/>
    <w:rsid w:val="00BE2B5E"/>
    <w:rsid w:val="00BF0CF2"/>
    <w:rsid w:val="00BF487D"/>
    <w:rsid w:val="00BF4D49"/>
    <w:rsid w:val="00BF65A3"/>
    <w:rsid w:val="00C07016"/>
    <w:rsid w:val="00C07F29"/>
    <w:rsid w:val="00C12B21"/>
    <w:rsid w:val="00C14D5B"/>
    <w:rsid w:val="00C175C8"/>
    <w:rsid w:val="00C2006D"/>
    <w:rsid w:val="00C2338D"/>
    <w:rsid w:val="00C26685"/>
    <w:rsid w:val="00C30109"/>
    <w:rsid w:val="00C32761"/>
    <w:rsid w:val="00C34B4A"/>
    <w:rsid w:val="00C34CDB"/>
    <w:rsid w:val="00C359D1"/>
    <w:rsid w:val="00C35DF8"/>
    <w:rsid w:val="00C361F9"/>
    <w:rsid w:val="00C37684"/>
    <w:rsid w:val="00C404A0"/>
    <w:rsid w:val="00C43E10"/>
    <w:rsid w:val="00C43E28"/>
    <w:rsid w:val="00C51476"/>
    <w:rsid w:val="00C51EA0"/>
    <w:rsid w:val="00C520D3"/>
    <w:rsid w:val="00C52768"/>
    <w:rsid w:val="00C5649C"/>
    <w:rsid w:val="00C663F1"/>
    <w:rsid w:val="00C66829"/>
    <w:rsid w:val="00C66E24"/>
    <w:rsid w:val="00C70614"/>
    <w:rsid w:val="00C706C0"/>
    <w:rsid w:val="00C726B6"/>
    <w:rsid w:val="00C74079"/>
    <w:rsid w:val="00C76498"/>
    <w:rsid w:val="00C8343F"/>
    <w:rsid w:val="00C838EA"/>
    <w:rsid w:val="00C85BBF"/>
    <w:rsid w:val="00C860F8"/>
    <w:rsid w:val="00C87CFD"/>
    <w:rsid w:val="00C90039"/>
    <w:rsid w:val="00C93B11"/>
    <w:rsid w:val="00C9583E"/>
    <w:rsid w:val="00C9751E"/>
    <w:rsid w:val="00CA1960"/>
    <w:rsid w:val="00CA2C05"/>
    <w:rsid w:val="00CA3A29"/>
    <w:rsid w:val="00CA4467"/>
    <w:rsid w:val="00CA5407"/>
    <w:rsid w:val="00CA5BE0"/>
    <w:rsid w:val="00CA686D"/>
    <w:rsid w:val="00CA7C03"/>
    <w:rsid w:val="00CA7DCA"/>
    <w:rsid w:val="00CB11EF"/>
    <w:rsid w:val="00CB1998"/>
    <w:rsid w:val="00CB3CEB"/>
    <w:rsid w:val="00CB5931"/>
    <w:rsid w:val="00CB59D5"/>
    <w:rsid w:val="00CC13EA"/>
    <w:rsid w:val="00CC3FDF"/>
    <w:rsid w:val="00CC4CE2"/>
    <w:rsid w:val="00CC4FFA"/>
    <w:rsid w:val="00CC60B6"/>
    <w:rsid w:val="00CC69E9"/>
    <w:rsid w:val="00CC707F"/>
    <w:rsid w:val="00CD1210"/>
    <w:rsid w:val="00CD44E5"/>
    <w:rsid w:val="00CD47C8"/>
    <w:rsid w:val="00CD4D78"/>
    <w:rsid w:val="00CD6AF6"/>
    <w:rsid w:val="00CE0091"/>
    <w:rsid w:val="00CE08B2"/>
    <w:rsid w:val="00CE2365"/>
    <w:rsid w:val="00CE34B7"/>
    <w:rsid w:val="00CE60A9"/>
    <w:rsid w:val="00CF0340"/>
    <w:rsid w:val="00CF3101"/>
    <w:rsid w:val="00CF3300"/>
    <w:rsid w:val="00CF3592"/>
    <w:rsid w:val="00CF3A14"/>
    <w:rsid w:val="00CF4678"/>
    <w:rsid w:val="00CF50E7"/>
    <w:rsid w:val="00CF5C23"/>
    <w:rsid w:val="00CF6B74"/>
    <w:rsid w:val="00D047DA"/>
    <w:rsid w:val="00D057D9"/>
    <w:rsid w:val="00D115A3"/>
    <w:rsid w:val="00D11637"/>
    <w:rsid w:val="00D12F1B"/>
    <w:rsid w:val="00D13DFB"/>
    <w:rsid w:val="00D16329"/>
    <w:rsid w:val="00D203B7"/>
    <w:rsid w:val="00D22F7C"/>
    <w:rsid w:val="00D23649"/>
    <w:rsid w:val="00D25E02"/>
    <w:rsid w:val="00D331FB"/>
    <w:rsid w:val="00D35895"/>
    <w:rsid w:val="00D35F3A"/>
    <w:rsid w:val="00D37F80"/>
    <w:rsid w:val="00D40931"/>
    <w:rsid w:val="00D42FC3"/>
    <w:rsid w:val="00D4383B"/>
    <w:rsid w:val="00D468B6"/>
    <w:rsid w:val="00D46F12"/>
    <w:rsid w:val="00D475D9"/>
    <w:rsid w:val="00D4783B"/>
    <w:rsid w:val="00D519DD"/>
    <w:rsid w:val="00D5265B"/>
    <w:rsid w:val="00D52A7D"/>
    <w:rsid w:val="00D52E38"/>
    <w:rsid w:val="00D558A6"/>
    <w:rsid w:val="00D604F9"/>
    <w:rsid w:val="00D60964"/>
    <w:rsid w:val="00D62F07"/>
    <w:rsid w:val="00D62F1E"/>
    <w:rsid w:val="00D6341B"/>
    <w:rsid w:val="00D64A6E"/>
    <w:rsid w:val="00D706EB"/>
    <w:rsid w:val="00D73E73"/>
    <w:rsid w:val="00D7503A"/>
    <w:rsid w:val="00D76398"/>
    <w:rsid w:val="00D82C12"/>
    <w:rsid w:val="00D83ED7"/>
    <w:rsid w:val="00D863F0"/>
    <w:rsid w:val="00D91397"/>
    <w:rsid w:val="00D914EF"/>
    <w:rsid w:val="00D9276D"/>
    <w:rsid w:val="00D92975"/>
    <w:rsid w:val="00D94329"/>
    <w:rsid w:val="00D95C13"/>
    <w:rsid w:val="00D95FC7"/>
    <w:rsid w:val="00D97330"/>
    <w:rsid w:val="00DA0C81"/>
    <w:rsid w:val="00DA0CB8"/>
    <w:rsid w:val="00DA172E"/>
    <w:rsid w:val="00DA2D8F"/>
    <w:rsid w:val="00DA3691"/>
    <w:rsid w:val="00DA3E0C"/>
    <w:rsid w:val="00DA4F5D"/>
    <w:rsid w:val="00DA64C0"/>
    <w:rsid w:val="00DA74D8"/>
    <w:rsid w:val="00DA7574"/>
    <w:rsid w:val="00DB22DA"/>
    <w:rsid w:val="00DB3CC7"/>
    <w:rsid w:val="00DB3EA8"/>
    <w:rsid w:val="00DB576F"/>
    <w:rsid w:val="00DB6630"/>
    <w:rsid w:val="00DB6A79"/>
    <w:rsid w:val="00DC0974"/>
    <w:rsid w:val="00DC09CA"/>
    <w:rsid w:val="00DC5A0B"/>
    <w:rsid w:val="00DC6317"/>
    <w:rsid w:val="00DC7D87"/>
    <w:rsid w:val="00DD120B"/>
    <w:rsid w:val="00DD2D35"/>
    <w:rsid w:val="00DD4BF2"/>
    <w:rsid w:val="00DD52CF"/>
    <w:rsid w:val="00DD5735"/>
    <w:rsid w:val="00DD7A0C"/>
    <w:rsid w:val="00DE1A10"/>
    <w:rsid w:val="00DE2A5B"/>
    <w:rsid w:val="00DE35D9"/>
    <w:rsid w:val="00DF027D"/>
    <w:rsid w:val="00DF1CF4"/>
    <w:rsid w:val="00DF4199"/>
    <w:rsid w:val="00DF441B"/>
    <w:rsid w:val="00DF645B"/>
    <w:rsid w:val="00DF70D1"/>
    <w:rsid w:val="00E00204"/>
    <w:rsid w:val="00E019DC"/>
    <w:rsid w:val="00E077EF"/>
    <w:rsid w:val="00E12819"/>
    <w:rsid w:val="00E1311E"/>
    <w:rsid w:val="00E145F6"/>
    <w:rsid w:val="00E14B3C"/>
    <w:rsid w:val="00E15BA7"/>
    <w:rsid w:val="00E17124"/>
    <w:rsid w:val="00E2281D"/>
    <w:rsid w:val="00E23236"/>
    <w:rsid w:val="00E23D82"/>
    <w:rsid w:val="00E3346F"/>
    <w:rsid w:val="00E33944"/>
    <w:rsid w:val="00E33DA2"/>
    <w:rsid w:val="00E340DE"/>
    <w:rsid w:val="00E341E1"/>
    <w:rsid w:val="00E37C5B"/>
    <w:rsid w:val="00E42234"/>
    <w:rsid w:val="00E42399"/>
    <w:rsid w:val="00E462C4"/>
    <w:rsid w:val="00E51216"/>
    <w:rsid w:val="00E51D32"/>
    <w:rsid w:val="00E54AA9"/>
    <w:rsid w:val="00E5647E"/>
    <w:rsid w:val="00E5762C"/>
    <w:rsid w:val="00E602BB"/>
    <w:rsid w:val="00E610B2"/>
    <w:rsid w:val="00E7090B"/>
    <w:rsid w:val="00E73D8A"/>
    <w:rsid w:val="00E73F9A"/>
    <w:rsid w:val="00E74AFE"/>
    <w:rsid w:val="00E770DD"/>
    <w:rsid w:val="00E834F5"/>
    <w:rsid w:val="00E87A97"/>
    <w:rsid w:val="00E919F8"/>
    <w:rsid w:val="00E95759"/>
    <w:rsid w:val="00E96AD4"/>
    <w:rsid w:val="00EA02A6"/>
    <w:rsid w:val="00EA22B2"/>
    <w:rsid w:val="00EA357E"/>
    <w:rsid w:val="00EA64E3"/>
    <w:rsid w:val="00EA6F06"/>
    <w:rsid w:val="00EA71A1"/>
    <w:rsid w:val="00EA7599"/>
    <w:rsid w:val="00EB1BAE"/>
    <w:rsid w:val="00EB5DC0"/>
    <w:rsid w:val="00EC1FF0"/>
    <w:rsid w:val="00ED0EA7"/>
    <w:rsid w:val="00ED19E4"/>
    <w:rsid w:val="00ED1D2F"/>
    <w:rsid w:val="00ED25BB"/>
    <w:rsid w:val="00ED46DE"/>
    <w:rsid w:val="00ED4E85"/>
    <w:rsid w:val="00ED7CB5"/>
    <w:rsid w:val="00EE27F4"/>
    <w:rsid w:val="00EE38DE"/>
    <w:rsid w:val="00EE45EB"/>
    <w:rsid w:val="00EE55A4"/>
    <w:rsid w:val="00EE60A9"/>
    <w:rsid w:val="00EE6CDC"/>
    <w:rsid w:val="00EF079A"/>
    <w:rsid w:val="00EF0855"/>
    <w:rsid w:val="00EF23B4"/>
    <w:rsid w:val="00EF3ED5"/>
    <w:rsid w:val="00EF4509"/>
    <w:rsid w:val="00EF6083"/>
    <w:rsid w:val="00EF723C"/>
    <w:rsid w:val="00F00142"/>
    <w:rsid w:val="00F028F4"/>
    <w:rsid w:val="00F03BDC"/>
    <w:rsid w:val="00F04FB0"/>
    <w:rsid w:val="00F066D0"/>
    <w:rsid w:val="00F14FE7"/>
    <w:rsid w:val="00F15267"/>
    <w:rsid w:val="00F15EB7"/>
    <w:rsid w:val="00F1763E"/>
    <w:rsid w:val="00F176FA"/>
    <w:rsid w:val="00F22CF2"/>
    <w:rsid w:val="00F25941"/>
    <w:rsid w:val="00F263D6"/>
    <w:rsid w:val="00F31367"/>
    <w:rsid w:val="00F3215A"/>
    <w:rsid w:val="00F333B6"/>
    <w:rsid w:val="00F33959"/>
    <w:rsid w:val="00F40801"/>
    <w:rsid w:val="00F41BF1"/>
    <w:rsid w:val="00F42B32"/>
    <w:rsid w:val="00F450BA"/>
    <w:rsid w:val="00F50C39"/>
    <w:rsid w:val="00F5346E"/>
    <w:rsid w:val="00F54943"/>
    <w:rsid w:val="00F549DC"/>
    <w:rsid w:val="00F56C32"/>
    <w:rsid w:val="00F57653"/>
    <w:rsid w:val="00F57F1C"/>
    <w:rsid w:val="00F627A0"/>
    <w:rsid w:val="00F660EE"/>
    <w:rsid w:val="00F72594"/>
    <w:rsid w:val="00F7478C"/>
    <w:rsid w:val="00F77BAE"/>
    <w:rsid w:val="00F829FB"/>
    <w:rsid w:val="00F83F2B"/>
    <w:rsid w:val="00F86491"/>
    <w:rsid w:val="00F91B1E"/>
    <w:rsid w:val="00F92064"/>
    <w:rsid w:val="00F9228A"/>
    <w:rsid w:val="00F9254A"/>
    <w:rsid w:val="00F937D5"/>
    <w:rsid w:val="00F9485C"/>
    <w:rsid w:val="00F96A25"/>
    <w:rsid w:val="00F972B5"/>
    <w:rsid w:val="00FA1D0E"/>
    <w:rsid w:val="00FA2403"/>
    <w:rsid w:val="00FA2BE8"/>
    <w:rsid w:val="00FA583C"/>
    <w:rsid w:val="00FA64BA"/>
    <w:rsid w:val="00FB016D"/>
    <w:rsid w:val="00FB118D"/>
    <w:rsid w:val="00FB133C"/>
    <w:rsid w:val="00FB2121"/>
    <w:rsid w:val="00FB4F20"/>
    <w:rsid w:val="00FC1BBC"/>
    <w:rsid w:val="00FC2F98"/>
    <w:rsid w:val="00FC3481"/>
    <w:rsid w:val="00FC34E7"/>
    <w:rsid w:val="00FC5816"/>
    <w:rsid w:val="00FD1079"/>
    <w:rsid w:val="00FD2A6F"/>
    <w:rsid w:val="00FD321D"/>
    <w:rsid w:val="00FD571E"/>
    <w:rsid w:val="00FD7E98"/>
    <w:rsid w:val="00FE1080"/>
    <w:rsid w:val="00FE1749"/>
    <w:rsid w:val="00FE3168"/>
    <w:rsid w:val="00FE61A5"/>
    <w:rsid w:val="00FE621F"/>
    <w:rsid w:val="00FE7DB4"/>
    <w:rsid w:val="00FF032B"/>
    <w:rsid w:val="00FF1538"/>
    <w:rsid w:val="00FF1F68"/>
    <w:rsid w:val="00FF2AFF"/>
    <w:rsid w:val="00FF3215"/>
    <w:rsid w:val="00FF4297"/>
    <w:rsid w:val="00FF4354"/>
    <w:rsid w:val="00FF5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semiHidden/>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semiHidden/>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32494">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sChild>
        <w:div w:id="156264659">
          <w:marLeft w:val="547"/>
          <w:marRight w:val="0"/>
          <w:marTop w:val="115"/>
          <w:marBottom w:val="0"/>
          <w:divBdr>
            <w:top w:val="none" w:sz="0" w:space="0" w:color="auto"/>
            <w:left w:val="none" w:sz="0" w:space="0" w:color="auto"/>
            <w:bottom w:val="none" w:sz="0" w:space="0" w:color="auto"/>
            <w:right w:val="none" w:sz="0" w:space="0" w:color="auto"/>
          </w:divBdr>
        </w:div>
        <w:div w:id="229966357">
          <w:marLeft w:val="547"/>
          <w:marRight w:val="0"/>
          <w:marTop w:val="115"/>
          <w:marBottom w:val="0"/>
          <w:divBdr>
            <w:top w:val="none" w:sz="0" w:space="0" w:color="auto"/>
            <w:left w:val="none" w:sz="0" w:space="0" w:color="auto"/>
            <w:bottom w:val="none" w:sz="0" w:space="0" w:color="auto"/>
            <w:right w:val="none" w:sz="0" w:space="0" w:color="auto"/>
          </w:divBdr>
        </w:div>
        <w:div w:id="1223172936">
          <w:marLeft w:val="547"/>
          <w:marRight w:val="0"/>
          <w:marTop w:val="115"/>
          <w:marBottom w:val="0"/>
          <w:divBdr>
            <w:top w:val="none" w:sz="0" w:space="0" w:color="auto"/>
            <w:left w:val="none" w:sz="0" w:space="0" w:color="auto"/>
            <w:bottom w:val="none" w:sz="0" w:space="0" w:color="auto"/>
            <w:right w:val="none" w:sz="0" w:space="0" w:color="auto"/>
          </w:divBdr>
        </w:div>
        <w:div w:id="1507551470">
          <w:marLeft w:val="547"/>
          <w:marRight w:val="0"/>
          <w:marTop w:val="115"/>
          <w:marBottom w:val="0"/>
          <w:divBdr>
            <w:top w:val="none" w:sz="0" w:space="0" w:color="auto"/>
            <w:left w:val="none" w:sz="0" w:space="0" w:color="auto"/>
            <w:bottom w:val="none" w:sz="0" w:space="0" w:color="auto"/>
            <w:right w:val="none" w:sz="0" w:space="0" w:color="auto"/>
          </w:divBdr>
        </w:div>
      </w:divsChild>
    </w:div>
    <w:div w:id="521866035">
      <w:bodyDiv w:val="1"/>
      <w:marLeft w:val="0"/>
      <w:marRight w:val="0"/>
      <w:marTop w:val="0"/>
      <w:marBottom w:val="0"/>
      <w:divBdr>
        <w:top w:val="none" w:sz="0" w:space="0" w:color="auto"/>
        <w:left w:val="none" w:sz="0" w:space="0" w:color="auto"/>
        <w:bottom w:val="none" w:sz="0" w:space="0" w:color="auto"/>
        <w:right w:val="none" w:sz="0" w:space="0" w:color="auto"/>
      </w:divBdr>
      <w:divsChild>
        <w:div w:id="669602118">
          <w:marLeft w:val="547"/>
          <w:marRight w:val="0"/>
          <w:marTop w:val="115"/>
          <w:marBottom w:val="0"/>
          <w:divBdr>
            <w:top w:val="none" w:sz="0" w:space="0" w:color="auto"/>
            <w:left w:val="none" w:sz="0" w:space="0" w:color="auto"/>
            <w:bottom w:val="none" w:sz="0" w:space="0" w:color="auto"/>
            <w:right w:val="none" w:sz="0" w:space="0" w:color="auto"/>
          </w:divBdr>
        </w:div>
        <w:div w:id="1790515796">
          <w:marLeft w:val="547"/>
          <w:marRight w:val="0"/>
          <w:marTop w:val="115"/>
          <w:marBottom w:val="0"/>
          <w:divBdr>
            <w:top w:val="none" w:sz="0" w:space="0" w:color="auto"/>
            <w:left w:val="none" w:sz="0" w:space="0" w:color="auto"/>
            <w:bottom w:val="none" w:sz="0" w:space="0" w:color="auto"/>
            <w:right w:val="none" w:sz="0" w:space="0" w:color="auto"/>
          </w:divBdr>
        </w:div>
        <w:div w:id="2001156777">
          <w:marLeft w:val="547"/>
          <w:marRight w:val="0"/>
          <w:marTop w:val="115"/>
          <w:marBottom w:val="0"/>
          <w:divBdr>
            <w:top w:val="none" w:sz="0" w:space="0" w:color="auto"/>
            <w:left w:val="none" w:sz="0" w:space="0" w:color="auto"/>
            <w:bottom w:val="none" w:sz="0" w:space="0" w:color="auto"/>
            <w:right w:val="none" w:sz="0" w:space="0" w:color="auto"/>
          </w:divBdr>
        </w:div>
      </w:divsChild>
    </w:div>
    <w:div w:id="706759279">
      <w:bodyDiv w:val="1"/>
      <w:marLeft w:val="0"/>
      <w:marRight w:val="0"/>
      <w:marTop w:val="0"/>
      <w:marBottom w:val="0"/>
      <w:divBdr>
        <w:top w:val="none" w:sz="0" w:space="0" w:color="auto"/>
        <w:left w:val="none" w:sz="0" w:space="0" w:color="auto"/>
        <w:bottom w:val="none" w:sz="0" w:space="0" w:color="auto"/>
        <w:right w:val="none" w:sz="0" w:space="0" w:color="auto"/>
      </w:divBdr>
      <w:divsChild>
        <w:div w:id="507212960">
          <w:marLeft w:val="547"/>
          <w:marRight w:val="0"/>
          <w:marTop w:val="115"/>
          <w:marBottom w:val="0"/>
          <w:divBdr>
            <w:top w:val="none" w:sz="0" w:space="0" w:color="auto"/>
            <w:left w:val="none" w:sz="0" w:space="0" w:color="auto"/>
            <w:bottom w:val="none" w:sz="0" w:space="0" w:color="auto"/>
            <w:right w:val="none" w:sz="0" w:space="0" w:color="auto"/>
          </w:divBdr>
        </w:div>
        <w:div w:id="561015712">
          <w:marLeft w:val="547"/>
          <w:marRight w:val="0"/>
          <w:marTop w:val="115"/>
          <w:marBottom w:val="0"/>
          <w:divBdr>
            <w:top w:val="none" w:sz="0" w:space="0" w:color="auto"/>
            <w:left w:val="none" w:sz="0" w:space="0" w:color="auto"/>
            <w:bottom w:val="none" w:sz="0" w:space="0" w:color="auto"/>
            <w:right w:val="none" w:sz="0" w:space="0" w:color="auto"/>
          </w:divBdr>
        </w:div>
        <w:div w:id="1170100814">
          <w:marLeft w:val="547"/>
          <w:marRight w:val="0"/>
          <w:marTop w:val="115"/>
          <w:marBottom w:val="0"/>
          <w:divBdr>
            <w:top w:val="none" w:sz="0" w:space="0" w:color="auto"/>
            <w:left w:val="none" w:sz="0" w:space="0" w:color="auto"/>
            <w:bottom w:val="none" w:sz="0" w:space="0" w:color="auto"/>
            <w:right w:val="none" w:sz="0" w:space="0" w:color="auto"/>
          </w:divBdr>
        </w:div>
        <w:div w:id="1191603775">
          <w:marLeft w:val="547"/>
          <w:marRight w:val="0"/>
          <w:marTop w:val="115"/>
          <w:marBottom w:val="0"/>
          <w:divBdr>
            <w:top w:val="none" w:sz="0" w:space="0" w:color="auto"/>
            <w:left w:val="none" w:sz="0" w:space="0" w:color="auto"/>
            <w:bottom w:val="none" w:sz="0" w:space="0" w:color="auto"/>
            <w:right w:val="none" w:sz="0" w:space="0" w:color="auto"/>
          </w:divBdr>
        </w:div>
        <w:div w:id="1657370573">
          <w:marLeft w:val="547"/>
          <w:marRight w:val="0"/>
          <w:marTop w:val="115"/>
          <w:marBottom w:val="0"/>
          <w:divBdr>
            <w:top w:val="none" w:sz="0" w:space="0" w:color="auto"/>
            <w:left w:val="none" w:sz="0" w:space="0" w:color="auto"/>
            <w:bottom w:val="none" w:sz="0" w:space="0" w:color="auto"/>
            <w:right w:val="none" w:sz="0" w:space="0" w:color="auto"/>
          </w:divBdr>
        </w:div>
      </w:divsChild>
    </w:div>
    <w:div w:id="802040070">
      <w:bodyDiv w:val="1"/>
      <w:marLeft w:val="0"/>
      <w:marRight w:val="0"/>
      <w:marTop w:val="0"/>
      <w:marBottom w:val="0"/>
      <w:divBdr>
        <w:top w:val="none" w:sz="0" w:space="0" w:color="auto"/>
        <w:left w:val="none" w:sz="0" w:space="0" w:color="auto"/>
        <w:bottom w:val="none" w:sz="0" w:space="0" w:color="auto"/>
        <w:right w:val="none" w:sz="0" w:space="0" w:color="auto"/>
      </w:divBdr>
      <w:divsChild>
        <w:div w:id="532697466">
          <w:marLeft w:val="547"/>
          <w:marRight w:val="0"/>
          <w:marTop w:val="86"/>
          <w:marBottom w:val="0"/>
          <w:divBdr>
            <w:top w:val="none" w:sz="0" w:space="0" w:color="auto"/>
            <w:left w:val="none" w:sz="0" w:space="0" w:color="auto"/>
            <w:bottom w:val="none" w:sz="0" w:space="0" w:color="auto"/>
            <w:right w:val="none" w:sz="0" w:space="0" w:color="auto"/>
          </w:divBdr>
        </w:div>
        <w:div w:id="681468916">
          <w:marLeft w:val="547"/>
          <w:marRight w:val="0"/>
          <w:marTop w:val="86"/>
          <w:marBottom w:val="0"/>
          <w:divBdr>
            <w:top w:val="none" w:sz="0" w:space="0" w:color="auto"/>
            <w:left w:val="none" w:sz="0" w:space="0" w:color="auto"/>
            <w:bottom w:val="none" w:sz="0" w:space="0" w:color="auto"/>
            <w:right w:val="none" w:sz="0" w:space="0" w:color="auto"/>
          </w:divBdr>
        </w:div>
        <w:div w:id="1139419824">
          <w:marLeft w:val="547"/>
          <w:marRight w:val="0"/>
          <w:marTop w:val="86"/>
          <w:marBottom w:val="0"/>
          <w:divBdr>
            <w:top w:val="none" w:sz="0" w:space="0" w:color="auto"/>
            <w:left w:val="none" w:sz="0" w:space="0" w:color="auto"/>
            <w:bottom w:val="none" w:sz="0" w:space="0" w:color="auto"/>
            <w:right w:val="none" w:sz="0" w:space="0" w:color="auto"/>
          </w:divBdr>
        </w:div>
        <w:div w:id="1555386386">
          <w:marLeft w:val="547"/>
          <w:marRight w:val="0"/>
          <w:marTop w:val="86"/>
          <w:marBottom w:val="0"/>
          <w:divBdr>
            <w:top w:val="none" w:sz="0" w:space="0" w:color="auto"/>
            <w:left w:val="none" w:sz="0" w:space="0" w:color="auto"/>
            <w:bottom w:val="none" w:sz="0" w:space="0" w:color="auto"/>
            <w:right w:val="none" w:sz="0" w:space="0" w:color="auto"/>
          </w:divBdr>
        </w:div>
      </w:divsChild>
    </w:div>
    <w:div w:id="1061322391">
      <w:bodyDiv w:val="1"/>
      <w:marLeft w:val="0"/>
      <w:marRight w:val="0"/>
      <w:marTop w:val="0"/>
      <w:marBottom w:val="0"/>
      <w:divBdr>
        <w:top w:val="none" w:sz="0" w:space="0" w:color="auto"/>
        <w:left w:val="none" w:sz="0" w:space="0" w:color="auto"/>
        <w:bottom w:val="none" w:sz="0" w:space="0" w:color="auto"/>
        <w:right w:val="none" w:sz="0" w:space="0" w:color="auto"/>
      </w:divBdr>
    </w:div>
    <w:div w:id="1098912736">
      <w:bodyDiv w:val="1"/>
      <w:marLeft w:val="0"/>
      <w:marRight w:val="0"/>
      <w:marTop w:val="0"/>
      <w:marBottom w:val="0"/>
      <w:divBdr>
        <w:top w:val="none" w:sz="0" w:space="0" w:color="auto"/>
        <w:left w:val="none" w:sz="0" w:space="0" w:color="auto"/>
        <w:bottom w:val="none" w:sz="0" w:space="0" w:color="auto"/>
        <w:right w:val="none" w:sz="0" w:space="0" w:color="auto"/>
      </w:divBdr>
      <w:divsChild>
        <w:div w:id="179392049">
          <w:marLeft w:val="547"/>
          <w:marRight w:val="0"/>
          <w:marTop w:val="96"/>
          <w:marBottom w:val="0"/>
          <w:divBdr>
            <w:top w:val="none" w:sz="0" w:space="0" w:color="auto"/>
            <w:left w:val="none" w:sz="0" w:space="0" w:color="auto"/>
            <w:bottom w:val="none" w:sz="0" w:space="0" w:color="auto"/>
            <w:right w:val="none" w:sz="0" w:space="0" w:color="auto"/>
          </w:divBdr>
        </w:div>
        <w:div w:id="243615706">
          <w:marLeft w:val="547"/>
          <w:marRight w:val="0"/>
          <w:marTop w:val="96"/>
          <w:marBottom w:val="0"/>
          <w:divBdr>
            <w:top w:val="none" w:sz="0" w:space="0" w:color="auto"/>
            <w:left w:val="none" w:sz="0" w:space="0" w:color="auto"/>
            <w:bottom w:val="none" w:sz="0" w:space="0" w:color="auto"/>
            <w:right w:val="none" w:sz="0" w:space="0" w:color="auto"/>
          </w:divBdr>
        </w:div>
        <w:div w:id="312031098">
          <w:marLeft w:val="547"/>
          <w:marRight w:val="0"/>
          <w:marTop w:val="96"/>
          <w:marBottom w:val="0"/>
          <w:divBdr>
            <w:top w:val="none" w:sz="0" w:space="0" w:color="auto"/>
            <w:left w:val="none" w:sz="0" w:space="0" w:color="auto"/>
            <w:bottom w:val="none" w:sz="0" w:space="0" w:color="auto"/>
            <w:right w:val="none" w:sz="0" w:space="0" w:color="auto"/>
          </w:divBdr>
        </w:div>
        <w:div w:id="485627913">
          <w:marLeft w:val="547"/>
          <w:marRight w:val="0"/>
          <w:marTop w:val="96"/>
          <w:marBottom w:val="0"/>
          <w:divBdr>
            <w:top w:val="none" w:sz="0" w:space="0" w:color="auto"/>
            <w:left w:val="none" w:sz="0" w:space="0" w:color="auto"/>
            <w:bottom w:val="none" w:sz="0" w:space="0" w:color="auto"/>
            <w:right w:val="none" w:sz="0" w:space="0" w:color="auto"/>
          </w:divBdr>
        </w:div>
        <w:div w:id="950892127">
          <w:marLeft w:val="547"/>
          <w:marRight w:val="0"/>
          <w:marTop w:val="96"/>
          <w:marBottom w:val="0"/>
          <w:divBdr>
            <w:top w:val="none" w:sz="0" w:space="0" w:color="auto"/>
            <w:left w:val="none" w:sz="0" w:space="0" w:color="auto"/>
            <w:bottom w:val="none" w:sz="0" w:space="0" w:color="auto"/>
            <w:right w:val="none" w:sz="0" w:space="0" w:color="auto"/>
          </w:divBdr>
        </w:div>
      </w:divsChild>
    </w:div>
    <w:div w:id="1181435684">
      <w:bodyDiv w:val="1"/>
      <w:marLeft w:val="0"/>
      <w:marRight w:val="0"/>
      <w:marTop w:val="0"/>
      <w:marBottom w:val="0"/>
      <w:divBdr>
        <w:top w:val="none" w:sz="0" w:space="0" w:color="auto"/>
        <w:left w:val="none" w:sz="0" w:space="0" w:color="auto"/>
        <w:bottom w:val="none" w:sz="0" w:space="0" w:color="auto"/>
        <w:right w:val="none" w:sz="0" w:space="0" w:color="auto"/>
      </w:divBdr>
      <w:divsChild>
        <w:div w:id="151794951">
          <w:marLeft w:val="547"/>
          <w:marRight w:val="0"/>
          <w:marTop w:val="115"/>
          <w:marBottom w:val="0"/>
          <w:divBdr>
            <w:top w:val="none" w:sz="0" w:space="0" w:color="auto"/>
            <w:left w:val="none" w:sz="0" w:space="0" w:color="auto"/>
            <w:bottom w:val="none" w:sz="0" w:space="0" w:color="auto"/>
            <w:right w:val="none" w:sz="0" w:space="0" w:color="auto"/>
          </w:divBdr>
        </w:div>
        <w:div w:id="212891541">
          <w:marLeft w:val="547"/>
          <w:marRight w:val="0"/>
          <w:marTop w:val="115"/>
          <w:marBottom w:val="0"/>
          <w:divBdr>
            <w:top w:val="none" w:sz="0" w:space="0" w:color="auto"/>
            <w:left w:val="none" w:sz="0" w:space="0" w:color="auto"/>
            <w:bottom w:val="none" w:sz="0" w:space="0" w:color="auto"/>
            <w:right w:val="none" w:sz="0" w:space="0" w:color="auto"/>
          </w:divBdr>
        </w:div>
        <w:div w:id="1920404171">
          <w:marLeft w:val="547"/>
          <w:marRight w:val="0"/>
          <w:marTop w:val="115"/>
          <w:marBottom w:val="0"/>
          <w:divBdr>
            <w:top w:val="none" w:sz="0" w:space="0" w:color="auto"/>
            <w:left w:val="none" w:sz="0" w:space="0" w:color="auto"/>
            <w:bottom w:val="none" w:sz="0" w:space="0" w:color="auto"/>
            <w:right w:val="none" w:sz="0" w:space="0" w:color="auto"/>
          </w:divBdr>
        </w:div>
        <w:div w:id="2006744658">
          <w:marLeft w:val="547"/>
          <w:marRight w:val="0"/>
          <w:marTop w:val="115"/>
          <w:marBottom w:val="0"/>
          <w:divBdr>
            <w:top w:val="none" w:sz="0" w:space="0" w:color="auto"/>
            <w:left w:val="none" w:sz="0" w:space="0" w:color="auto"/>
            <w:bottom w:val="none" w:sz="0" w:space="0" w:color="auto"/>
            <w:right w:val="none" w:sz="0" w:space="0" w:color="auto"/>
          </w:divBdr>
        </w:div>
      </w:divsChild>
    </w:div>
    <w:div w:id="1329747213">
      <w:bodyDiv w:val="1"/>
      <w:marLeft w:val="0"/>
      <w:marRight w:val="0"/>
      <w:marTop w:val="0"/>
      <w:marBottom w:val="0"/>
      <w:divBdr>
        <w:top w:val="none" w:sz="0" w:space="0" w:color="auto"/>
        <w:left w:val="none" w:sz="0" w:space="0" w:color="auto"/>
        <w:bottom w:val="none" w:sz="0" w:space="0" w:color="auto"/>
        <w:right w:val="none" w:sz="0" w:space="0" w:color="auto"/>
      </w:divBdr>
      <w:divsChild>
        <w:div w:id="713848359">
          <w:marLeft w:val="547"/>
          <w:marRight w:val="0"/>
          <w:marTop w:val="96"/>
          <w:marBottom w:val="0"/>
          <w:divBdr>
            <w:top w:val="none" w:sz="0" w:space="0" w:color="auto"/>
            <w:left w:val="none" w:sz="0" w:space="0" w:color="auto"/>
            <w:bottom w:val="none" w:sz="0" w:space="0" w:color="auto"/>
            <w:right w:val="none" w:sz="0" w:space="0" w:color="auto"/>
          </w:divBdr>
        </w:div>
        <w:div w:id="1213150739">
          <w:marLeft w:val="547"/>
          <w:marRight w:val="0"/>
          <w:marTop w:val="96"/>
          <w:marBottom w:val="0"/>
          <w:divBdr>
            <w:top w:val="none" w:sz="0" w:space="0" w:color="auto"/>
            <w:left w:val="none" w:sz="0" w:space="0" w:color="auto"/>
            <w:bottom w:val="none" w:sz="0" w:space="0" w:color="auto"/>
            <w:right w:val="none" w:sz="0" w:space="0" w:color="auto"/>
          </w:divBdr>
        </w:div>
        <w:div w:id="2009207641">
          <w:marLeft w:val="547"/>
          <w:marRight w:val="0"/>
          <w:marTop w:val="96"/>
          <w:marBottom w:val="0"/>
          <w:divBdr>
            <w:top w:val="none" w:sz="0" w:space="0" w:color="auto"/>
            <w:left w:val="none" w:sz="0" w:space="0" w:color="auto"/>
            <w:bottom w:val="none" w:sz="0" w:space="0" w:color="auto"/>
            <w:right w:val="none" w:sz="0" w:space="0" w:color="auto"/>
          </w:divBdr>
        </w:div>
        <w:div w:id="2120446335">
          <w:marLeft w:val="547"/>
          <w:marRight w:val="0"/>
          <w:marTop w:val="96"/>
          <w:marBottom w:val="0"/>
          <w:divBdr>
            <w:top w:val="none" w:sz="0" w:space="0" w:color="auto"/>
            <w:left w:val="none" w:sz="0" w:space="0" w:color="auto"/>
            <w:bottom w:val="none" w:sz="0" w:space="0" w:color="auto"/>
            <w:right w:val="none" w:sz="0" w:space="0" w:color="auto"/>
          </w:divBdr>
        </w:div>
      </w:divsChild>
    </w:div>
    <w:div w:id="1484347364">
      <w:bodyDiv w:val="1"/>
      <w:marLeft w:val="0"/>
      <w:marRight w:val="0"/>
      <w:marTop w:val="0"/>
      <w:marBottom w:val="0"/>
      <w:divBdr>
        <w:top w:val="none" w:sz="0" w:space="0" w:color="auto"/>
        <w:left w:val="none" w:sz="0" w:space="0" w:color="auto"/>
        <w:bottom w:val="none" w:sz="0" w:space="0" w:color="auto"/>
        <w:right w:val="none" w:sz="0" w:space="0" w:color="auto"/>
      </w:divBdr>
    </w:div>
    <w:div w:id="1908999292">
      <w:bodyDiv w:val="1"/>
      <w:marLeft w:val="0"/>
      <w:marRight w:val="0"/>
      <w:marTop w:val="0"/>
      <w:marBottom w:val="0"/>
      <w:divBdr>
        <w:top w:val="none" w:sz="0" w:space="0" w:color="auto"/>
        <w:left w:val="none" w:sz="0" w:space="0" w:color="auto"/>
        <w:bottom w:val="none" w:sz="0" w:space="0" w:color="auto"/>
        <w:right w:val="none" w:sz="0" w:space="0" w:color="auto"/>
      </w:divBdr>
      <w:divsChild>
        <w:div w:id="68579276">
          <w:marLeft w:val="547"/>
          <w:marRight w:val="0"/>
          <w:marTop w:val="86"/>
          <w:marBottom w:val="0"/>
          <w:divBdr>
            <w:top w:val="none" w:sz="0" w:space="0" w:color="auto"/>
            <w:left w:val="none" w:sz="0" w:space="0" w:color="auto"/>
            <w:bottom w:val="none" w:sz="0" w:space="0" w:color="auto"/>
            <w:right w:val="none" w:sz="0" w:space="0" w:color="auto"/>
          </w:divBdr>
        </w:div>
        <w:div w:id="1022047926">
          <w:marLeft w:val="547"/>
          <w:marRight w:val="0"/>
          <w:marTop w:val="86"/>
          <w:marBottom w:val="0"/>
          <w:divBdr>
            <w:top w:val="none" w:sz="0" w:space="0" w:color="auto"/>
            <w:left w:val="none" w:sz="0" w:space="0" w:color="auto"/>
            <w:bottom w:val="none" w:sz="0" w:space="0" w:color="auto"/>
            <w:right w:val="none" w:sz="0" w:space="0" w:color="auto"/>
          </w:divBdr>
        </w:div>
        <w:div w:id="1454985160">
          <w:marLeft w:val="547"/>
          <w:marRight w:val="0"/>
          <w:marTop w:val="86"/>
          <w:marBottom w:val="0"/>
          <w:divBdr>
            <w:top w:val="none" w:sz="0" w:space="0" w:color="auto"/>
            <w:left w:val="none" w:sz="0" w:space="0" w:color="auto"/>
            <w:bottom w:val="none" w:sz="0" w:space="0" w:color="auto"/>
            <w:right w:val="none" w:sz="0" w:space="0" w:color="auto"/>
          </w:divBdr>
        </w:div>
        <w:div w:id="154366472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tbbdosyas\users\bankacilik\inane\bankalarimiz\2010\grafikler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02554027504912E-2"/>
          <c:y val="0.11333370225814547"/>
          <c:w val="0.83889980353634708"/>
          <c:h val="0.67333552518074602"/>
        </c:manualLayout>
      </c:layout>
      <c:barChart>
        <c:barDir val="col"/>
        <c:grouping val="clustered"/>
        <c:varyColors val="0"/>
        <c:ser>
          <c:idx val="1"/>
          <c:order val="0"/>
          <c:tx>
            <c:strRef>
              <c:f>'Bankacılık1-7'!$C$29</c:f>
              <c:strCache>
                <c:ptCount val="1"/>
                <c:pt idx="0">
                  <c:v>T. Aktifler</c:v>
                </c:pt>
              </c:strCache>
            </c:strRef>
          </c:tx>
          <c:spPr>
            <a:solidFill>
              <a:srgbClr val="0000FF"/>
            </a:solidFill>
            <a:ln w="38100">
              <a:solidFill>
                <a:srgbClr val="0000FF"/>
              </a:solidFill>
              <a:prstDash val="solid"/>
            </a:ln>
          </c:spPr>
          <c:invertIfNegative val="0"/>
          <c:cat>
            <c:strRef>
              <c:f>'Bankacılık1-7'!$B$30:$B$47</c:f>
              <c:strCache>
                <c:ptCount val="18"/>
                <c:pt idx="0">
                  <c:v>02</c:v>
                </c:pt>
                <c:pt idx="1">
                  <c:v>03</c:v>
                </c:pt>
                <c:pt idx="2">
                  <c:v>04</c:v>
                </c:pt>
                <c:pt idx="3">
                  <c:v>05</c:v>
                </c:pt>
                <c:pt idx="4">
                  <c:v>06</c:v>
                </c:pt>
                <c:pt idx="5">
                  <c:v>07</c:v>
                </c:pt>
                <c:pt idx="6">
                  <c:v>08</c:v>
                </c:pt>
                <c:pt idx="7">
                  <c:v>09/1</c:v>
                </c:pt>
                <c:pt idx="8">
                  <c:v>09/2</c:v>
                </c:pt>
                <c:pt idx="9">
                  <c:v>09/3</c:v>
                </c:pt>
                <c:pt idx="10">
                  <c:v>09/4</c:v>
                </c:pt>
                <c:pt idx="11">
                  <c:v>10/1</c:v>
                </c:pt>
                <c:pt idx="12">
                  <c:v>10/2</c:v>
                </c:pt>
                <c:pt idx="13">
                  <c:v>10/3</c:v>
                </c:pt>
                <c:pt idx="14">
                  <c:v>10/4</c:v>
                </c:pt>
                <c:pt idx="15">
                  <c:v>11/1</c:v>
                </c:pt>
                <c:pt idx="16">
                  <c:v>11/2</c:v>
                </c:pt>
                <c:pt idx="17">
                  <c:v>11/3</c:v>
                </c:pt>
              </c:strCache>
            </c:strRef>
          </c:cat>
          <c:val>
            <c:numRef>
              <c:f>'Bankacılık1-7'!$C$30:$C$47</c:f>
              <c:numCache>
                <c:formatCode>General</c:formatCode>
                <c:ptCount val="18"/>
                <c:pt idx="0">
                  <c:v>129.69999999999999</c:v>
                </c:pt>
                <c:pt idx="1">
                  <c:v>178.9</c:v>
                </c:pt>
                <c:pt idx="2">
                  <c:v>229.3</c:v>
                </c:pt>
                <c:pt idx="3">
                  <c:v>295.89999999999998</c:v>
                </c:pt>
                <c:pt idx="4">
                  <c:v>346</c:v>
                </c:pt>
                <c:pt idx="5">
                  <c:v>485</c:v>
                </c:pt>
                <c:pt idx="6" formatCode="0.0">
                  <c:v>464.51570508608222</c:v>
                </c:pt>
                <c:pt idx="7" formatCode="0.0">
                  <c:v>430.95238095238096</c:v>
                </c:pt>
                <c:pt idx="8" formatCode="0.0">
                  <c:v>484.02964517610025</c:v>
                </c:pt>
                <c:pt idx="9" formatCode="0.0">
                  <c:v>517.94177386594447</c:v>
                </c:pt>
                <c:pt idx="10" formatCode="0.0">
                  <c:v>538.1</c:v>
                </c:pt>
                <c:pt idx="11" formatCode="0.0">
                  <c:v>544.9</c:v>
                </c:pt>
                <c:pt idx="12" formatCode="0.0">
                  <c:v>553.9</c:v>
                </c:pt>
                <c:pt idx="13" formatCode="0.0">
                  <c:v>615.1</c:v>
                </c:pt>
                <c:pt idx="14" formatCode="0.0">
                  <c:v>627.1</c:v>
                </c:pt>
                <c:pt idx="15">
                  <c:v>651.79999999999995</c:v>
                </c:pt>
                <c:pt idx="16" formatCode="0.0">
                  <c:v>680.1</c:v>
                </c:pt>
                <c:pt idx="17" formatCode="0.0">
                  <c:v>626.70000000000005</c:v>
                </c:pt>
              </c:numCache>
            </c:numRef>
          </c:val>
        </c:ser>
        <c:dLbls>
          <c:showLegendKey val="0"/>
          <c:showVal val="0"/>
          <c:showCatName val="0"/>
          <c:showSerName val="0"/>
          <c:showPercent val="0"/>
          <c:showBubbleSize val="0"/>
        </c:dLbls>
        <c:gapWidth val="150"/>
        <c:axId val="94162944"/>
        <c:axId val="94399104"/>
      </c:barChart>
      <c:lineChart>
        <c:grouping val="standard"/>
        <c:varyColors val="0"/>
        <c:ser>
          <c:idx val="0"/>
          <c:order val="1"/>
          <c:tx>
            <c:strRef>
              <c:f>'Bankacılık1-7'!$D$29</c:f>
              <c:strCache>
                <c:ptCount val="1"/>
                <c:pt idx="0">
                  <c:v>T. Aktifler/gsyih (sağ eksen)</c:v>
                </c:pt>
              </c:strCache>
            </c:strRef>
          </c:tx>
          <c:spPr>
            <a:ln w="38100">
              <a:solidFill>
                <a:srgbClr val="FF0000"/>
              </a:solidFill>
              <a:prstDash val="solid"/>
            </a:ln>
          </c:spPr>
          <c:marker>
            <c:symbol val="none"/>
          </c:marker>
          <c:cat>
            <c:strRef>
              <c:f>'Bankacılık1-7'!$B$30:$B$47</c:f>
              <c:strCache>
                <c:ptCount val="18"/>
                <c:pt idx="0">
                  <c:v>02</c:v>
                </c:pt>
                <c:pt idx="1">
                  <c:v>03</c:v>
                </c:pt>
                <c:pt idx="2">
                  <c:v>04</c:v>
                </c:pt>
                <c:pt idx="3">
                  <c:v>05</c:v>
                </c:pt>
                <c:pt idx="4">
                  <c:v>06</c:v>
                </c:pt>
                <c:pt idx="5">
                  <c:v>07</c:v>
                </c:pt>
                <c:pt idx="6">
                  <c:v>08</c:v>
                </c:pt>
                <c:pt idx="7">
                  <c:v>09/1</c:v>
                </c:pt>
                <c:pt idx="8">
                  <c:v>09/2</c:v>
                </c:pt>
                <c:pt idx="9">
                  <c:v>09/3</c:v>
                </c:pt>
                <c:pt idx="10">
                  <c:v>09/4</c:v>
                </c:pt>
                <c:pt idx="11">
                  <c:v>10/1</c:v>
                </c:pt>
                <c:pt idx="12">
                  <c:v>10/2</c:v>
                </c:pt>
                <c:pt idx="13">
                  <c:v>10/3</c:v>
                </c:pt>
                <c:pt idx="14">
                  <c:v>10/4</c:v>
                </c:pt>
                <c:pt idx="15">
                  <c:v>11/1</c:v>
                </c:pt>
                <c:pt idx="16">
                  <c:v>11/2</c:v>
                </c:pt>
                <c:pt idx="17">
                  <c:v>11/3</c:v>
                </c:pt>
              </c:strCache>
            </c:strRef>
          </c:cat>
          <c:val>
            <c:numRef>
              <c:f>'Bankacılık1-7'!$D$30:$D$47</c:f>
              <c:numCache>
                <c:formatCode>0.0</c:formatCode>
                <c:ptCount val="18"/>
                <c:pt idx="0">
                  <c:v>56.542539229671895</c:v>
                </c:pt>
                <c:pt idx="1">
                  <c:v>58.705004397537373</c:v>
                </c:pt>
                <c:pt idx="2">
                  <c:v>58.64993559928444</c:v>
                </c:pt>
                <c:pt idx="3">
                  <c:v>61.460012328556026</c:v>
                </c:pt>
                <c:pt idx="4">
                  <c:v>65.723575949367103</c:v>
                </c:pt>
                <c:pt idx="5">
                  <c:v>73.618700667881001</c:v>
                </c:pt>
                <c:pt idx="6">
                  <c:v>74.402694453215432</c:v>
                </c:pt>
                <c:pt idx="7">
                  <c:v>76.694915254237287</c:v>
                </c:pt>
                <c:pt idx="8">
                  <c:v>79.014989293361893</c:v>
                </c:pt>
                <c:pt idx="9">
                  <c:v>81.905781584582442</c:v>
                </c:pt>
                <c:pt idx="10">
                  <c:v>84</c:v>
                </c:pt>
                <c:pt idx="11">
                  <c:v>83.8</c:v>
                </c:pt>
                <c:pt idx="12">
                  <c:v>85</c:v>
                </c:pt>
                <c:pt idx="13">
                  <c:v>83.7</c:v>
                </c:pt>
                <c:pt idx="14" formatCode="General">
                  <c:v>88</c:v>
                </c:pt>
                <c:pt idx="15" formatCode="General">
                  <c:v>87</c:v>
                </c:pt>
                <c:pt idx="16" formatCode="General">
                  <c:v>91</c:v>
                </c:pt>
                <c:pt idx="17" formatCode="General">
                  <c:v>94</c:v>
                </c:pt>
              </c:numCache>
            </c:numRef>
          </c:val>
          <c:smooth val="0"/>
        </c:ser>
        <c:dLbls>
          <c:showLegendKey val="0"/>
          <c:showVal val="0"/>
          <c:showCatName val="0"/>
          <c:showSerName val="0"/>
          <c:showPercent val="0"/>
          <c:showBubbleSize val="0"/>
        </c:dLbls>
        <c:marker val="1"/>
        <c:smooth val="0"/>
        <c:axId val="105511168"/>
        <c:axId val="111150208"/>
      </c:lineChart>
      <c:catAx>
        <c:axId val="9416294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tr-TR"/>
          </a:p>
        </c:txPr>
        <c:crossAx val="94399104"/>
        <c:crosses val="autoZero"/>
        <c:auto val="0"/>
        <c:lblAlgn val="ctr"/>
        <c:lblOffset val="100"/>
        <c:tickLblSkip val="2"/>
        <c:tickMarkSkip val="2"/>
        <c:noMultiLvlLbl val="0"/>
      </c:catAx>
      <c:valAx>
        <c:axId val="94399104"/>
        <c:scaling>
          <c:orientation val="minMax"/>
          <c:min val="100"/>
        </c:scaling>
        <c:delete val="0"/>
        <c:axPos val="l"/>
        <c:majorGridlines>
          <c:spPr>
            <a:ln w="3175">
              <a:solidFill>
                <a:srgbClr val="000000"/>
              </a:solidFill>
              <a:prstDash val="sysDash"/>
            </a:ln>
          </c:spPr>
        </c:majorGridlines>
        <c:title>
          <c:tx>
            <c:rich>
              <a:bodyPr rot="0" vert="horz"/>
              <a:lstStyle/>
              <a:p>
                <a:pPr algn="ctr">
                  <a:defRPr sz="800" b="0" i="0" u="none" strike="noStrike" baseline="0">
                    <a:solidFill>
                      <a:srgbClr val="000000"/>
                    </a:solidFill>
                    <a:latin typeface="Arial"/>
                    <a:ea typeface="Arial"/>
                    <a:cs typeface="Arial"/>
                  </a:defRPr>
                </a:pPr>
                <a:r>
                  <a:rPr lang="tr-TR"/>
                  <a:t>milyar dolar</a:t>
                </a:r>
              </a:p>
            </c:rich>
          </c:tx>
          <c:layout>
            <c:manualLayout>
              <c:xMode val="edge"/>
              <c:yMode val="edge"/>
              <c:x val="3.9292730844793712E-2"/>
              <c:y val="2.3333409288441687E-2"/>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tr-TR"/>
          </a:p>
        </c:txPr>
        <c:crossAx val="94162944"/>
        <c:crosses val="autoZero"/>
        <c:crossBetween val="between"/>
      </c:valAx>
      <c:catAx>
        <c:axId val="105511168"/>
        <c:scaling>
          <c:orientation val="minMax"/>
        </c:scaling>
        <c:delete val="1"/>
        <c:axPos val="b"/>
        <c:majorTickMark val="out"/>
        <c:minorTickMark val="none"/>
        <c:tickLblPos val="nextTo"/>
        <c:crossAx val="111150208"/>
        <c:crosses val="autoZero"/>
        <c:auto val="0"/>
        <c:lblAlgn val="ctr"/>
        <c:lblOffset val="100"/>
        <c:noMultiLvlLbl val="0"/>
      </c:catAx>
      <c:valAx>
        <c:axId val="111150208"/>
        <c:scaling>
          <c:orientation val="minMax"/>
          <c:min val="50"/>
        </c:scaling>
        <c:delete val="0"/>
        <c:axPos val="r"/>
        <c:title>
          <c:tx>
            <c:rich>
              <a:bodyPr rot="0" vert="horz"/>
              <a:lstStyle/>
              <a:p>
                <a:pPr algn="ctr">
                  <a:defRPr sz="800" b="0" i="0" u="none" strike="noStrike" baseline="0">
                    <a:solidFill>
                      <a:srgbClr val="000000"/>
                    </a:solidFill>
                    <a:latin typeface="Arial"/>
                    <a:ea typeface="Arial"/>
                    <a:cs typeface="Arial"/>
                  </a:defRPr>
                </a:pPr>
                <a:r>
                  <a:rPr lang="tr-TR"/>
                  <a:t>yüzde</a:t>
                </a:r>
              </a:p>
            </c:rich>
          </c:tx>
          <c:layout>
            <c:manualLayout>
              <c:xMode val="edge"/>
              <c:yMode val="edge"/>
              <c:x val="0.91552062868369433"/>
              <c:y val="1.6666720920315521E-2"/>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tr-TR"/>
          </a:p>
        </c:txPr>
        <c:crossAx val="105511168"/>
        <c:crosses val="max"/>
        <c:crossBetween val="between"/>
      </c:valAx>
      <c:spPr>
        <a:solidFill>
          <a:srgbClr val="FFFFFF"/>
        </a:solidFill>
        <a:ln w="12700">
          <a:solidFill>
            <a:srgbClr val="808080"/>
          </a:solidFill>
          <a:prstDash val="solid"/>
        </a:ln>
      </c:spPr>
    </c:plotArea>
    <c:legend>
      <c:legendPos val="b"/>
      <c:layout>
        <c:manualLayout>
          <c:xMode val="edge"/>
          <c:yMode val="edge"/>
          <c:x val="0.1257367387033399"/>
          <c:y val="0.89333624132890976"/>
          <c:w val="0.73870333988212178"/>
          <c:h val="8.0000260417514374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tr-TR"/>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6522D4C7FE56341A02F819AE42E43B0" ma:contentTypeVersion="0" ma:contentTypeDescription="Yeni belge oluşturun." ma:contentTypeScope="" ma:versionID="63ddf5b260d5536c86bc350d09631d79">
  <xsd:schema xmlns:xsd="http://www.w3.org/2001/XMLSchema" xmlns:xs="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42C1-9841-467A-9003-5ECCD0E1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A93732-EE5B-4426-A7DF-4103F9EF78E6}">
  <ds:schemaRefs>
    <ds:schemaRef ds:uri="http://schemas.microsoft.com/sharepoint/v3/contenttype/forms"/>
  </ds:schemaRefs>
</ds:datastoreItem>
</file>

<file path=customXml/itemProps3.xml><?xml version="1.0" encoding="utf-8"?>
<ds:datastoreItem xmlns:ds="http://schemas.openxmlformats.org/officeDocument/2006/customXml" ds:itemID="{7C7BF4C3-78B1-4472-9B8F-BC1379DEC1A0}">
  <ds:schemaRef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A31BFF59-276F-4624-AD61-84011802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Türkiye Bankacılık Sistemi ,</vt:lpstr>
    </vt:vector>
  </TitlesOfParts>
  <Company>tbb</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Bankacılık Sistemi ,</dc:title>
  <dc:creator>alpan</dc:creator>
  <cp:lastModifiedBy>Aslı Özaktan</cp:lastModifiedBy>
  <cp:revision>2</cp:revision>
  <cp:lastPrinted>2011-11-23T13:01:00Z</cp:lastPrinted>
  <dcterms:created xsi:type="dcterms:W3CDTF">2011-11-23T13:12:00Z</dcterms:created>
  <dcterms:modified xsi:type="dcterms:W3CDTF">2011-11-23T13:12:00Z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0x01010016522D4C7FE56341A02F819AE42E43B0</vt:lpwstr>
  </property>
</Properties>
</file>