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6B4" w:rsidRPr="00633BD7" w:rsidRDefault="007176B4" w:rsidP="00D416CA">
      <w:pPr>
        <w:pStyle w:val="Title"/>
        <w:jc w:val="left"/>
        <w:rPr>
          <w:rFonts w:ascii="Arial" w:hAnsi="Arial" w:cs="Arial"/>
          <w:sz w:val="26"/>
          <w:szCs w:val="26"/>
        </w:rPr>
      </w:pPr>
    </w:p>
    <w:p w:rsidR="004723E4" w:rsidRPr="00633BD7" w:rsidRDefault="004723E4" w:rsidP="00D34B4A">
      <w:pPr>
        <w:pStyle w:val="Title"/>
        <w:rPr>
          <w:rFonts w:ascii="Arial" w:hAnsi="Arial" w:cs="Arial"/>
          <w:sz w:val="26"/>
          <w:szCs w:val="26"/>
        </w:rPr>
      </w:pPr>
    </w:p>
    <w:p w:rsidR="004723E4" w:rsidRPr="000E579E" w:rsidRDefault="004723E4" w:rsidP="00D34B4A">
      <w:pPr>
        <w:pStyle w:val="Title"/>
        <w:rPr>
          <w:rFonts w:ascii="Arial" w:hAnsi="Arial" w:cs="Arial"/>
          <w:sz w:val="26"/>
          <w:szCs w:val="26"/>
        </w:rPr>
      </w:pPr>
    </w:p>
    <w:p w:rsidR="00544DFA" w:rsidRPr="00115805" w:rsidRDefault="00D734D4" w:rsidP="00D34B4A">
      <w:pPr>
        <w:pStyle w:val="Title"/>
        <w:rPr>
          <w:rFonts w:ascii="Arial" w:hAnsi="Arial" w:cs="Arial"/>
          <w:sz w:val="26"/>
          <w:szCs w:val="26"/>
        </w:rPr>
      </w:pPr>
      <w:r w:rsidRPr="00115805">
        <w:rPr>
          <w:rFonts w:ascii="Arial" w:hAnsi="Arial" w:cs="Arial"/>
          <w:sz w:val="26"/>
          <w:szCs w:val="26"/>
        </w:rPr>
        <w:t>İstanbul Menkul Kıymetler Borsası’nda (İMKB)</w:t>
      </w:r>
      <w:r w:rsidR="007060EC" w:rsidRPr="00115805">
        <w:rPr>
          <w:rFonts w:ascii="Arial" w:hAnsi="Arial" w:cs="Arial"/>
          <w:sz w:val="26"/>
          <w:szCs w:val="26"/>
        </w:rPr>
        <w:t xml:space="preserve"> İşlem Gören Mevduat Bankaları, </w:t>
      </w:r>
      <w:r w:rsidR="00B67849" w:rsidRPr="00115805">
        <w:rPr>
          <w:rFonts w:ascii="Arial" w:hAnsi="Arial" w:cs="Arial"/>
          <w:sz w:val="26"/>
          <w:szCs w:val="26"/>
        </w:rPr>
        <w:t>Mart</w:t>
      </w:r>
      <w:r w:rsidR="007060EC" w:rsidRPr="00115805">
        <w:rPr>
          <w:rFonts w:ascii="Arial" w:hAnsi="Arial" w:cs="Arial"/>
          <w:sz w:val="26"/>
          <w:szCs w:val="26"/>
        </w:rPr>
        <w:t xml:space="preserve"> 20</w:t>
      </w:r>
      <w:r w:rsidR="00290CE8" w:rsidRPr="00115805">
        <w:rPr>
          <w:rFonts w:ascii="Arial" w:hAnsi="Arial" w:cs="Arial"/>
          <w:sz w:val="26"/>
          <w:szCs w:val="26"/>
        </w:rPr>
        <w:t>1</w:t>
      </w:r>
      <w:r w:rsidR="00B67849" w:rsidRPr="00115805">
        <w:rPr>
          <w:rFonts w:ascii="Arial" w:hAnsi="Arial" w:cs="Arial"/>
          <w:sz w:val="26"/>
          <w:szCs w:val="26"/>
        </w:rPr>
        <w:t>2</w:t>
      </w:r>
      <w:r w:rsidR="00932962" w:rsidRPr="00115805">
        <w:rPr>
          <w:rStyle w:val="FootnoteReference"/>
          <w:rFonts w:ascii="Arial" w:hAnsi="Arial" w:cs="Arial"/>
          <w:sz w:val="26"/>
          <w:szCs w:val="26"/>
        </w:rPr>
        <w:footnoteReference w:id="1"/>
      </w:r>
    </w:p>
    <w:p w:rsidR="004440D6" w:rsidRPr="00115805" w:rsidRDefault="004440D6" w:rsidP="00544DFA">
      <w:pPr>
        <w:pStyle w:val="Subtitle"/>
        <w:rPr>
          <w:rFonts w:ascii="Arial" w:hAnsi="Arial" w:cs="Arial"/>
          <w:szCs w:val="24"/>
        </w:rPr>
      </w:pPr>
      <w:bookmarkStart w:id="0" w:name="OLE_LINK3"/>
      <w:bookmarkStart w:id="1" w:name="OLE_LINK4"/>
    </w:p>
    <w:p w:rsidR="00544DFA" w:rsidRPr="00115805" w:rsidRDefault="00D34B4A" w:rsidP="00544DFA">
      <w:pPr>
        <w:pStyle w:val="Subtitle"/>
        <w:rPr>
          <w:rFonts w:ascii="Arial" w:hAnsi="Arial" w:cs="Arial"/>
          <w:szCs w:val="24"/>
        </w:rPr>
      </w:pPr>
      <w:r w:rsidRPr="00115805">
        <w:rPr>
          <w:rFonts w:ascii="Arial" w:hAnsi="Arial" w:cs="Arial"/>
          <w:szCs w:val="24"/>
        </w:rPr>
        <w:t>1</w:t>
      </w:r>
      <w:r w:rsidR="00A97252" w:rsidRPr="00115805">
        <w:rPr>
          <w:rFonts w:ascii="Arial" w:hAnsi="Arial" w:cs="Arial"/>
          <w:szCs w:val="24"/>
        </w:rPr>
        <w:t xml:space="preserve">. </w:t>
      </w:r>
      <w:r w:rsidR="00544DFA" w:rsidRPr="00115805">
        <w:rPr>
          <w:rFonts w:ascii="Arial" w:hAnsi="Arial" w:cs="Arial"/>
          <w:szCs w:val="24"/>
        </w:rPr>
        <w:t>İMKB’de İşlem Gören Mevduat Bankalarının, Mevduat Bankaları Grubu ve Bankacılık Sektörü İçindeki Yeri</w:t>
      </w:r>
    </w:p>
    <w:p w:rsidR="00544DFA" w:rsidRPr="00115805" w:rsidRDefault="00544DFA" w:rsidP="00544DFA">
      <w:pPr>
        <w:pStyle w:val="Subtitle"/>
        <w:rPr>
          <w:rFonts w:ascii="Arial" w:hAnsi="Arial" w:cs="Arial"/>
          <w:sz w:val="22"/>
          <w:szCs w:val="22"/>
        </w:rPr>
      </w:pPr>
    </w:p>
    <w:p w:rsidR="00544DFA" w:rsidRPr="00115805" w:rsidRDefault="00D2086F" w:rsidP="00544DFA">
      <w:pPr>
        <w:pStyle w:val="Subtitle"/>
        <w:rPr>
          <w:rFonts w:ascii="Arial" w:hAnsi="Arial" w:cs="Arial"/>
          <w:b w:val="0"/>
          <w:sz w:val="22"/>
          <w:szCs w:val="22"/>
        </w:rPr>
      </w:pPr>
      <w:r>
        <w:rPr>
          <w:rFonts w:ascii="Arial" w:hAnsi="Arial" w:cs="Arial"/>
          <w:b w:val="0"/>
          <w:sz w:val="22"/>
          <w:szCs w:val="22"/>
        </w:rPr>
        <w:t>Mart 2012</w:t>
      </w:r>
      <w:r w:rsidR="00544DFA" w:rsidRPr="00115805">
        <w:rPr>
          <w:rFonts w:ascii="Arial" w:hAnsi="Arial" w:cs="Arial"/>
          <w:b w:val="0"/>
          <w:sz w:val="22"/>
          <w:szCs w:val="22"/>
        </w:rPr>
        <w:t xml:space="preserve"> itibariyle, İMKB’de işlem gören mevduat banka</w:t>
      </w:r>
      <w:r w:rsidR="009F29D7" w:rsidRPr="00115805">
        <w:rPr>
          <w:rFonts w:ascii="Arial" w:hAnsi="Arial" w:cs="Arial"/>
          <w:b w:val="0"/>
          <w:sz w:val="22"/>
          <w:szCs w:val="22"/>
        </w:rPr>
        <w:t>sı sayısı 12</w:t>
      </w:r>
      <w:r w:rsidR="00544DFA" w:rsidRPr="00115805">
        <w:rPr>
          <w:rFonts w:ascii="Arial" w:hAnsi="Arial" w:cs="Arial"/>
          <w:b w:val="0"/>
          <w:sz w:val="22"/>
          <w:szCs w:val="22"/>
        </w:rPr>
        <w:t xml:space="preserve"> olmuştur.</w:t>
      </w:r>
      <w:r w:rsidR="00DF1B81" w:rsidRPr="00115805">
        <w:rPr>
          <w:rFonts w:ascii="Arial" w:hAnsi="Arial" w:cs="Arial"/>
          <w:b w:val="0"/>
          <w:sz w:val="22"/>
          <w:szCs w:val="22"/>
        </w:rPr>
        <w:t xml:space="preserve"> Bu bankalar,</w:t>
      </w:r>
      <w:r w:rsidR="004D17D7" w:rsidRPr="00115805">
        <w:rPr>
          <w:rFonts w:ascii="Arial" w:hAnsi="Arial" w:cs="Arial"/>
          <w:b w:val="0"/>
          <w:sz w:val="22"/>
          <w:szCs w:val="22"/>
        </w:rPr>
        <w:t xml:space="preserve"> </w:t>
      </w:r>
      <w:r w:rsidR="00B67849" w:rsidRPr="00115805">
        <w:rPr>
          <w:rFonts w:ascii="Arial" w:hAnsi="Arial" w:cs="Arial"/>
          <w:b w:val="0"/>
          <w:sz w:val="22"/>
          <w:szCs w:val="22"/>
        </w:rPr>
        <w:t>7.445</w:t>
      </w:r>
      <w:r w:rsidR="00AD1B45" w:rsidRPr="00115805">
        <w:rPr>
          <w:rFonts w:ascii="Arial" w:hAnsi="Arial" w:cs="Arial"/>
          <w:b w:val="0"/>
          <w:sz w:val="22"/>
          <w:szCs w:val="22"/>
        </w:rPr>
        <w:t xml:space="preserve"> şube </w:t>
      </w:r>
      <w:r w:rsidR="00B67849" w:rsidRPr="00115805">
        <w:rPr>
          <w:rFonts w:ascii="Arial" w:hAnsi="Arial" w:cs="Arial"/>
          <w:b w:val="0"/>
          <w:sz w:val="22"/>
          <w:szCs w:val="22"/>
        </w:rPr>
        <w:t>ve 133.46</w:t>
      </w:r>
      <w:r w:rsidR="00F97DB3" w:rsidRPr="00115805">
        <w:rPr>
          <w:rFonts w:ascii="Arial" w:hAnsi="Arial" w:cs="Arial"/>
          <w:b w:val="0"/>
          <w:sz w:val="22"/>
          <w:szCs w:val="22"/>
        </w:rPr>
        <w:t>3</w:t>
      </w:r>
      <w:r w:rsidR="00544DFA" w:rsidRPr="00115805">
        <w:rPr>
          <w:rFonts w:ascii="Arial" w:hAnsi="Arial" w:cs="Arial"/>
          <w:b w:val="0"/>
          <w:sz w:val="22"/>
          <w:szCs w:val="22"/>
        </w:rPr>
        <w:t xml:space="preserve"> personel ile sektördeki </w:t>
      </w:r>
      <w:r w:rsidR="006D04A6" w:rsidRPr="00115805">
        <w:rPr>
          <w:rFonts w:ascii="Arial" w:hAnsi="Arial" w:cs="Arial"/>
          <w:b w:val="0"/>
          <w:sz w:val="22"/>
          <w:szCs w:val="22"/>
        </w:rPr>
        <w:t xml:space="preserve">şubelerin </w:t>
      </w:r>
      <w:r w:rsidR="00AE117C" w:rsidRPr="00115805">
        <w:rPr>
          <w:rFonts w:ascii="Arial" w:hAnsi="Arial" w:cs="Arial"/>
          <w:b w:val="0"/>
          <w:sz w:val="22"/>
          <w:szCs w:val="22"/>
        </w:rPr>
        <w:t>yüzde 75’i</w:t>
      </w:r>
      <w:r w:rsidR="00BF033E" w:rsidRPr="00115805">
        <w:rPr>
          <w:rFonts w:ascii="Arial" w:hAnsi="Arial" w:cs="Arial"/>
          <w:b w:val="0"/>
          <w:sz w:val="22"/>
          <w:szCs w:val="22"/>
        </w:rPr>
        <w:t xml:space="preserve">ne </w:t>
      </w:r>
      <w:r w:rsidR="0072685A" w:rsidRPr="00115805">
        <w:rPr>
          <w:rFonts w:ascii="Arial" w:hAnsi="Arial" w:cs="Arial"/>
          <w:b w:val="0"/>
          <w:sz w:val="22"/>
          <w:szCs w:val="22"/>
        </w:rPr>
        <w:t>sahipti</w:t>
      </w:r>
      <w:r w:rsidR="00005663" w:rsidRPr="00115805">
        <w:rPr>
          <w:rFonts w:ascii="Arial" w:hAnsi="Arial" w:cs="Arial"/>
          <w:b w:val="0"/>
          <w:sz w:val="22"/>
          <w:szCs w:val="22"/>
        </w:rPr>
        <w:t>r</w:t>
      </w:r>
      <w:r w:rsidR="0072685A" w:rsidRPr="00115805">
        <w:rPr>
          <w:rFonts w:ascii="Arial" w:hAnsi="Arial" w:cs="Arial"/>
          <w:b w:val="0"/>
          <w:sz w:val="22"/>
          <w:szCs w:val="22"/>
        </w:rPr>
        <w:t xml:space="preserve">ler ve </w:t>
      </w:r>
      <w:r w:rsidR="006D04A6" w:rsidRPr="00115805">
        <w:rPr>
          <w:rFonts w:ascii="Arial" w:hAnsi="Arial" w:cs="Arial"/>
          <w:b w:val="0"/>
          <w:sz w:val="22"/>
          <w:szCs w:val="22"/>
        </w:rPr>
        <w:t xml:space="preserve">personelin yüzde </w:t>
      </w:r>
      <w:r w:rsidR="00B67849" w:rsidRPr="00115805">
        <w:rPr>
          <w:rFonts w:ascii="Arial" w:hAnsi="Arial" w:cs="Arial"/>
          <w:b w:val="0"/>
          <w:sz w:val="22"/>
          <w:szCs w:val="22"/>
        </w:rPr>
        <w:t>74</w:t>
      </w:r>
      <w:r w:rsidR="004D17D7" w:rsidRPr="00115805">
        <w:rPr>
          <w:rFonts w:ascii="Arial" w:hAnsi="Arial" w:cs="Arial"/>
          <w:b w:val="0"/>
          <w:sz w:val="22"/>
          <w:szCs w:val="22"/>
        </w:rPr>
        <w:t>’ünü</w:t>
      </w:r>
      <w:r w:rsidR="0072685A" w:rsidRPr="00115805">
        <w:rPr>
          <w:rFonts w:ascii="Arial" w:hAnsi="Arial" w:cs="Arial"/>
          <w:b w:val="0"/>
          <w:sz w:val="22"/>
          <w:szCs w:val="22"/>
        </w:rPr>
        <w:t xml:space="preserve"> istihdam etmektedirler.</w:t>
      </w:r>
      <w:r w:rsidR="00544DFA" w:rsidRPr="00115805">
        <w:rPr>
          <w:rFonts w:ascii="Arial" w:hAnsi="Arial" w:cs="Arial"/>
          <w:b w:val="0"/>
          <w:sz w:val="22"/>
          <w:szCs w:val="22"/>
        </w:rPr>
        <w:t xml:space="preserve"> </w:t>
      </w:r>
    </w:p>
    <w:p w:rsidR="0072685A" w:rsidRPr="00115805" w:rsidRDefault="0072685A" w:rsidP="00544DFA">
      <w:pPr>
        <w:pStyle w:val="Subtitle"/>
        <w:rPr>
          <w:rFonts w:ascii="Arial" w:hAnsi="Arial" w:cs="Arial"/>
          <w:b w:val="0"/>
          <w:sz w:val="22"/>
          <w:szCs w:val="22"/>
        </w:rPr>
      </w:pPr>
    </w:p>
    <w:p w:rsidR="00544DFA" w:rsidRPr="00115805" w:rsidRDefault="00544DFA" w:rsidP="00544DFA">
      <w:pPr>
        <w:pStyle w:val="Subtitle"/>
        <w:rPr>
          <w:rFonts w:ascii="Arial" w:hAnsi="Arial" w:cs="Arial"/>
          <w:b w:val="0"/>
          <w:sz w:val="22"/>
          <w:szCs w:val="22"/>
        </w:rPr>
      </w:pPr>
      <w:r w:rsidRPr="00115805">
        <w:rPr>
          <w:rFonts w:ascii="Arial" w:hAnsi="Arial" w:cs="Arial"/>
          <w:b w:val="0"/>
          <w:sz w:val="22"/>
          <w:szCs w:val="22"/>
        </w:rPr>
        <w:t xml:space="preserve">İMKB’de işlem gören mevduat bankalarının, </w:t>
      </w:r>
      <w:r w:rsidR="00D2086F">
        <w:rPr>
          <w:rFonts w:ascii="Arial" w:hAnsi="Arial" w:cs="Arial"/>
          <w:b w:val="0"/>
          <w:sz w:val="22"/>
          <w:szCs w:val="22"/>
        </w:rPr>
        <w:t>Mart 2012</w:t>
      </w:r>
      <w:r w:rsidRPr="00115805">
        <w:rPr>
          <w:rFonts w:ascii="Arial" w:hAnsi="Arial" w:cs="Arial"/>
          <w:b w:val="0"/>
          <w:sz w:val="22"/>
          <w:szCs w:val="22"/>
        </w:rPr>
        <w:t xml:space="preserve"> itibariyle, sektör toplam </w:t>
      </w:r>
      <w:r w:rsidR="008A4022" w:rsidRPr="00115805">
        <w:rPr>
          <w:rFonts w:ascii="Arial" w:hAnsi="Arial" w:cs="Arial"/>
          <w:b w:val="0"/>
          <w:sz w:val="22"/>
          <w:szCs w:val="22"/>
        </w:rPr>
        <w:t>aktifleri içindeki payı yüzde</w:t>
      </w:r>
      <w:r w:rsidR="00110161" w:rsidRPr="00115805">
        <w:rPr>
          <w:rFonts w:ascii="Arial" w:hAnsi="Arial" w:cs="Arial"/>
          <w:b w:val="0"/>
          <w:sz w:val="22"/>
          <w:szCs w:val="22"/>
        </w:rPr>
        <w:t xml:space="preserve"> 7</w:t>
      </w:r>
      <w:r w:rsidR="0087259E" w:rsidRPr="00115805">
        <w:rPr>
          <w:rFonts w:ascii="Arial" w:hAnsi="Arial" w:cs="Arial"/>
          <w:b w:val="0"/>
          <w:sz w:val="22"/>
          <w:szCs w:val="22"/>
        </w:rPr>
        <w:t>6</w:t>
      </w:r>
      <w:r w:rsidRPr="00115805">
        <w:rPr>
          <w:rFonts w:ascii="Arial" w:hAnsi="Arial" w:cs="Arial"/>
          <w:b w:val="0"/>
          <w:sz w:val="22"/>
          <w:szCs w:val="22"/>
        </w:rPr>
        <w:t>, toplam</w:t>
      </w:r>
      <w:r w:rsidR="00601214" w:rsidRPr="00115805">
        <w:rPr>
          <w:rFonts w:ascii="Arial" w:hAnsi="Arial" w:cs="Arial"/>
          <w:b w:val="0"/>
          <w:sz w:val="22"/>
          <w:szCs w:val="22"/>
        </w:rPr>
        <w:t xml:space="preserve"> kredil</w:t>
      </w:r>
      <w:r w:rsidR="00694C70" w:rsidRPr="00115805">
        <w:rPr>
          <w:rFonts w:ascii="Arial" w:hAnsi="Arial" w:cs="Arial"/>
          <w:b w:val="0"/>
          <w:sz w:val="22"/>
          <w:szCs w:val="22"/>
        </w:rPr>
        <w:t xml:space="preserve">er içindeki payı yüzde </w:t>
      </w:r>
      <w:r w:rsidR="00F97DB3" w:rsidRPr="00115805">
        <w:rPr>
          <w:rFonts w:ascii="Arial" w:hAnsi="Arial" w:cs="Arial"/>
          <w:b w:val="0"/>
          <w:sz w:val="22"/>
          <w:szCs w:val="22"/>
        </w:rPr>
        <w:t>80</w:t>
      </w:r>
      <w:r w:rsidRPr="00115805">
        <w:rPr>
          <w:rFonts w:ascii="Arial" w:hAnsi="Arial" w:cs="Arial"/>
          <w:b w:val="0"/>
          <w:sz w:val="22"/>
          <w:szCs w:val="22"/>
        </w:rPr>
        <w:t xml:space="preserve"> ve topla</w:t>
      </w:r>
      <w:r w:rsidR="00710A75" w:rsidRPr="00115805">
        <w:rPr>
          <w:rFonts w:ascii="Arial" w:hAnsi="Arial" w:cs="Arial"/>
          <w:b w:val="0"/>
          <w:sz w:val="22"/>
          <w:szCs w:val="22"/>
        </w:rPr>
        <w:t xml:space="preserve">m mevduat içindeki payı yüzde </w:t>
      </w:r>
      <w:r w:rsidR="0087259E" w:rsidRPr="00115805">
        <w:rPr>
          <w:rFonts w:ascii="Arial" w:hAnsi="Arial" w:cs="Arial"/>
          <w:b w:val="0"/>
          <w:sz w:val="22"/>
          <w:szCs w:val="22"/>
        </w:rPr>
        <w:t>83</w:t>
      </w:r>
      <w:r w:rsidRPr="00115805">
        <w:rPr>
          <w:rFonts w:ascii="Arial" w:hAnsi="Arial" w:cs="Arial"/>
          <w:b w:val="0"/>
          <w:sz w:val="22"/>
          <w:szCs w:val="22"/>
        </w:rPr>
        <w:t xml:space="preserve"> olmuştur.</w:t>
      </w:r>
    </w:p>
    <w:p w:rsidR="00544DFA" w:rsidRPr="00115805" w:rsidRDefault="00544DFA" w:rsidP="00544DFA">
      <w:pPr>
        <w:rPr>
          <w:rFonts w:ascii="Arial" w:hAnsi="Arial" w:cs="Arial"/>
          <w:b/>
          <w:sz w:val="22"/>
          <w:szCs w:val="22"/>
        </w:rPr>
      </w:pPr>
    </w:p>
    <w:p w:rsidR="00373BB1" w:rsidRPr="00115805" w:rsidRDefault="005839EF" w:rsidP="00373BB1">
      <w:pPr>
        <w:pStyle w:val="Subtitle"/>
        <w:rPr>
          <w:rFonts w:ascii="Arial" w:hAnsi="Arial" w:cs="Arial"/>
          <w:szCs w:val="24"/>
        </w:rPr>
      </w:pPr>
      <w:r w:rsidRPr="00115805">
        <w:rPr>
          <w:rFonts w:ascii="Arial" w:hAnsi="Arial" w:cs="Arial"/>
          <w:szCs w:val="24"/>
        </w:rPr>
        <w:t>2</w:t>
      </w:r>
      <w:r w:rsidR="00A97252" w:rsidRPr="00115805">
        <w:rPr>
          <w:rFonts w:ascii="Arial" w:hAnsi="Arial" w:cs="Arial"/>
          <w:szCs w:val="24"/>
        </w:rPr>
        <w:t xml:space="preserve">. </w:t>
      </w:r>
      <w:r w:rsidR="00373BB1" w:rsidRPr="00115805">
        <w:rPr>
          <w:rFonts w:ascii="Arial" w:hAnsi="Arial" w:cs="Arial"/>
          <w:szCs w:val="24"/>
        </w:rPr>
        <w:t>İMKB’de İşlem Gören Mevduat Bankalarındaki Gelişmeler</w:t>
      </w:r>
    </w:p>
    <w:p w:rsidR="00373BB1" w:rsidRPr="00115805" w:rsidRDefault="00373BB1" w:rsidP="00373BB1">
      <w:pPr>
        <w:pStyle w:val="Subtitle"/>
        <w:rPr>
          <w:rFonts w:ascii="Arial" w:hAnsi="Arial" w:cs="Arial"/>
          <w:sz w:val="22"/>
          <w:szCs w:val="22"/>
        </w:rPr>
      </w:pPr>
    </w:p>
    <w:p w:rsidR="00373BB1" w:rsidRPr="00115805" w:rsidRDefault="00373BB1" w:rsidP="00373BB1">
      <w:pPr>
        <w:pStyle w:val="Subtitle"/>
        <w:rPr>
          <w:rFonts w:ascii="Arial" w:hAnsi="Arial" w:cs="Arial"/>
          <w:b w:val="0"/>
          <w:sz w:val="22"/>
          <w:szCs w:val="22"/>
        </w:rPr>
      </w:pPr>
      <w:r w:rsidRPr="00115805">
        <w:rPr>
          <w:rFonts w:ascii="Arial" w:hAnsi="Arial" w:cs="Arial"/>
          <w:b w:val="0"/>
          <w:sz w:val="22"/>
          <w:szCs w:val="22"/>
        </w:rPr>
        <w:t>İMKB’de işlem gören mevduat bankalarının toplam aktifleri</w:t>
      </w:r>
      <w:r w:rsidR="00583A9A" w:rsidRPr="00115805">
        <w:rPr>
          <w:rFonts w:ascii="Arial" w:hAnsi="Arial" w:cs="Arial"/>
          <w:b w:val="0"/>
          <w:sz w:val="22"/>
          <w:szCs w:val="22"/>
        </w:rPr>
        <w:t>,</w:t>
      </w:r>
      <w:r w:rsidRPr="00115805">
        <w:rPr>
          <w:rFonts w:ascii="Arial" w:hAnsi="Arial" w:cs="Arial"/>
          <w:b w:val="0"/>
          <w:sz w:val="22"/>
          <w:szCs w:val="22"/>
        </w:rPr>
        <w:t xml:space="preserve"> </w:t>
      </w:r>
      <w:r w:rsidR="0087259E" w:rsidRPr="00115805">
        <w:rPr>
          <w:rFonts w:ascii="Arial" w:hAnsi="Arial" w:cs="Arial"/>
          <w:b w:val="0"/>
          <w:sz w:val="22"/>
          <w:szCs w:val="22"/>
        </w:rPr>
        <w:t>Mart</w:t>
      </w:r>
      <w:r w:rsidR="00AC226D" w:rsidRPr="00115805">
        <w:rPr>
          <w:rFonts w:ascii="Arial" w:hAnsi="Arial" w:cs="Arial"/>
          <w:b w:val="0"/>
          <w:sz w:val="22"/>
          <w:szCs w:val="22"/>
        </w:rPr>
        <w:t xml:space="preserve"> </w:t>
      </w:r>
      <w:r w:rsidR="0087259E" w:rsidRPr="00115805">
        <w:rPr>
          <w:rFonts w:ascii="Arial" w:hAnsi="Arial" w:cs="Arial"/>
          <w:b w:val="0"/>
          <w:sz w:val="22"/>
          <w:szCs w:val="22"/>
        </w:rPr>
        <w:t>2012</w:t>
      </w:r>
      <w:r w:rsidR="00583A9A" w:rsidRPr="00115805">
        <w:rPr>
          <w:rFonts w:ascii="Arial" w:hAnsi="Arial" w:cs="Arial"/>
          <w:b w:val="0"/>
          <w:sz w:val="22"/>
          <w:szCs w:val="22"/>
        </w:rPr>
        <w:t xml:space="preserve"> itibariyle</w:t>
      </w:r>
      <w:r w:rsidRPr="00115805">
        <w:rPr>
          <w:rFonts w:ascii="Arial" w:hAnsi="Arial" w:cs="Arial"/>
          <w:b w:val="0"/>
          <w:sz w:val="22"/>
          <w:szCs w:val="22"/>
        </w:rPr>
        <w:t xml:space="preserve"> bir yıl önceye göre yüzde </w:t>
      </w:r>
      <w:r w:rsidR="00AC226D" w:rsidRPr="00115805">
        <w:rPr>
          <w:rFonts w:ascii="Arial" w:hAnsi="Arial" w:cs="Arial"/>
          <w:b w:val="0"/>
          <w:sz w:val="22"/>
          <w:szCs w:val="22"/>
        </w:rPr>
        <w:t>2</w:t>
      </w:r>
      <w:r w:rsidR="0087259E" w:rsidRPr="00115805">
        <w:rPr>
          <w:rFonts w:ascii="Arial" w:hAnsi="Arial" w:cs="Arial"/>
          <w:b w:val="0"/>
          <w:sz w:val="22"/>
          <w:szCs w:val="22"/>
        </w:rPr>
        <w:t>0</w:t>
      </w:r>
      <w:r w:rsidR="00694405" w:rsidRPr="00115805">
        <w:rPr>
          <w:rFonts w:ascii="Arial" w:hAnsi="Arial" w:cs="Arial"/>
          <w:b w:val="0"/>
          <w:sz w:val="22"/>
          <w:szCs w:val="22"/>
        </w:rPr>
        <w:t xml:space="preserve"> artarak, </w:t>
      </w:r>
      <w:r w:rsidR="0087259E" w:rsidRPr="00115805">
        <w:rPr>
          <w:rFonts w:ascii="Arial" w:hAnsi="Arial" w:cs="Arial"/>
          <w:b w:val="0"/>
          <w:sz w:val="22"/>
          <w:szCs w:val="22"/>
        </w:rPr>
        <w:t>890</w:t>
      </w:r>
      <w:r w:rsidRPr="00115805">
        <w:rPr>
          <w:rFonts w:ascii="Arial" w:hAnsi="Arial" w:cs="Arial"/>
          <w:b w:val="0"/>
          <w:sz w:val="22"/>
          <w:szCs w:val="22"/>
        </w:rPr>
        <w:t xml:space="preserve"> milyar TL’ye yükselmiştir. </w:t>
      </w:r>
    </w:p>
    <w:p w:rsidR="00373BB1" w:rsidRPr="00115805" w:rsidRDefault="00373BB1" w:rsidP="00373BB1">
      <w:pPr>
        <w:pStyle w:val="Subtitle"/>
        <w:rPr>
          <w:rFonts w:ascii="Arial" w:hAnsi="Arial" w:cs="Arial"/>
          <w:b w:val="0"/>
          <w:sz w:val="22"/>
          <w:szCs w:val="22"/>
        </w:rPr>
      </w:pPr>
    </w:p>
    <w:p w:rsidR="00373BB1" w:rsidRPr="00115805" w:rsidRDefault="00373BB1" w:rsidP="00373BB1">
      <w:pPr>
        <w:pStyle w:val="Subtitle"/>
        <w:jc w:val="center"/>
        <w:rPr>
          <w:rFonts w:ascii="Arial" w:hAnsi="Arial" w:cs="Arial"/>
          <w:szCs w:val="24"/>
        </w:rPr>
      </w:pPr>
      <w:r w:rsidRPr="00115805">
        <w:rPr>
          <w:rFonts w:ascii="Arial" w:hAnsi="Arial" w:cs="Arial"/>
          <w:szCs w:val="24"/>
        </w:rPr>
        <w:t>Aktif Kal</w:t>
      </w:r>
      <w:r w:rsidR="00730A05">
        <w:rPr>
          <w:rFonts w:ascii="Arial" w:hAnsi="Arial" w:cs="Arial"/>
          <w:szCs w:val="24"/>
        </w:rPr>
        <w:t xml:space="preserve">emlerdeki Gelişmeler </w:t>
      </w:r>
    </w:p>
    <w:p w:rsidR="00315335" w:rsidRPr="00115805" w:rsidRDefault="00315335" w:rsidP="00373BB1">
      <w:pPr>
        <w:pStyle w:val="Subtitle"/>
        <w:jc w:val="center"/>
        <w:rPr>
          <w:rFonts w:ascii="Arial" w:hAnsi="Arial" w:cs="Arial"/>
          <w:szCs w:val="24"/>
        </w:rPr>
      </w:pPr>
    </w:p>
    <w:tbl>
      <w:tblPr>
        <w:tblW w:w="8420" w:type="dxa"/>
        <w:tblInd w:w="55" w:type="dxa"/>
        <w:tblCellMar>
          <w:left w:w="70" w:type="dxa"/>
          <w:right w:w="70" w:type="dxa"/>
        </w:tblCellMar>
        <w:tblLook w:val="04A0" w:firstRow="1" w:lastRow="0" w:firstColumn="1" w:lastColumn="0" w:noHBand="0" w:noVBand="1"/>
      </w:tblPr>
      <w:tblGrid>
        <w:gridCol w:w="2520"/>
        <w:gridCol w:w="960"/>
        <w:gridCol w:w="960"/>
        <w:gridCol w:w="960"/>
        <w:gridCol w:w="1500"/>
        <w:gridCol w:w="1520"/>
      </w:tblGrid>
      <w:tr w:rsidR="00F97F87" w:rsidRPr="00115805" w:rsidTr="00315335">
        <w:trPr>
          <w:trHeight w:val="255"/>
        </w:trPr>
        <w:tc>
          <w:tcPr>
            <w:tcW w:w="2520" w:type="dxa"/>
            <w:tcBorders>
              <w:top w:val="nil"/>
              <w:left w:val="nil"/>
              <w:bottom w:val="nil"/>
              <w:right w:val="nil"/>
            </w:tcBorders>
            <w:shd w:val="clear" w:color="000000" w:fill="FFFFFF"/>
            <w:noWrap/>
            <w:vAlign w:val="center"/>
            <w:hideMark/>
          </w:tcPr>
          <w:p w:rsidR="00315335" w:rsidRPr="00115805" w:rsidRDefault="00315335" w:rsidP="00315335">
            <w:pPr>
              <w:rPr>
                <w:rFonts w:ascii="Arial" w:hAnsi="Arial" w:cs="Arial"/>
                <w:sz w:val="20"/>
                <w:lang w:eastAsia="tr-TR"/>
              </w:rPr>
            </w:pPr>
            <w:r w:rsidRPr="00115805">
              <w:rPr>
                <w:rFonts w:ascii="Arial" w:hAnsi="Arial" w:cs="Arial"/>
                <w:sz w:val="20"/>
                <w:lang w:eastAsia="tr-TR"/>
              </w:rPr>
              <w:t> </w:t>
            </w:r>
          </w:p>
        </w:tc>
        <w:tc>
          <w:tcPr>
            <w:tcW w:w="960" w:type="dxa"/>
            <w:tcBorders>
              <w:top w:val="nil"/>
              <w:left w:val="nil"/>
              <w:bottom w:val="nil"/>
              <w:right w:val="nil"/>
            </w:tcBorders>
            <w:shd w:val="clear" w:color="000000" w:fill="FFFFFF"/>
            <w:noWrap/>
            <w:vAlign w:val="center"/>
            <w:hideMark/>
          </w:tcPr>
          <w:p w:rsidR="00315335" w:rsidRPr="00115805" w:rsidRDefault="00F97F87" w:rsidP="00315335">
            <w:pPr>
              <w:jc w:val="right"/>
              <w:rPr>
                <w:rFonts w:ascii="Arial" w:hAnsi="Arial" w:cs="Arial"/>
                <w:b/>
                <w:bCs/>
                <w:sz w:val="20"/>
                <w:lang w:eastAsia="tr-TR"/>
              </w:rPr>
            </w:pPr>
            <w:r w:rsidRPr="00115805">
              <w:rPr>
                <w:rFonts w:ascii="Arial" w:hAnsi="Arial" w:cs="Arial"/>
                <w:b/>
                <w:bCs/>
                <w:sz w:val="20"/>
                <w:lang w:eastAsia="tr-TR"/>
              </w:rPr>
              <w:t>Mart</w:t>
            </w:r>
          </w:p>
        </w:tc>
        <w:tc>
          <w:tcPr>
            <w:tcW w:w="960" w:type="dxa"/>
            <w:tcBorders>
              <w:top w:val="nil"/>
              <w:left w:val="nil"/>
              <w:bottom w:val="nil"/>
              <w:right w:val="nil"/>
            </w:tcBorders>
            <w:shd w:val="clear" w:color="000000" w:fill="FFFFFF"/>
            <w:noWrap/>
            <w:vAlign w:val="center"/>
            <w:hideMark/>
          </w:tcPr>
          <w:p w:rsidR="00315335" w:rsidRPr="00115805" w:rsidRDefault="00F97F87" w:rsidP="00315335">
            <w:pPr>
              <w:jc w:val="right"/>
              <w:rPr>
                <w:rFonts w:ascii="Arial" w:hAnsi="Arial" w:cs="Arial"/>
                <w:b/>
                <w:bCs/>
                <w:sz w:val="20"/>
                <w:lang w:eastAsia="tr-TR"/>
              </w:rPr>
            </w:pPr>
            <w:r w:rsidRPr="00115805">
              <w:rPr>
                <w:rFonts w:ascii="Arial" w:hAnsi="Arial" w:cs="Arial"/>
                <w:b/>
                <w:bCs/>
                <w:sz w:val="20"/>
                <w:lang w:eastAsia="tr-TR"/>
              </w:rPr>
              <w:t>Mart</w:t>
            </w:r>
          </w:p>
        </w:tc>
        <w:tc>
          <w:tcPr>
            <w:tcW w:w="960" w:type="dxa"/>
            <w:tcBorders>
              <w:top w:val="nil"/>
              <w:left w:val="nil"/>
              <w:bottom w:val="nil"/>
              <w:right w:val="nil"/>
            </w:tcBorders>
            <w:shd w:val="clear" w:color="000000" w:fill="FFFFFF"/>
            <w:noWrap/>
            <w:vAlign w:val="center"/>
            <w:hideMark/>
          </w:tcPr>
          <w:p w:rsidR="00315335" w:rsidRPr="00115805" w:rsidRDefault="00315335" w:rsidP="00315335">
            <w:pPr>
              <w:rPr>
                <w:rFonts w:ascii="Arial" w:hAnsi="Arial" w:cs="Arial"/>
                <w:b/>
                <w:bCs/>
                <w:sz w:val="20"/>
                <w:lang w:eastAsia="tr-TR"/>
              </w:rPr>
            </w:pPr>
            <w:r w:rsidRPr="00115805">
              <w:rPr>
                <w:rFonts w:ascii="Arial" w:hAnsi="Arial" w:cs="Arial"/>
                <w:b/>
                <w:bCs/>
                <w:sz w:val="20"/>
                <w:lang w:eastAsia="tr-TR"/>
              </w:rPr>
              <w:t> </w:t>
            </w:r>
          </w:p>
        </w:tc>
        <w:tc>
          <w:tcPr>
            <w:tcW w:w="1500" w:type="dxa"/>
            <w:tcBorders>
              <w:top w:val="nil"/>
              <w:left w:val="nil"/>
              <w:bottom w:val="nil"/>
              <w:right w:val="nil"/>
            </w:tcBorders>
            <w:shd w:val="clear" w:color="000000" w:fill="FFFFFF"/>
            <w:noWrap/>
            <w:vAlign w:val="center"/>
            <w:hideMark/>
          </w:tcPr>
          <w:p w:rsidR="00315335" w:rsidRPr="00115805" w:rsidRDefault="00315335" w:rsidP="00315335">
            <w:pPr>
              <w:jc w:val="center"/>
              <w:rPr>
                <w:rFonts w:ascii="Arial" w:hAnsi="Arial" w:cs="Arial"/>
                <w:b/>
                <w:bCs/>
                <w:sz w:val="20"/>
                <w:lang w:eastAsia="tr-TR"/>
              </w:rPr>
            </w:pPr>
            <w:r w:rsidRPr="00115805">
              <w:rPr>
                <w:rFonts w:ascii="Arial" w:hAnsi="Arial" w:cs="Arial"/>
                <w:b/>
                <w:bCs/>
                <w:sz w:val="20"/>
                <w:lang w:eastAsia="tr-TR"/>
              </w:rPr>
              <w:t>Yıllık yüzde</w:t>
            </w:r>
          </w:p>
        </w:tc>
        <w:tc>
          <w:tcPr>
            <w:tcW w:w="1520" w:type="dxa"/>
            <w:tcBorders>
              <w:top w:val="nil"/>
              <w:left w:val="nil"/>
              <w:bottom w:val="nil"/>
              <w:right w:val="nil"/>
            </w:tcBorders>
            <w:shd w:val="clear" w:color="000000" w:fill="FFFFFF"/>
            <w:noWrap/>
            <w:vAlign w:val="center"/>
            <w:hideMark/>
          </w:tcPr>
          <w:p w:rsidR="00315335" w:rsidRPr="00115805" w:rsidRDefault="00315335" w:rsidP="00315335">
            <w:pPr>
              <w:jc w:val="center"/>
              <w:rPr>
                <w:rFonts w:ascii="Arial" w:hAnsi="Arial" w:cs="Arial"/>
                <w:b/>
                <w:bCs/>
                <w:sz w:val="20"/>
                <w:lang w:eastAsia="tr-TR"/>
              </w:rPr>
            </w:pPr>
            <w:r w:rsidRPr="00115805">
              <w:rPr>
                <w:rFonts w:ascii="Arial" w:hAnsi="Arial" w:cs="Arial"/>
                <w:b/>
                <w:bCs/>
                <w:sz w:val="20"/>
                <w:lang w:eastAsia="tr-TR"/>
              </w:rPr>
              <w:t>Yüzde pay</w:t>
            </w:r>
          </w:p>
        </w:tc>
      </w:tr>
      <w:tr w:rsidR="00F97F87" w:rsidRPr="00115805" w:rsidTr="00315335">
        <w:trPr>
          <w:trHeight w:val="270"/>
        </w:trPr>
        <w:tc>
          <w:tcPr>
            <w:tcW w:w="2520" w:type="dxa"/>
            <w:tcBorders>
              <w:top w:val="nil"/>
              <w:left w:val="nil"/>
              <w:bottom w:val="single" w:sz="8" w:space="0" w:color="auto"/>
              <w:right w:val="nil"/>
            </w:tcBorders>
            <w:shd w:val="clear" w:color="000000" w:fill="FFFFFF"/>
            <w:noWrap/>
            <w:vAlign w:val="center"/>
            <w:hideMark/>
          </w:tcPr>
          <w:p w:rsidR="00315335" w:rsidRPr="00730A05" w:rsidRDefault="00730A05" w:rsidP="00315335">
            <w:pPr>
              <w:rPr>
                <w:rFonts w:ascii="AbakuTLSymSans" w:hAnsi="AbakuTLSymSans" w:cs="Arial"/>
                <w:b/>
                <w:sz w:val="20"/>
                <w:lang w:eastAsia="tr-TR"/>
              </w:rPr>
            </w:pPr>
            <w:r w:rsidRPr="00730A05">
              <w:rPr>
                <w:rFonts w:ascii="AbakuTLSymSans" w:hAnsi="AbakuTLSymSans" w:cs="Arial"/>
                <w:b/>
                <w:sz w:val="20"/>
                <w:lang w:eastAsia="tr-TR"/>
              </w:rPr>
              <w:t>¨</w:t>
            </w:r>
            <w:r>
              <w:rPr>
                <w:rFonts w:ascii="AbakuTLSymSans" w:hAnsi="AbakuTLSymSans" w:cs="Arial"/>
                <w:b/>
                <w:sz w:val="20"/>
                <w:lang w:eastAsia="tr-TR"/>
              </w:rPr>
              <w:t xml:space="preserve"> M</w:t>
            </w:r>
            <w:r w:rsidRPr="00730A05">
              <w:rPr>
                <w:rFonts w:ascii="AbakuTLSymSans" w:hAnsi="AbakuTLSymSans" w:cs="Arial"/>
                <w:b/>
                <w:sz w:val="20"/>
                <w:lang w:eastAsia="tr-TR"/>
              </w:rPr>
              <w:t>ilyon</w:t>
            </w:r>
          </w:p>
        </w:tc>
        <w:tc>
          <w:tcPr>
            <w:tcW w:w="960" w:type="dxa"/>
            <w:tcBorders>
              <w:top w:val="nil"/>
              <w:left w:val="nil"/>
              <w:bottom w:val="single" w:sz="8" w:space="0" w:color="auto"/>
              <w:right w:val="nil"/>
            </w:tcBorders>
            <w:shd w:val="clear" w:color="000000" w:fill="FFFFFF"/>
            <w:noWrap/>
            <w:vAlign w:val="center"/>
            <w:hideMark/>
          </w:tcPr>
          <w:p w:rsidR="00315335" w:rsidRPr="00115805" w:rsidRDefault="00315335" w:rsidP="00315335">
            <w:pPr>
              <w:jc w:val="right"/>
              <w:rPr>
                <w:rFonts w:ascii="Arial" w:hAnsi="Arial" w:cs="Arial"/>
                <w:b/>
                <w:bCs/>
                <w:sz w:val="20"/>
                <w:lang w:eastAsia="tr-TR"/>
              </w:rPr>
            </w:pPr>
            <w:r w:rsidRPr="00115805">
              <w:rPr>
                <w:rFonts w:ascii="Arial" w:hAnsi="Arial" w:cs="Arial"/>
                <w:b/>
                <w:bCs/>
                <w:sz w:val="20"/>
                <w:lang w:eastAsia="tr-TR"/>
              </w:rPr>
              <w:t>201</w:t>
            </w:r>
            <w:r w:rsidR="00F97F87" w:rsidRPr="00115805">
              <w:rPr>
                <w:rFonts w:ascii="Arial" w:hAnsi="Arial" w:cs="Arial"/>
                <w:b/>
                <w:bCs/>
                <w:sz w:val="20"/>
                <w:lang w:eastAsia="tr-TR"/>
              </w:rPr>
              <w:t>2</w:t>
            </w:r>
          </w:p>
        </w:tc>
        <w:tc>
          <w:tcPr>
            <w:tcW w:w="960" w:type="dxa"/>
            <w:tcBorders>
              <w:top w:val="nil"/>
              <w:left w:val="nil"/>
              <w:bottom w:val="single" w:sz="8" w:space="0" w:color="auto"/>
              <w:right w:val="nil"/>
            </w:tcBorders>
            <w:shd w:val="clear" w:color="000000" w:fill="FFFFFF"/>
            <w:noWrap/>
            <w:vAlign w:val="center"/>
            <w:hideMark/>
          </w:tcPr>
          <w:p w:rsidR="00315335" w:rsidRPr="00115805" w:rsidRDefault="00315335" w:rsidP="00315335">
            <w:pPr>
              <w:jc w:val="right"/>
              <w:rPr>
                <w:rFonts w:ascii="Arial" w:hAnsi="Arial" w:cs="Arial"/>
                <w:b/>
                <w:bCs/>
                <w:sz w:val="20"/>
                <w:lang w:eastAsia="tr-TR"/>
              </w:rPr>
            </w:pPr>
            <w:r w:rsidRPr="00115805">
              <w:rPr>
                <w:rFonts w:ascii="Arial" w:hAnsi="Arial" w:cs="Arial"/>
                <w:b/>
                <w:bCs/>
                <w:sz w:val="20"/>
                <w:lang w:eastAsia="tr-TR"/>
              </w:rPr>
              <w:t>201</w:t>
            </w:r>
            <w:r w:rsidR="00F97F87" w:rsidRPr="00115805">
              <w:rPr>
                <w:rFonts w:ascii="Arial" w:hAnsi="Arial" w:cs="Arial"/>
                <w:b/>
                <w:bCs/>
                <w:sz w:val="20"/>
                <w:lang w:eastAsia="tr-TR"/>
              </w:rPr>
              <w:t>1</w:t>
            </w:r>
          </w:p>
        </w:tc>
        <w:tc>
          <w:tcPr>
            <w:tcW w:w="960" w:type="dxa"/>
            <w:tcBorders>
              <w:top w:val="nil"/>
              <w:left w:val="nil"/>
              <w:bottom w:val="single" w:sz="8" w:space="0" w:color="auto"/>
              <w:right w:val="nil"/>
            </w:tcBorders>
            <w:shd w:val="clear" w:color="000000" w:fill="FFFFFF"/>
            <w:noWrap/>
            <w:vAlign w:val="center"/>
            <w:hideMark/>
          </w:tcPr>
          <w:p w:rsidR="00315335" w:rsidRPr="00115805" w:rsidRDefault="00315335" w:rsidP="00315335">
            <w:pPr>
              <w:rPr>
                <w:rFonts w:ascii="Arial" w:hAnsi="Arial" w:cs="Arial"/>
                <w:b/>
                <w:bCs/>
                <w:sz w:val="20"/>
                <w:lang w:eastAsia="tr-TR"/>
              </w:rPr>
            </w:pPr>
            <w:r w:rsidRPr="00115805">
              <w:rPr>
                <w:rFonts w:ascii="Arial" w:hAnsi="Arial" w:cs="Arial"/>
                <w:b/>
                <w:bCs/>
                <w:sz w:val="20"/>
                <w:lang w:eastAsia="tr-TR"/>
              </w:rPr>
              <w:t> </w:t>
            </w:r>
          </w:p>
        </w:tc>
        <w:tc>
          <w:tcPr>
            <w:tcW w:w="1500" w:type="dxa"/>
            <w:tcBorders>
              <w:top w:val="nil"/>
              <w:left w:val="nil"/>
              <w:bottom w:val="single" w:sz="8" w:space="0" w:color="auto"/>
              <w:right w:val="nil"/>
            </w:tcBorders>
            <w:shd w:val="clear" w:color="000000" w:fill="FFFFFF"/>
            <w:noWrap/>
            <w:vAlign w:val="center"/>
            <w:hideMark/>
          </w:tcPr>
          <w:p w:rsidR="00315335" w:rsidRPr="00115805" w:rsidRDefault="00315335" w:rsidP="00315335">
            <w:pPr>
              <w:jc w:val="center"/>
              <w:rPr>
                <w:rFonts w:ascii="Arial" w:hAnsi="Arial" w:cs="Arial"/>
                <w:b/>
                <w:bCs/>
                <w:sz w:val="20"/>
                <w:lang w:eastAsia="tr-TR"/>
              </w:rPr>
            </w:pPr>
            <w:r w:rsidRPr="00115805">
              <w:rPr>
                <w:rFonts w:ascii="Arial" w:hAnsi="Arial" w:cs="Arial"/>
                <w:b/>
                <w:bCs/>
                <w:sz w:val="20"/>
                <w:lang w:eastAsia="tr-TR"/>
              </w:rPr>
              <w:t>değişme</w:t>
            </w:r>
          </w:p>
        </w:tc>
        <w:tc>
          <w:tcPr>
            <w:tcW w:w="1520" w:type="dxa"/>
            <w:tcBorders>
              <w:top w:val="nil"/>
              <w:left w:val="nil"/>
              <w:bottom w:val="single" w:sz="8" w:space="0" w:color="auto"/>
              <w:right w:val="nil"/>
            </w:tcBorders>
            <w:shd w:val="clear" w:color="000000" w:fill="FFFFFF"/>
            <w:noWrap/>
            <w:vAlign w:val="center"/>
            <w:hideMark/>
          </w:tcPr>
          <w:p w:rsidR="00315335" w:rsidRPr="00115805" w:rsidRDefault="00F97F87" w:rsidP="00315335">
            <w:pPr>
              <w:jc w:val="center"/>
              <w:rPr>
                <w:rFonts w:ascii="Arial" w:hAnsi="Arial" w:cs="Arial"/>
                <w:b/>
                <w:bCs/>
                <w:sz w:val="20"/>
                <w:lang w:eastAsia="tr-TR"/>
              </w:rPr>
            </w:pPr>
            <w:r w:rsidRPr="00115805">
              <w:rPr>
                <w:rFonts w:ascii="Arial" w:hAnsi="Arial" w:cs="Arial"/>
                <w:b/>
                <w:bCs/>
                <w:sz w:val="20"/>
                <w:lang w:eastAsia="tr-TR"/>
              </w:rPr>
              <w:t>Mart 2012</w:t>
            </w:r>
          </w:p>
        </w:tc>
      </w:tr>
      <w:tr w:rsidR="00F97F87" w:rsidRPr="00115805" w:rsidTr="00F97F87">
        <w:trPr>
          <w:trHeight w:val="255"/>
        </w:trPr>
        <w:tc>
          <w:tcPr>
            <w:tcW w:w="2520" w:type="dxa"/>
            <w:tcBorders>
              <w:top w:val="nil"/>
              <w:left w:val="nil"/>
              <w:bottom w:val="nil"/>
              <w:right w:val="nil"/>
            </w:tcBorders>
            <w:shd w:val="clear" w:color="000000" w:fill="FFFFFF"/>
            <w:noWrap/>
            <w:vAlign w:val="center"/>
            <w:hideMark/>
          </w:tcPr>
          <w:p w:rsidR="00F97F87" w:rsidRPr="00115805" w:rsidRDefault="00F97F87" w:rsidP="00315335">
            <w:pPr>
              <w:rPr>
                <w:rFonts w:ascii="Arial" w:hAnsi="Arial" w:cs="Arial"/>
                <w:b/>
                <w:bCs/>
                <w:sz w:val="20"/>
                <w:lang w:eastAsia="tr-TR"/>
              </w:rPr>
            </w:pPr>
            <w:r w:rsidRPr="00115805">
              <w:rPr>
                <w:rFonts w:ascii="Arial" w:hAnsi="Arial" w:cs="Arial"/>
                <w:b/>
                <w:bCs/>
                <w:sz w:val="20"/>
                <w:lang w:eastAsia="tr-TR"/>
              </w:rPr>
              <w:t>Likit aktifler</w:t>
            </w:r>
          </w:p>
        </w:tc>
        <w:tc>
          <w:tcPr>
            <w:tcW w:w="960" w:type="dxa"/>
            <w:tcBorders>
              <w:top w:val="nil"/>
              <w:left w:val="nil"/>
              <w:bottom w:val="nil"/>
              <w:right w:val="nil"/>
            </w:tcBorders>
            <w:shd w:val="clear" w:color="000000" w:fill="FFFFFF"/>
            <w:noWrap/>
            <w:vAlign w:val="bottom"/>
            <w:hideMark/>
          </w:tcPr>
          <w:p w:rsidR="00F97F87" w:rsidRPr="00115805" w:rsidRDefault="00F97F87" w:rsidP="00315335">
            <w:pPr>
              <w:jc w:val="right"/>
              <w:rPr>
                <w:rFonts w:ascii="Arial" w:hAnsi="Arial" w:cs="Arial"/>
                <w:sz w:val="20"/>
                <w:lang w:eastAsia="tr-TR"/>
              </w:rPr>
            </w:pPr>
            <w:r w:rsidRPr="00115805">
              <w:rPr>
                <w:rFonts w:ascii="Arial" w:hAnsi="Arial" w:cs="Arial"/>
                <w:sz w:val="20"/>
              </w:rPr>
              <w:t>103.907</w:t>
            </w:r>
          </w:p>
        </w:tc>
        <w:tc>
          <w:tcPr>
            <w:tcW w:w="960" w:type="dxa"/>
            <w:tcBorders>
              <w:top w:val="nil"/>
              <w:left w:val="nil"/>
              <w:bottom w:val="nil"/>
              <w:right w:val="nil"/>
            </w:tcBorders>
            <w:shd w:val="clear" w:color="000000" w:fill="FFFFFF"/>
            <w:noWrap/>
            <w:vAlign w:val="bottom"/>
            <w:hideMark/>
          </w:tcPr>
          <w:p w:rsidR="00F97F87" w:rsidRPr="00115805" w:rsidRDefault="00F97F87" w:rsidP="00315335">
            <w:pPr>
              <w:jc w:val="right"/>
              <w:rPr>
                <w:rFonts w:ascii="Arial" w:hAnsi="Arial" w:cs="Arial"/>
                <w:sz w:val="20"/>
                <w:lang w:eastAsia="tr-TR"/>
              </w:rPr>
            </w:pPr>
            <w:r w:rsidRPr="00115805">
              <w:rPr>
                <w:rFonts w:ascii="Arial" w:hAnsi="Arial" w:cs="Arial"/>
                <w:sz w:val="20"/>
              </w:rPr>
              <w:t>78.124</w:t>
            </w:r>
          </w:p>
        </w:tc>
        <w:tc>
          <w:tcPr>
            <w:tcW w:w="960" w:type="dxa"/>
            <w:tcBorders>
              <w:top w:val="nil"/>
              <w:left w:val="nil"/>
              <w:bottom w:val="nil"/>
              <w:right w:val="nil"/>
            </w:tcBorders>
            <w:shd w:val="clear" w:color="000000" w:fill="FFFFFF"/>
            <w:noWrap/>
            <w:vAlign w:val="center"/>
            <w:hideMark/>
          </w:tcPr>
          <w:p w:rsidR="00F97F87" w:rsidRPr="00115805" w:rsidRDefault="00F97F87"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F97F87" w:rsidRPr="00115805" w:rsidRDefault="00F97F87" w:rsidP="00B13103">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33</w:t>
            </w:r>
          </w:p>
        </w:tc>
        <w:tc>
          <w:tcPr>
            <w:tcW w:w="1520" w:type="dxa"/>
            <w:tcBorders>
              <w:top w:val="nil"/>
              <w:left w:val="nil"/>
              <w:bottom w:val="nil"/>
              <w:right w:val="nil"/>
            </w:tcBorders>
            <w:shd w:val="clear" w:color="000000" w:fill="FFFFFF"/>
            <w:noWrap/>
            <w:vAlign w:val="center"/>
            <w:hideMark/>
          </w:tcPr>
          <w:p w:rsidR="00F97F87" w:rsidRPr="00115805" w:rsidRDefault="00F97F87" w:rsidP="00315335">
            <w:pPr>
              <w:jc w:val="center"/>
              <w:rPr>
                <w:rFonts w:ascii="Arial" w:hAnsi="Arial" w:cs="Arial"/>
                <w:sz w:val="20"/>
                <w:lang w:eastAsia="tr-TR"/>
              </w:rPr>
            </w:pPr>
            <w:r w:rsidRPr="00115805">
              <w:rPr>
                <w:rFonts w:ascii="Arial" w:hAnsi="Arial" w:cs="Arial"/>
                <w:sz w:val="20"/>
                <w:lang w:eastAsia="tr-TR"/>
              </w:rPr>
              <w:t>12</w:t>
            </w:r>
          </w:p>
        </w:tc>
      </w:tr>
      <w:tr w:rsidR="00D34200" w:rsidRPr="00115805" w:rsidTr="00D67174">
        <w:trPr>
          <w:trHeight w:val="255"/>
        </w:trPr>
        <w:tc>
          <w:tcPr>
            <w:tcW w:w="252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b/>
                <w:bCs/>
                <w:sz w:val="20"/>
                <w:lang w:eastAsia="tr-TR"/>
              </w:rPr>
            </w:pPr>
            <w:r w:rsidRPr="00115805">
              <w:rPr>
                <w:rFonts w:ascii="Arial" w:hAnsi="Arial" w:cs="Arial"/>
                <w:b/>
                <w:bCs/>
                <w:sz w:val="20"/>
                <w:lang w:eastAsia="tr-TR"/>
              </w:rPr>
              <w:t>Menkul değerler cüzdanı</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215.088</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200.139</w:t>
            </w:r>
          </w:p>
        </w:tc>
        <w:tc>
          <w:tcPr>
            <w:tcW w:w="96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 xml:space="preserve"> 7</w:t>
            </w:r>
          </w:p>
        </w:tc>
        <w:tc>
          <w:tcPr>
            <w:tcW w:w="152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24</w:t>
            </w:r>
          </w:p>
        </w:tc>
      </w:tr>
      <w:tr w:rsidR="00D34200" w:rsidRPr="00115805" w:rsidTr="00D67174">
        <w:trPr>
          <w:trHeight w:val="255"/>
        </w:trPr>
        <w:tc>
          <w:tcPr>
            <w:tcW w:w="252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b/>
                <w:bCs/>
                <w:sz w:val="20"/>
                <w:lang w:eastAsia="tr-TR"/>
              </w:rPr>
            </w:pPr>
            <w:r w:rsidRPr="00115805">
              <w:rPr>
                <w:rFonts w:ascii="Arial" w:hAnsi="Arial" w:cs="Arial"/>
                <w:b/>
                <w:bCs/>
                <w:sz w:val="20"/>
                <w:lang w:eastAsia="tr-TR"/>
              </w:rPr>
              <w:t>Krediler</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532.426</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428.802</w:t>
            </w:r>
          </w:p>
        </w:tc>
        <w:tc>
          <w:tcPr>
            <w:tcW w:w="96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24</w:t>
            </w:r>
          </w:p>
        </w:tc>
        <w:tc>
          <w:tcPr>
            <w:tcW w:w="152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60</w:t>
            </w:r>
          </w:p>
        </w:tc>
      </w:tr>
      <w:tr w:rsidR="00D34200" w:rsidRPr="00115805" w:rsidTr="00D67174">
        <w:trPr>
          <w:trHeight w:val="270"/>
        </w:trPr>
        <w:tc>
          <w:tcPr>
            <w:tcW w:w="252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b/>
                <w:bCs/>
                <w:sz w:val="20"/>
                <w:lang w:eastAsia="tr-TR"/>
              </w:rPr>
            </w:pPr>
            <w:r w:rsidRPr="00115805">
              <w:rPr>
                <w:rFonts w:ascii="Arial" w:hAnsi="Arial" w:cs="Arial"/>
                <w:b/>
                <w:bCs/>
                <w:sz w:val="20"/>
                <w:lang w:eastAsia="tr-TR"/>
              </w:rPr>
              <w:t xml:space="preserve"> -Takipteki krediler</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15.377</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14.713</w:t>
            </w:r>
          </w:p>
        </w:tc>
        <w:tc>
          <w:tcPr>
            <w:tcW w:w="96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D34200" w:rsidRPr="00115805" w:rsidRDefault="00B13103" w:rsidP="00315335">
            <w:pPr>
              <w:jc w:val="center"/>
              <w:rPr>
                <w:rFonts w:ascii="Arial" w:hAnsi="Arial" w:cs="Arial"/>
                <w:sz w:val="20"/>
                <w:lang w:eastAsia="tr-TR"/>
              </w:rPr>
            </w:pPr>
            <w:r w:rsidRPr="00115805">
              <w:rPr>
                <w:rFonts w:ascii="Arial" w:hAnsi="Arial" w:cs="Arial"/>
                <w:sz w:val="20"/>
                <w:lang w:eastAsia="tr-TR"/>
              </w:rPr>
              <w:t xml:space="preserve">  </w:t>
            </w:r>
            <w:r w:rsidR="00D34200" w:rsidRPr="00115805">
              <w:rPr>
                <w:rFonts w:ascii="Arial" w:hAnsi="Arial" w:cs="Arial"/>
                <w:sz w:val="20"/>
                <w:lang w:eastAsia="tr-TR"/>
              </w:rPr>
              <w:t>5</w:t>
            </w:r>
          </w:p>
        </w:tc>
        <w:tc>
          <w:tcPr>
            <w:tcW w:w="152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 xml:space="preserve"> </w:t>
            </w:r>
            <w:r w:rsidRPr="00115805">
              <w:rPr>
                <w:rFonts w:ascii="Arial" w:hAnsi="Arial" w:cs="Arial"/>
                <w:sz w:val="20"/>
                <w:lang w:eastAsia="tr-TR"/>
              </w:rPr>
              <w:t>2</w:t>
            </w:r>
          </w:p>
        </w:tc>
      </w:tr>
      <w:tr w:rsidR="00D34200" w:rsidRPr="00115805" w:rsidTr="00D67174">
        <w:trPr>
          <w:trHeight w:val="255"/>
        </w:trPr>
        <w:tc>
          <w:tcPr>
            <w:tcW w:w="252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b/>
                <w:bCs/>
                <w:sz w:val="20"/>
                <w:lang w:eastAsia="tr-TR"/>
              </w:rPr>
            </w:pPr>
            <w:r w:rsidRPr="00115805">
              <w:rPr>
                <w:rFonts w:ascii="Arial" w:hAnsi="Arial" w:cs="Arial"/>
                <w:b/>
                <w:bCs/>
                <w:sz w:val="20"/>
                <w:lang w:eastAsia="tr-TR"/>
              </w:rPr>
              <w:t xml:space="preserve"> -Özel karşılıklar (-)</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12.608</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12.788</w:t>
            </w:r>
          </w:p>
        </w:tc>
        <w:tc>
          <w:tcPr>
            <w:tcW w:w="96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D34200" w:rsidRPr="00115805" w:rsidRDefault="00B13103" w:rsidP="00315335">
            <w:pPr>
              <w:jc w:val="center"/>
              <w:rPr>
                <w:rFonts w:ascii="Arial" w:hAnsi="Arial" w:cs="Arial"/>
                <w:sz w:val="20"/>
                <w:lang w:eastAsia="tr-TR"/>
              </w:rPr>
            </w:pPr>
            <w:r w:rsidRPr="00115805">
              <w:rPr>
                <w:rFonts w:ascii="Arial" w:hAnsi="Arial" w:cs="Arial"/>
                <w:sz w:val="20"/>
                <w:lang w:eastAsia="tr-TR"/>
              </w:rPr>
              <w:t xml:space="preserve"> -1</w:t>
            </w:r>
          </w:p>
        </w:tc>
        <w:tc>
          <w:tcPr>
            <w:tcW w:w="152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 xml:space="preserve"> </w:t>
            </w:r>
            <w:r w:rsidRPr="00115805">
              <w:rPr>
                <w:rFonts w:ascii="Arial" w:hAnsi="Arial" w:cs="Arial"/>
                <w:sz w:val="20"/>
                <w:lang w:eastAsia="tr-TR"/>
              </w:rPr>
              <w:t>1</w:t>
            </w:r>
          </w:p>
        </w:tc>
      </w:tr>
      <w:tr w:rsidR="00D34200" w:rsidRPr="00115805" w:rsidTr="00D67174">
        <w:trPr>
          <w:trHeight w:val="255"/>
        </w:trPr>
        <w:tc>
          <w:tcPr>
            <w:tcW w:w="252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b/>
                <w:sz w:val="20"/>
                <w:lang w:eastAsia="tr-TR"/>
              </w:rPr>
            </w:pPr>
            <w:r w:rsidRPr="00115805">
              <w:rPr>
                <w:rFonts w:ascii="Arial" w:hAnsi="Arial" w:cs="Arial"/>
                <w:b/>
                <w:sz w:val="20"/>
                <w:lang w:eastAsia="tr-TR"/>
              </w:rPr>
              <w:t>Duran aktifler</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26.904</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24.449</w:t>
            </w:r>
          </w:p>
        </w:tc>
        <w:tc>
          <w:tcPr>
            <w:tcW w:w="96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D34200" w:rsidRPr="00115805" w:rsidRDefault="00B13103" w:rsidP="00315335">
            <w:pPr>
              <w:jc w:val="center"/>
              <w:rPr>
                <w:rFonts w:ascii="Arial" w:hAnsi="Arial" w:cs="Arial"/>
                <w:sz w:val="20"/>
                <w:lang w:eastAsia="tr-TR"/>
              </w:rPr>
            </w:pPr>
            <w:r w:rsidRPr="00115805">
              <w:rPr>
                <w:rFonts w:ascii="Arial" w:hAnsi="Arial" w:cs="Arial"/>
                <w:sz w:val="20"/>
                <w:lang w:eastAsia="tr-TR"/>
              </w:rPr>
              <w:t xml:space="preserve"> 10</w:t>
            </w:r>
          </w:p>
        </w:tc>
        <w:tc>
          <w:tcPr>
            <w:tcW w:w="152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3</w:t>
            </w:r>
          </w:p>
        </w:tc>
      </w:tr>
      <w:tr w:rsidR="00D34200" w:rsidRPr="00115805" w:rsidTr="00D67174">
        <w:trPr>
          <w:trHeight w:val="270"/>
        </w:trPr>
        <w:tc>
          <w:tcPr>
            <w:tcW w:w="252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b/>
                <w:bCs/>
                <w:sz w:val="20"/>
                <w:lang w:eastAsia="tr-TR"/>
              </w:rPr>
            </w:pPr>
            <w:r w:rsidRPr="00115805">
              <w:rPr>
                <w:rFonts w:ascii="Arial" w:hAnsi="Arial" w:cs="Arial"/>
                <w:b/>
                <w:bCs/>
                <w:sz w:val="20"/>
                <w:lang w:eastAsia="tr-TR"/>
              </w:rPr>
              <w:t>Diğer aktifler</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8.887</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8.250</w:t>
            </w:r>
          </w:p>
        </w:tc>
        <w:tc>
          <w:tcPr>
            <w:tcW w:w="96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 xml:space="preserve">  8</w:t>
            </w:r>
          </w:p>
        </w:tc>
        <w:tc>
          <w:tcPr>
            <w:tcW w:w="152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1</w:t>
            </w:r>
          </w:p>
        </w:tc>
      </w:tr>
      <w:tr w:rsidR="00D34200" w:rsidRPr="00115805" w:rsidTr="00D67174">
        <w:trPr>
          <w:trHeight w:val="255"/>
        </w:trPr>
        <w:tc>
          <w:tcPr>
            <w:tcW w:w="252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b/>
                <w:bCs/>
                <w:sz w:val="20"/>
                <w:lang w:eastAsia="tr-TR"/>
              </w:rPr>
            </w:pPr>
            <w:r w:rsidRPr="00115805">
              <w:rPr>
                <w:rFonts w:ascii="Arial" w:hAnsi="Arial" w:cs="Arial"/>
                <w:b/>
                <w:bCs/>
                <w:sz w:val="20"/>
                <w:lang w:eastAsia="tr-TR"/>
              </w:rPr>
              <w:t>Toplam aktifler</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889.963</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741.818</w:t>
            </w:r>
          </w:p>
        </w:tc>
        <w:tc>
          <w:tcPr>
            <w:tcW w:w="96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20</w:t>
            </w:r>
          </w:p>
        </w:tc>
        <w:tc>
          <w:tcPr>
            <w:tcW w:w="152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100</w:t>
            </w:r>
          </w:p>
        </w:tc>
      </w:tr>
      <w:tr w:rsidR="00D34200" w:rsidRPr="00115805" w:rsidTr="00D67174">
        <w:trPr>
          <w:trHeight w:val="255"/>
        </w:trPr>
        <w:tc>
          <w:tcPr>
            <w:tcW w:w="252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b/>
                <w:bCs/>
                <w:sz w:val="20"/>
                <w:lang w:eastAsia="tr-TR"/>
              </w:rPr>
            </w:pPr>
            <w:r w:rsidRPr="00115805">
              <w:rPr>
                <w:rFonts w:ascii="Arial" w:hAnsi="Arial" w:cs="Arial"/>
                <w:b/>
                <w:bCs/>
                <w:sz w:val="20"/>
                <w:lang w:eastAsia="tr-TR"/>
              </w:rPr>
              <w:t xml:space="preserve">  TL</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608.915</w:t>
            </w:r>
          </w:p>
        </w:tc>
        <w:tc>
          <w:tcPr>
            <w:tcW w:w="960" w:type="dxa"/>
            <w:tcBorders>
              <w:top w:val="nil"/>
              <w:left w:val="nil"/>
              <w:bottom w:val="nil"/>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524.751</w:t>
            </w:r>
          </w:p>
        </w:tc>
        <w:tc>
          <w:tcPr>
            <w:tcW w:w="960" w:type="dxa"/>
            <w:tcBorders>
              <w:top w:val="nil"/>
              <w:left w:val="nil"/>
              <w:bottom w:val="nil"/>
              <w:right w:val="nil"/>
            </w:tcBorders>
            <w:shd w:val="clear" w:color="000000" w:fill="FFFFFF"/>
            <w:noWrap/>
            <w:vAlign w:val="center"/>
            <w:hideMark/>
          </w:tcPr>
          <w:p w:rsidR="00D34200" w:rsidRPr="00115805" w:rsidRDefault="00D34200"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16</w:t>
            </w:r>
          </w:p>
        </w:tc>
        <w:tc>
          <w:tcPr>
            <w:tcW w:w="1520" w:type="dxa"/>
            <w:tcBorders>
              <w:top w:val="nil"/>
              <w:left w:val="nil"/>
              <w:bottom w:val="nil"/>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68</w:t>
            </w:r>
          </w:p>
        </w:tc>
      </w:tr>
      <w:tr w:rsidR="00D34200" w:rsidRPr="00115805" w:rsidTr="00D67174">
        <w:trPr>
          <w:trHeight w:val="270"/>
        </w:trPr>
        <w:tc>
          <w:tcPr>
            <w:tcW w:w="2520" w:type="dxa"/>
            <w:tcBorders>
              <w:top w:val="nil"/>
              <w:left w:val="nil"/>
              <w:bottom w:val="single" w:sz="8" w:space="0" w:color="auto"/>
              <w:right w:val="nil"/>
            </w:tcBorders>
            <w:shd w:val="clear" w:color="000000" w:fill="FFFFFF"/>
            <w:noWrap/>
            <w:vAlign w:val="center"/>
            <w:hideMark/>
          </w:tcPr>
          <w:p w:rsidR="00D34200" w:rsidRPr="00115805" w:rsidRDefault="00D34200" w:rsidP="00315335">
            <w:pPr>
              <w:rPr>
                <w:rFonts w:ascii="Arial" w:hAnsi="Arial" w:cs="Arial"/>
                <w:b/>
                <w:bCs/>
                <w:sz w:val="20"/>
                <w:lang w:eastAsia="tr-TR"/>
              </w:rPr>
            </w:pPr>
            <w:r w:rsidRPr="00115805">
              <w:rPr>
                <w:rFonts w:ascii="Arial" w:hAnsi="Arial" w:cs="Arial"/>
                <w:b/>
                <w:bCs/>
                <w:sz w:val="20"/>
                <w:lang w:eastAsia="tr-TR"/>
              </w:rPr>
              <w:t xml:space="preserve">  YP</w:t>
            </w:r>
          </w:p>
        </w:tc>
        <w:tc>
          <w:tcPr>
            <w:tcW w:w="960" w:type="dxa"/>
            <w:tcBorders>
              <w:top w:val="nil"/>
              <w:left w:val="nil"/>
              <w:bottom w:val="single" w:sz="8" w:space="0" w:color="auto"/>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281.048</w:t>
            </w:r>
          </w:p>
        </w:tc>
        <w:tc>
          <w:tcPr>
            <w:tcW w:w="960" w:type="dxa"/>
            <w:tcBorders>
              <w:top w:val="nil"/>
              <w:left w:val="nil"/>
              <w:bottom w:val="single" w:sz="8" w:space="0" w:color="auto"/>
              <w:right w:val="nil"/>
            </w:tcBorders>
            <w:shd w:val="clear" w:color="000000" w:fill="FFFFFF"/>
            <w:noWrap/>
            <w:vAlign w:val="bottom"/>
            <w:hideMark/>
          </w:tcPr>
          <w:p w:rsidR="00D34200" w:rsidRPr="00115805" w:rsidRDefault="00D34200" w:rsidP="00315335">
            <w:pPr>
              <w:jc w:val="right"/>
              <w:rPr>
                <w:rFonts w:ascii="Arial" w:hAnsi="Arial" w:cs="Arial"/>
                <w:sz w:val="20"/>
                <w:lang w:eastAsia="tr-TR"/>
              </w:rPr>
            </w:pPr>
            <w:r w:rsidRPr="00115805">
              <w:rPr>
                <w:rFonts w:ascii="Arial" w:hAnsi="Arial" w:cs="Arial"/>
                <w:sz w:val="20"/>
              </w:rPr>
              <w:t>217.067</w:t>
            </w:r>
          </w:p>
        </w:tc>
        <w:tc>
          <w:tcPr>
            <w:tcW w:w="960" w:type="dxa"/>
            <w:tcBorders>
              <w:top w:val="nil"/>
              <w:left w:val="nil"/>
              <w:bottom w:val="single" w:sz="8" w:space="0" w:color="auto"/>
              <w:right w:val="nil"/>
            </w:tcBorders>
            <w:shd w:val="clear" w:color="000000" w:fill="FFFFFF"/>
            <w:noWrap/>
            <w:vAlign w:val="center"/>
            <w:hideMark/>
          </w:tcPr>
          <w:p w:rsidR="00D34200" w:rsidRPr="00115805" w:rsidRDefault="00D34200" w:rsidP="00315335">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single" w:sz="8" w:space="0" w:color="auto"/>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29</w:t>
            </w:r>
          </w:p>
        </w:tc>
        <w:tc>
          <w:tcPr>
            <w:tcW w:w="1520" w:type="dxa"/>
            <w:tcBorders>
              <w:top w:val="nil"/>
              <w:left w:val="nil"/>
              <w:bottom w:val="single" w:sz="8" w:space="0" w:color="auto"/>
              <w:right w:val="nil"/>
            </w:tcBorders>
            <w:shd w:val="clear" w:color="000000" w:fill="FFFFFF"/>
            <w:noWrap/>
            <w:vAlign w:val="center"/>
            <w:hideMark/>
          </w:tcPr>
          <w:p w:rsidR="00D34200" w:rsidRPr="00115805" w:rsidRDefault="00D34200" w:rsidP="00315335">
            <w:pPr>
              <w:jc w:val="center"/>
              <w:rPr>
                <w:rFonts w:ascii="Arial" w:hAnsi="Arial" w:cs="Arial"/>
                <w:sz w:val="20"/>
                <w:lang w:eastAsia="tr-TR"/>
              </w:rPr>
            </w:pPr>
            <w:r w:rsidRPr="00115805">
              <w:rPr>
                <w:rFonts w:ascii="Arial" w:hAnsi="Arial" w:cs="Arial"/>
                <w:sz w:val="20"/>
                <w:lang w:eastAsia="tr-TR"/>
              </w:rPr>
              <w:t xml:space="preserve"> </w:t>
            </w:r>
            <w:r w:rsidR="00B13103" w:rsidRPr="00115805">
              <w:rPr>
                <w:rFonts w:ascii="Arial" w:hAnsi="Arial" w:cs="Arial"/>
                <w:sz w:val="20"/>
                <w:lang w:eastAsia="tr-TR"/>
              </w:rPr>
              <w:t>32</w:t>
            </w:r>
          </w:p>
        </w:tc>
      </w:tr>
    </w:tbl>
    <w:p w:rsidR="00373BB1" w:rsidRPr="00115805" w:rsidRDefault="00373BB1" w:rsidP="00373BB1">
      <w:pPr>
        <w:pStyle w:val="Subtitle"/>
        <w:rPr>
          <w:rFonts w:ascii="Arial" w:hAnsi="Arial" w:cs="Arial"/>
          <w:b w:val="0"/>
          <w:sz w:val="22"/>
          <w:szCs w:val="22"/>
        </w:rPr>
      </w:pPr>
    </w:p>
    <w:p w:rsidR="006D7755" w:rsidRPr="00115805" w:rsidRDefault="00373BB1" w:rsidP="00373BB1">
      <w:pPr>
        <w:pStyle w:val="Subtitle"/>
        <w:rPr>
          <w:rFonts w:ascii="Arial" w:hAnsi="Arial" w:cs="Arial"/>
          <w:b w:val="0"/>
          <w:sz w:val="22"/>
          <w:szCs w:val="22"/>
        </w:rPr>
      </w:pPr>
      <w:r w:rsidRPr="00115805">
        <w:rPr>
          <w:rFonts w:ascii="Arial" w:hAnsi="Arial" w:cs="Arial"/>
          <w:b w:val="0"/>
          <w:sz w:val="22"/>
          <w:szCs w:val="22"/>
        </w:rPr>
        <w:t xml:space="preserve">Bir yıl önceye göre, </w:t>
      </w:r>
      <w:r w:rsidR="0087259E" w:rsidRPr="00115805">
        <w:rPr>
          <w:rFonts w:ascii="Arial" w:hAnsi="Arial" w:cs="Arial"/>
          <w:b w:val="0"/>
          <w:sz w:val="22"/>
          <w:szCs w:val="22"/>
        </w:rPr>
        <w:t>Mart 2012</w:t>
      </w:r>
      <w:r w:rsidR="00A44544" w:rsidRPr="00115805">
        <w:rPr>
          <w:rFonts w:ascii="Arial" w:hAnsi="Arial" w:cs="Arial"/>
          <w:b w:val="0"/>
          <w:sz w:val="22"/>
          <w:szCs w:val="22"/>
        </w:rPr>
        <w:t xml:space="preserve"> itibariyle likit aktifler</w:t>
      </w:r>
      <w:r w:rsidRPr="00115805">
        <w:rPr>
          <w:rFonts w:ascii="Arial" w:hAnsi="Arial" w:cs="Arial"/>
          <w:b w:val="0"/>
          <w:sz w:val="22"/>
          <w:szCs w:val="22"/>
        </w:rPr>
        <w:t xml:space="preserve"> </w:t>
      </w:r>
      <w:r w:rsidR="00567171" w:rsidRPr="00115805">
        <w:rPr>
          <w:rFonts w:ascii="Arial" w:hAnsi="Arial" w:cs="Arial"/>
          <w:b w:val="0"/>
          <w:sz w:val="22"/>
          <w:szCs w:val="22"/>
        </w:rPr>
        <w:t xml:space="preserve">yüzde </w:t>
      </w:r>
      <w:r w:rsidR="0087259E" w:rsidRPr="00115805">
        <w:rPr>
          <w:rFonts w:ascii="Arial" w:hAnsi="Arial" w:cs="Arial"/>
          <w:b w:val="0"/>
          <w:sz w:val="22"/>
          <w:szCs w:val="22"/>
        </w:rPr>
        <w:t>33</w:t>
      </w:r>
      <w:r w:rsidR="00A44544" w:rsidRPr="00115805">
        <w:rPr>
          <w:rFonts w:ascii="Arial" w:hAnsi="Arial" w:cs="Arial"/>
          <w:b w:val="0"/>
          <w:sz w:val="22"/>
          <w:szCs w:val="22"/>
        </w:rPr>
        <w:t xml:space="preserve"> </w:t>
      </w:r>
      <w:r w:rsidR="001D540E" w:rsidRPr="00115805">
        <w:rPr>
          <w:rFonts w:ascii="Arial" w:hAnsi="Arial" w:cs="Arial"/>
          <w:b w:val="0"/>
          <w:sz w:val="22"/>
          <w:szCs w:val="22"/>
        </w:rPr>
        <w:t>büyümüştür</w:t>
      </w:r>
      <w:r w:rsidR="00A44544" w:rsidRPr="00115805">
        <w:rPr>
          <w:rFonts w:ascii="Arial" w:hAnsi="Arial" w:cs="Arial"/>
          <w:b w:val="0"/>
          <w:sz w:val="22"/>
          <w:szCs w:val="22"/>
        </w:rPr>
        <w:t>.</w:t>
      </w:r>
      <w:r w:rsidRPr="00115805">
        <w:rPr>
          <w:rFonts w:ascii="Arial" w:hAnsi="Arial" w:cs="Arial"/>
          <w:b w:val="0"/>
          <w:sz w:val="22"/>
          <w:szCs w:val="22"/>
        </w:rPr>
        <w:t xml:space="preserve"> </w:t>
      </w:r>
      <w:r w:rsidR="00315335" w:rsidRPr="00115805">
        <w:rPr>
          <w:rFonts w:ascii="Arial" w:hAnsi="Arial" w:cs="Arial"/>
          <w:b w:val="0"/>
          <w:sz w:val="22"/>
          <w:szCs w:val="22"/>
        </w:rPr>
        <w:t>Menkul değerler cüzdanı</w:t>
      </w:r>
      <w:r w:rsidRPr="00115805">
        <w:rPr>
          <w:rFonts w:ascii="Arial" w:hAnsi="Arial" w:cs="Arial"/>
          <w:b w:val="0"/>
          <w:sz w:val="22"/>
          <w:szCs w:val="22"/>
        </w:rPr>
        <w:t xml:space="preserve"> yüzde </w:t>
      </w:r>
      <w:r w:rsidR="0087259E" w:rsidRPr="00115805">
        <w:rPr>
          <w:rFonts w:ascii="Arial" w:hAnsi="Arial" w:cs="Arial"/>
          <w:b w:val="0"/>
          <w:sz w:val="22"/>
          <w:szCs w:val="22"/>
        </w:rPr>
        <w:t>7</w:t>
      </w:r>
      <w:r w:rsidR="001D540E" w:rsidRPr="00115805">
        <w:rPr>
          <w:rFonts w:ascii="Arial" w:hAnsi="Arial" w:cs="Arial"/>
          <w:b w:val="0"/>
          <w:sz w:val="22"/>
          <w:szCs w:val="22"/>
        </w:rPr>
        <w:t xml:space="preserve">, </w:t>
      </w:r>
      <w:r w:rsidR="00CA32CB" w:rsidRPr="00115805">
        <w:rPr>
          <w:rFonts w:ascii="Arial" w:hAnsi="Arial" w:cs="Arial"/>
          <w:b w:val="0"/>
          <w:sz w:val="22"/>
          <w:szCs w:val="22"/>
        </w:rPr>
        <w:t>kredil</w:t>
      </w:r>
      <w:r w:rsidR="00A44544" w:rsidRPr="00115805">
        <w:rPr>
          <w:rFonts w:ascii="Arial" w:hAnsi="Arial" w:cs="Arial"/>
          <w:b w:val="0"/>
          <w:sz w:val="22"/>
          <w:szCs w:val="22"/>
        </w:rPr>
        <w:t xml:space="preserve">er </w:t>
      </w:r>
      <w:r w:rsidR="00F16D4F" w:rsidRPr="00115805">
        <w:rPr>
          <w:rFonts w:ascii="Arial" w:hAnsi="Arial" w:cs="Arial"/>
          <w:b w:val="0"/>
          <w:sz w:val="22"/>
          <w:szCs w:val="22"/>
        </w:rPr>
        <w:t xml:space="preserve">ise </w:t>
      </w:r>
      <w:r w:rsidR="00A44544" w:rsidRPr="00115805">
        <w:rPr>
          <w:rFonts w:ascii="Arial" w:hAnsi="Arial" w:cs="Arial"/>
          <w:b w:val="0"/>
          <w:sz w:val="22"/>
          <w:szCs w:val="22"/>
        </w:rPr>
        <w:t xml:space="preserve">yüzde </w:t>
      </w:r>
      <w:r w:rsidR="0087259E" w:rsidRPr="00115805">
        <w:rPr>
          <w:rFonts w:ascii="Arial" w:hAnsi="Arial" w:cs="Arial"/>
          <w:b w:val="0"/>
          <w:sz w:val="22"/>
          <w:szCs w:val="22"/>
        </w:rPr>
        <w:t>24</w:t>
      </w:r>
      <w:r w:rsidR="00315335" w:rsidRPr="00115805">
        <w:rPr>
          <w:rFonts w:ascii="Arial" w:hAnsi="Arial" w:cs="Arial"/>
          <w:b w:val="0"/>
          <w:sz w:val="22"/>
          <w:szCs w:val="22"/>
        </w:rPr>
        <w:t xml:space="preserve"> </w:t>
      </w:r>
      <w:r w:rsidRPr="00115805">
        <w:rPr>
          <w:rFonts w:ascii="Arial" w:hAnsi="Arial" w:cs="Arial"/>
          <w:b w:val="0"/>
          <w:sz w:val="22"/>
          <w:szCs w:val="22"/>
        </w:rPr>
        <w:t>oranında artmıştır</w:t>
      </w:r>
      <w:r w:rsidR="006538FE" w:rsidRPr="00115805">
        <w:rPr>
          <w:rFonts w:ascii="Arial" w:hAnsi="Arial" w:cs="Arial"/>
          <w:b w:val="0"/>
          <w:sz w:val="22"/>
          <w:szCs w:val="22"/>
        </w:rPr>
        <w:t>.</w:t>
      </w:r>
      <w:r w:rsidR="001D540E" w:rsidRPr="00115805">
        <w:rPr>
          <w:rFonts w:ascii="Arial" w:hAnsi="Arial" w:cs="Arial"/>
          <w:b w:val="0"/>
          <w:sz w:val="22"/>
          <w:szCs w:val="22"/>
        </w:rPr>
        <w:t xml:space="preserve"> </w:t>
      </w:r>
      <w:r w:rsidR="0087259E" w:rsidRPr="00115805">
        <w:rPr>
          <w:rFonts w:ascii="Arial" w:hAnsi="Arial" w:cs="Arial"/>
          <w:b w:val="0"/>
          <w:sz w:val="22"/>
          <w:szCs w:val="22"/>
        </w:rPr>
        <w:t xml:space="preserve">Mart 2012 itibariyle, yıllık </w:t>
      </w:r>
      <w:proofErr w:type="gramStart"/>
      <w:r w:rsidR="0087259E" w:rsidRPr="00115805">
        <w:rPr>
          <w:rFonts w:ascii="Arial" w:hAnsi="Arial" w:cs="Arial"/>
          <w:b w:val="0"/>
          <w:sz w:val="22"/>
          <w:szCs w:val="22"/>
        </w:rPr>
        <w:t>bazda</w:t>
      </w:r>
      <w:proofErr w:type="gramEnd"/>
      <w:r w:rsidR="00467373" w:rsidRPr="00115805">
        <w:rPr>
          <w:rFonts w:ascii="Arial" w:hAnsi="Arial" w:cs="Arial"/>
          <w:b w:val="0"/>
          <w:sz w:val="22"/>
          <w:szCs w:val="22"/>
        </w:rPr>
        <w:t xml:space="preserve">, kredi </w:t>
      </w:r>
      <w:r w:rsidR="00BC4874" w:rsidRPr="00115805">
        <w:rPr>
          <w:rFonts w:ascii="Arial" w:hAnsi="Arial" w:cs="Arial"/>
          <w:b w:val="0"/>
          <w:sz w:val="22"/>
          <w:szCs w:val="22"/>
        </w:rPr>
        <w:t>arz ve talebi</w:t>
      </w:r>
      <w:r w:rsidR="00543ABE" w:rsidRPr="00115805">
        <w:rPr>
          <w:rFonts w:ascii="Arial" w:hAnsi="Arial" w:cs="Arial"/>
          <w:b w:val="0"/>
          <w:sz w:val="22"/>
          <w:szCs w:val="22"/>
        </w:rPr>
        <w:t xml:space="preserve"> canlı seyretmiş</w:t>
      </w:r>
      <w:r w:rsidR="009661E7">
        <w:rPr>
          <w:rFonts w:ascii="Arial" w:hAnsi="Arial" w:cs="Arial"/>
          <w:b w:val="0"/>
          <w:sz w:val="22"/>
          <w:szCs w:val="22"/>
        </w:rPr>
        <w:t xml:space="preserve">tir. </w:t>
      </w:r>
      <w:bookmarkStart w:id="2" w:name="_GoBack"/>
      <w:bookmarkEnd w:id="2"/>
      <w:r w:rsidR="00567171" w:rsidRPr="00115805">
        <w:rPr>
          <w:rFonts w:ascii="Arial" w:hAnsi="Arial" w:cs="Arial"/>
          <w:b w:val="0"/>
          <w:sz w:val="22"/>
          <w:szCs w:val="22"/>
        </w:rPr>
        <w:t xml:space="preserve">Kredi stoku yıllık artış hızı </w:t>
      </w:r>
      <w:r w:rsidR="0087259E" w:rsidRPr="00115805">
        <w:rPr>
          <w:rFonts w:ascii="Arial" w:hAnsi="Arial" w:cs="Arial"/>
          <w:b w:val="0"/>
          <w:sz w:val="22"/>
          <w:szCs w:val="22"/>
        </w:rPr>
        <w:t>Aralık</w:t>
      </w:r>
      <w:r w:rsidR="001D540E" w:rsidRPr="00115805">
        <w:rPr>
          <w:rFonts w:ascii="Arial" w:hAnsi="Arial" w:cs="Arial"/>
          <w:b w:val="0"/>
          <w:sz w:val="22"/>
          <w:szCs w:val="22"/>
        </w:rPr>
        <w:t xml:space="preserve"> 201</w:t>
      </w:r>
      <w:r w:rsidR="0087259E" w:rsidRPr="00115805">
        <w:rPr>
          <w:rFonts w:ascii="Arial" w:hAnsi="Arial" w:cs="Arial"/>
          <w:b w:val="0"/>
          <w:sz w:val="22"/>
          <w:szCs w:val="22"/>
        </w:rPr>
        <w:t>2’ye</w:t>
      </w:r>
      <w:r w:rsidR="001D540E" w:rsidRPr="00115805">
        <w:rPr>
          <w:rFonts w:ascii="Arial" w:hAnsi="Arial" w:cs="Arial"/>
          <w:b w:val="0"/>
          <w:sz w:val="22"/>
          <w:szCs w:val="22"/>
        </w:rPr>
        <w:t xml:space="preserve"> göre </w:t>
      </w:r>
      <w:r w:rsidR="00315335" w:rsidRPr="00115805">
        <w:rPr>
          <w:rFonts w:ascii="Arial" w:hAnsi="Arial" w:cs="Arial"/>
          <w:b w:val="0"/>
          <w:sz w:val="22"/>
          <w:szCs w:val="22"/>
        </w:rPr>
        <w:t>azalmıştır.</w:t>
      </w:r>
      <w:r w:rsidR="001D540E" w:rsidRPr="00115805">
        <w:rPr>
          <w:rFonts w:ascii="Arial" w:hAnsi="Arial" w:cs="Arial"/>
          <w:b w:val="0"/>
          <w:sz w:val="22"/>
          <w:szCs w:val="22"/>
        </w:rPr>
        <w:t xml:space="preserve"> </w:t>
      </w:r>
    </w:p>
    <w:p w:rsidR="001D540E" w:rsidRPr="00115805" w:rsidRDefault="001D540E" w:rsidP="00373BB1">
      <w:pPr>
        <w:pStyle w:val="Subtitle"/>
        <w:rPr>
          <w:rFonts w:ascii="Arial" w:hAnsi="Arial" w:cs="Arial"/>
          <w:b w:val="0"/>
          <w:sz w:val="22"/>
          <w:szCs w:val="22"/>
        </w:rPr>
      </w:pPr>
    </w:p>
    <w:p w:rsidR="00373BB1" w:rsidRPr="00115805" w:rsidRDefault="006538FE" w:rsidP="00373BB1">
      <w:pPr>
        <w:pStyle w:val="Subtitle"/>
        <w:rPr>
          <w:rFonts w:ascii="Arial" w:hAnsi="Arial" w:cs="Arial"/>
          <w:b w:val="0"/>
          <w:sz w:val="22"/>
          <w:szCs w:val="22"/>
        </w:rPr>
      </w:pPr>
      <w:r w:rsidRPr="00115805">
        <w:rPr>
          <w:rFonts w:ascii="Arial" w:hAnsi="Arial" w:cs="Arial"/>
          <w:b w:val="0"/>
          <w:sz w:val="22"/>
          <w:szCs w:val="22"/>
        </w:rPr>
        <w:t>Yıllık bazda bakıldığında, k</w:t>
      </w:r>
      <w:r w:rsidR="00373BB1" w:rsidRPr="00115805">
        <w:rPr>
          <w:rFonts w:ascii="Arial" w:hAnsi="Arial" w:cs="Arial"/>
          <w:b w:val="0"/>
          <w:sz w:val="22"/>
          <w:szCs w:val="22"/>
        </w:rPr>
        <w:t>redilerin toplam</w:t>
      </w:r>
      <w:r w:rsidR="001D7456" w:rsidRPr="00115805">
        <w:rPr>
          <w:rFonts w:ascii="Arial" w:hAnsi="Arial" w:cs="Arial"/>
          <w:b w:val="0"/>
          <w:sz w:val="22"/>
          <w:szCs w:val="22"/>
        </w:rPr>
        <w:t xml:space="preserve"> aktifler içi</w:t>
      </w:r>
      <w:r w:rsidR="007526A6" w:rsidRPr="00115805">
        <w:rPr>
          <w:rFonts w:ascii="Arial" w:hAnsi="Arial" w:cs="Arial"/>
          <w:b w:val="0"/>
          <w:sz w:val="22"/>
          <w:szCs w:val="22"/>
        </w:rPr>
        <w:t xml:space="preserve">ndeki payı yüzde </w:t>
      </w:r>
      <w:r w:rsidR="00315335" w:rsidRPr="00115805">
        <w:rPr>
          <w:rFonts w:ascii="Arial" w:hAnsi="Arial" w:cs="Arial"/>
          <w:b w:val="0"/>
          <w:sz w:val="22"/>
          <w:szCs w:val="22"/>
        </w:rPr>
        <w:t>60</w:t>
      </w:r>
      <w:r w:rsidR="00373BB1" w:rsidRPr="00115805">
        <w:rPr>
          <w:rFonts w:ascii="Arial" w:hAnsi="Arial" w:cs="Arial"/>
          <w:b w:val="0"/>
          <w:sz w:val="22"/>
          <w:szCs w:val="22"/>
        </w:rPr>
        <w:t>’</w:t>
      </w:r>
      <w:r w:rsidR="00315335" w:rsidRPr="00115805">
        <w:rPr>
          <w:rFonts w:ascii="Arial" w:hAnsi="Arial" w:cs="Arial"/>
          <w:b w:val="0"/>
          <w:sz w:val="22"/>
          <w:szCs w:val="22"/>
        </w:rPr>
        <w:t>a</w:t>
      </w:r>
      <w:r w:rsidR="00834737" w:rsidRPr="00115805">
        <w:rPr>
          <w:rFonts w:ascii="Arial" w:hAnsi="Arial" w:cs="Arial"/>
          <w:b w:val="0"/>
          <w:sz w:val="22"/>
          <w:szCs w:val="22"/>
        </w:rPr>
        <w:t xml:space="preserve"> </w:t>
      </w:r>
      <w:r w:rsidR="00543ABE" w:rsidRPr="00115805">
        <w:rPr>
          <w:rFonts w:ascii="Arial" w:hAnsi="Arial" w:cs="Arial"/>
          <w:b w:val="0"/>
          <w:sz w:val="22"/>
          <w:szCs w:val="22"/>
        </w:rPr>
        <w:t>yükselmiştir</w:t>
      </w:r>
      <w:r w:rsidR="00834737" w:rsidRPr="00115805">
        <w:rPr>
          <w:rFonts w:ascii="Arial" w:hAnsi="Arial" w:cs="Arial"/>
          <w:b w:val="0"/>
          <w:sz w:val="22"/>
          <w:szCs w:val="22"/>
        </w:rPr>
        <w:t xml:space="preserve">. </w:t>
      </w:r>
      <w:r w:rsidR="00373BB1" w:rsidRPr="00115805">
        <w:rPr>
          <w:rFonts w:ascii="Arial" w:hAnsi="Arial" w:cs="Arial"/>
          <w:b w:val="0"/>
          <w:sz w:val="22"/>
          <w:szCs w:val="22"/>
        </w:rPr>
        <w:t>Takipteki krediler</w:t>
      </w:r>
      <w:r w:rsidR="001D7456" w:rsidRPr="00115805">
        <w:rPr>
          <w:rFonts w:ascii="Arial" w:hAnsi="Arial" w:cs="Arial"/>
          <w:b w:val="0"/>
          <w:sz w:val="22"/>
          <w:szCs w:val="22"/>
        </w:rPr>
        <w:t xml:space="preserve"> </w:t>
      </w:r>
      <w:r w:rsidR="00315335" w:rsidRPr="00115805">
        <w:rPr>
          <w:rFonts w:ascii="Arial" w:hAnsi="Arial" w:cs="Arial"/>
          <w:b w:val="0"/>
          <w:sz w:val="22"/>
          <w:szCs w:val="22"/>
        </w:rPr>
        <w:t>yüzde 5</w:t>
      </w:r>
      <w:r w:rsidR="001D540E" w:rsidRPr="00115805">
        <w:rPr>
          <w:rFonts w:ascii="Arial" w:hAnsi="Arial" w:cs="Arial"/>
          <w:b w:val="0"/>
          <w:sz w:val="22"/>
          <w:szCs w:val="22"/>
        </w:rPr>
        <w:t xml:space="preserve"> </w:t>
      </w:r>
      <w:r w:rsidR="00C87E78" w:rsidRPr="00115805">
        <w:rPr>
          <w:rFonts w:ascii="Arial" w:hAnsi="Arial" w:cs="Arial"/>
          <w:b w:val="0"/>
          <w:sz w:val="22"/>
          <w:szCs w:val="22"/>
        </w:rPr>
        <w:t>artarken,</w:t>
      </w:r>
      <w:r w:rsidR="00834737" w:rsidRPr="00115805">
        <w:rPr>
          <w:rFonts w:ascii="Arial" w:hAnsi="Arial" w:cs="Arial"/>
          <w:b w:val="0"/>
          <w:sz w:val="22"/>
          <w:szCs w:val="22"/>
        </w:rPr>
        <w:t xml:space="preserve"> </w:t>
      </w:r>
      <w:r w:rsidR="00373BB1" w:rsidRPr="00115805">
        <w:rPr>
          <w:rFonts w:ascii="Arial" w:hAnsi="Arial" w:cs="Arial"/>
          <w:b w:val="0"/>
          <w:sz w:val="22"/>
          <w:szCs w:val="22"/>
        </w:rPr>
        <w:t xml:space="preserve">özel karşılıklar yüzde </w:t>
      </w:r>
      <w:r w:rsidR="00315335" w:rsidRPr="00115805">
        <w:rPr>
          <w:rFonts w:ascii="Arial" w:hAnsi="Arial" w:cs="Arial"/>
          <w:b w:val="0"/>
          <w:sz w:val="22"/>
          <w:szCs w:val="22"/>
        </w:rPr>
        <w:t>1</w:t>
      </w:r>
      <w:r w:rsidR="00373BB1" w:rsidRPr="00115805">
        <w:rPr>
          <w:rFonts w:ascii="Arial" w:hAnsi="Arial" w:cs="Arial"/>
          <w:b w:val="0"/>
          <w:sz w:val="22"/>
          <w:szCs w:val="22"/>
        </w:rPr>
        <w:t xml:space="preserve"> oranında </w:t>
      </w:r>
      <w:r w:rsidR="00624300" w:rsidRPr="00115805">
        <w:rPr>
          <w:rFonts w:ascii="Arial" w:hAnsi="Arial" w:cs="Arial"/>
          <w:b w:val="0"/>
          <w:sz w:val="22"/>
          <w:szCs w:val="22"/>
        </w:rPr>
        <w:t>azalmıştır</w:t>
      </w:r>
      <w:r w:rsidR="00373BB1" w:rsidRPr="00115805">
        <w:rPr>
          <w:rFonts w:ascii="Arial" w:hAnsi="Arial" w:cs="Arial"/>
          <w:b w:val="0"/>
          <w:sz w:val="22"/>
          <w:szCs w:val="22"/>
        </w:rPr>
        <w:t>. Özel karşılıkların takipteki kr</w:t>
      </w:r>
      <w:r w:rsidR="00532BF8" w:rsidRPr="00115805">
        <w:rPr>
          <w:rFonts w:ascii="Arial" w:hAnsi="Arial" w:cs="Arial"/>
          <w:b w:val="0"/>
          <w:sz w:val="22"/>
          <w:szCs w:val="22"/>
        </w:rPr>
        <w:t>e</w:t>
      </w:r>
      <w:r w:rsidRPr="00115805">
        <w:rPr>
          <w:rFonts w:ascii="Arial" w:hAnsi="Arial" w:cs="Arial"/>
          <w:b w:val="0"/>
          <w:sz w:val="22"/>
          <w:szCs w:val="22"/>
        </w:rPr>
        <w:t>dileri k</w:t>
      </w:r>
      <w:r w:rsidR="007526A6" w:rsidRPr="00115805">
        <w:rPr>
          <w:rFonts w:ascii="Arial" w:hAnsi="Arial" w:cs="Arial"/>
          <w:b w:val="0"/>
          <w:sz w:val="22"/>
          <w:szCs w:val="22"/>
        </w:rPr>
        <w:t xml:space="preserve">arşılama oranı yüzde </w:t>
      </w:r>
      <w:r w:rsidR="007526A6" w:rsidRPr="00115805">
        <w:rPr>
          <w:rFonts w:ascii="Arial" w:hAnsi="Arial" w:cs="Arial"/>
          <w:b w:val="0"/>
          <w:sz w:val="22"/>
          <w:szCs w:val="22"/>
        </w:rPr>
        <w:lastRenderedPageBreak/>
        <w:t>8</w:t>
      </w:r>
      <w:r w:rsidR="00315335" w:rsidRPr="00115805">
        <w:rPr>
          <w:rFonts w:ascii="Arial" w:hAnsi="Arial" w:cs="Arial"/>
          <w:b w:val="0"/>
          <w:sz w:val="22"/>
          <w:szCs w:val="22"/>
        </w:rPr>
        <w:t>2</w:t>
      </w:r>
      <w:r w:rsidR="00373BB1" w:rsidRPr="00115805">
        <w:rPr>
          <w:rFonts w:ascii="Arial" w:hAnsi="Arial" w:cs="Arial"/>
          <w:b w:val="0"/>
          <w:sz w:val="22"/>
          <w:szCs w:val="22"/>
        </w:rPr>
        <w:t xml:space="preserve"> </w:t>
      </w:r>
      <w:r w:rsidR="00834737" w:rsidRPr="00115805">
        <w:rPr>
          <w:rFonts w:ascii="Arial" w:hAnsi="Arial" w:cs="Arial"/>
          <w:b w:val="0"/>
          <w:sz w:val="22"/>
          <w:szCs w:val="22"/>
        </w:rPr>
        <w:t xml:space="preserve">olmuştur. </w:t>
      </w:r>
      <w:r w:rsidR="00BF0D5E" w:rsidRPr="00115805">
        <w:rPr>
          <w:rFonts w:ascii="Arial" w:hAnsi="Arial" w:cs="Arial"/>
          <w:b w:val="0"/>
          <w:sz w:val="22"/>
          <w:szCs w:val="22"/>
        </w:rPr>
        <w:t>Tahsili gecikmiş alacakların kredilere oranı</w:t>
      </w:r>
      <w:r w:rsidR="00301D46" w:rsidRPr="00115805">
        <w:rPr>
          <w:rFonts w:ascii="Arial" w:hAnsi="Arial" w:cs="Arial"/>
          <w:b w:val="0"/>
          <w:sz w:val="22"/>
          <w:szCs w:val="22"/>
        </w:rPr>
        <w:t xml:space="preserve"> (brüt)</w:t>
      </w:r>
      <w:r w:rsidR="00BF0D5E" w:rsidRPr="00115805">
        <w:rPr>
          <w:rFonts w:ascii="Arial" w:hAnsi="Arial" w:cs="Arial"/>
          <w:b w:val="0"/>
          <w:sz w:val="22"/>
          <w:szCs w:val="22"/>
        </w:rPr>
        <w:t xml:space="preserve"> </w:t>
      </w:r>
      <w:r w:rsidR="00C87E78" w:rsidRPr="00115805">
        <w:rPr>
          <w:rFonts w:ascii="Arial" w:hAnsi="Arial" w:cs="Arial"/>
          <w:b w:val="0"/>
          <w:sz w:val="22"/>
          <w:szCs w:val="22"/>
        </w:rPr>
        <w:t>Mart 2011</w:t>
      </w:r>
      <w:r w:rsidR="005C39DE" w:rsidRPr="00115805">
        <w:rPr>
          <w:rFonts w:ascii="Arial" w:hAnsi="Arial" w:cs="Arial"/>
          <w:b w:val="0"/>
          <w:sz w:val="22"/>
          <w:szCs w:val="22"/>
        </w:rPr>
        <w:t xml:space="preserve"> itibariyle</w:t>
      </w:r>
      <w:r w:rsidR="00BF0D5E" w:rsidRPr="00115805">
        <w:rPr>
          <w:rFonts w:ascii="Arial" w:hAnsi="Arial" w:cs="Arial"/>
          <w:b w:val="0"/>
          <w:sz w:val="22"/>
          <w:szCs w:val="22"/>
        </w:rPr>
        <w:t xml:space="preserve"> </w:t>
      </w:r>
      <w:r w:rsidR="001953FE" w:rsidRPr="00115805">
        <w:rPr>
          <w:rFonts w:ascii="Arial" w:hAnsi="Arial" w:cs="Arial"/>
          <w:b w:val="0"/>
          <w:sz w:val="22"/>
          <w:szCs w:val="22"/>
        </w:rPr>
        <w:t>yüzde</w:t>
      </w:r>
      <w:r w:rsidR="00C87E78" w:rsidRPr="00115805">
        <w:rPr>
          <w:rFonts w:ascii="Arial" w:hAnsi="Arial" w:cs="Arial"/>
          <w:b w:val="0"/>
          <w:sz w:val="22"/>
          <w:szCs w:val="22"/>
        </w:rPr>
        <w:t xml:space="preserve"> 3,4</w:t>
      </w:r>
      <w:r w:rsidR="00BE3BD4" w:rsidRPr="00115805">
        <w:rPr>
          <w:rFonts w:ascii="Arial" w:hAnsi="Arial" w:cs="Arial"/>
          <w:b w:val="0"/>
          <w:sz w:val="22"/>
          <w:szCs w:val="22"/>
        </w:rPr>
        <w:t xml:space="preserve"> </w:t>
      </w:r>
      <w:r w:rsidR="00BF0D5E" w:rsidRPr="00115805">
        <w:rPr>
          <w:rFonts w:ascii="Arial" w:hAnsi="Arial" w:cs="Arial"/>
          <w:b w:val="0"/>
          <w:sz w:val="22"/>
          <w:szCs w:val="22"/>
        </w:rPr>
        <w:t>iken</w:t>
      </w:r>
      <w:r w:rsidR="000D45AA" w:rsidRPr="00115805">
        <w:rPr>
          <w:rFonts w:ascii="Arial" w:hAnsi="Arial" w:cs="Arial"/>
          <w:b w:val="0"/>
          <w:sz w:val="22"/>
          <w:szCs w:val="22"/>
        </w:rPr>
        <w:t>,</w:t>
      </w:r>
      <w:r w:rsidR="007526A6" w:rsidRPr="00115805">
        <w:rPr>
          <w:rFonts w:ascii="Arial" w:hAnsi="Arial" w:cs="Arial"/>
          <w:b w:val="0"/>
          <w:sz w:val="22"/>
          <w:szCs w:val="22"/>
        </w:rPr>
        <w:t xml:space="preserve"> </w:t>
      </w:r>
      <w:r w:rsidR="00C87E78" w:rsidRPr="00115805">
        <w:rPr>
          <w:rFonts w:ascii="Arial" w:hAnsi="Arial" w:cs="Arial"/>
          <w:b w:val="0"/>
          <w:sz w:val="22"/>
          <w:szCs w:val="22"/>
        </w:rPr>
        <w:t>Mart</w:t>
      </w:r>
      <w:r w:rsidR="007526A6" w:rsidRPr="00115805">
        <w:rPr>
          <w:rFonts w:ascii="Arial" w:hAnsi="Arial" w:cs="Arial"/>
          <w:b w:val="0"/>
          <w:sz w:val="22"/>
          <w:szCs w:val="22"/>
        </w:rPr>
        <w:t xml:space="preserve"> </w:t>
      </w:r>
      <w:r w:rsidR="00C87E78" w:rsidRPr="00115805">
        <w:rPr>
          <w:rFonts w:ascii="Arial" w:hAnsi="Arial" w:cs="Arial"/>
          <w:b w:val="0"/>
          <w:sz w:val="22"/>
          <w:szCs w:val="22"/>
        </w:rPr>
        <w:t>2012</w:t>
      </w:r>
      <w:r w:rsidR="001D540E" w:rsidRPr="00115805">
        <w:rPr>
          <w:rFonts w:ascii="Arial" w:hAnsi="Arial" w:cs="Arial"/>
          <w:b w:val="0"/>
          <w:sz w:val="22"/>
          <w:szCs w:val="22"/>
        </w:rPr>
        <w:t xml:space="preserve"> itibariyle</w:t>
      </w:r>
      <w:r w:rsidR="00BF0D5E" w:rsidRPr="00115805">
        <w:rPr>
          <w:rFonts w:ascii="Arial" w:hAnsi="Arial" w:cs="Arial"/>
          <w:b w:val="0"/>
          <w:sz w:val="22"/>
          <w:szCs w:val="22"/>
        </w:rPr>
        <w:t xml:space="preserve"> </w:t>
      </w:r>
      <w:r w:rsidR="00161692" w:rsidRPr="00115805">
        <w:rPr>
          <w:rFonts w:ascii="Arial" w:hAnsi="Arial" w:cs="Arial"/>
          <w:b w:val="0"/>
          <w:sz w:val="22"/>
          <w:szCs w:val="22"/>
        </w:rPr>
        <w:t>yüzde 2,</w:t>
      </w:r>
      <w:r w:rsidR="00C87E78" w:rsidRPr="00115805">
        <w:rPr>
          <w:rFonts w:ascii="Arial" w:hAnsi="Arial" w:cs="Arial"/>
          <w:b w:val="0"/>
          <w:sz w:val="22"/>
          <w:szCs w:val="22"/>
        </w:rPr>
        <w:t>9’a</w:t>
      </w:r>
      <w:r w:rsidR="00BF0D5E" w:rsidRPr="00115805">
        <w:rPr>
          <w:rFonts w:ascii="Arial" w:hAnsi="Arial" w:cs="Arial"/>
          <w:b w:val="0"/>
          <w:sz w:val="22"/>
          <w:szCs w:val="22"/>
        </w:rPr>
        <w:t xml:space="preserve"> </w:t>
      </w:r>
      <w:r w:rsidR="005C39DE" w:rsidRPr="00115805">
        <w:rPr>
          <w:rFonts w:ascii="Arial" w:hAnsi="Arial" w:cs="Arial"/>
          <w:b w:val="0"/>
          <w:sz w:val="22"/>
          <w:szCs w:val="22"/>
        </w:rPr>
        <w:t>gerilemiştir</w:t>
      </w:r>
      <w:r w:rsidR="00BF0D5E" w:rsidRPr="00115805">
        <w:rPr>
          <w:rFonts w:ascii="Arial" w:hAnsi="Arial" w:cs="Arial"/>
          <w:b w:val="0"/>
          <w:sz w:val="22"/>
          <w:szCs w:val="22"/>
        </w:rPr>
        <w:t xml:space="preserve">. </w:t>
      </w:r>
      <w:r w:rsidR="005C39DE" w:rsidRPr="00115805">
        <w:rPr>
          <w:rFonts w:ascii="Arial" w:hAnsi="Arial" w:cs="Arial"/>
          <w:b w:val="0"/>
          <w:sz w:val="22"/>
          <w:szCs w:val="22"/>
        </w:rPr>
        <w:t>Toplam kredilerin yüzde 1</w:t>
      </w:r>
      <w:r w:rsidR="00C87E78" w:rsidRPr="00115805">
        <w:rPr>
          <w:rFonts w:ascii="Arial" w:hAnsi="Arial" w:cs="Arial"/>
          <w:b w:val="0"/>
          <w:sz w:val="22"/>
          <w:szCs w:val="22"/>
        </w:rPr>
        <w:t>,3</w:t>
      </w:r>
      <w:r w:rsidR="002D67D5" w:rsidRPr="00115805">
        <w:rPr>
          <w:rFonts w:ascii="Arial" w:hAnsi="Arial" w:cs="Arial"/>
          <w:b w:val="0"/>
          <w:sz w:val="22"/>
          <w:szCs w:val="22"/>
        </w:rPr>
        <w:t>’</w:t>
      </w:r>
      <w:r w:rsidR="00FC00BB" w:rsidRPr="00115805">
        <w:rPr>
          <w:rFonts w:ascii="Arial" w:hAnsi="Arial" w:cs="Arial"/>
          <w:b w:val="0"/>
          <w:sz w:val="22"/>
          <w:szCs w:val="22"/>
        </w:rPr>
        <w:t>ü (</w:t>
      </w:r>
      <w:r w:rsidR="000D69CF" w:rsidRPr="00115805">
        <w:rPr>
          <w:rFonts w:ascii="Arial" w:hAnsi="Arial" w:cs="Arial"/>
          <w:b w:val="0"/>
          <w:sz w:val="22"/>
          <w:szCs w:val="22"/>
        </w:rPr>
        <w:t>7</w:t>
      </w:r>
      <w:r w:rsidR="00C87E78" w:rsidRPr="00115805">
        <w:rPr>
          <w:rFonts w:ascii="Arial" w:hAnsi="Arial" w:cs="Arial"/>
          <w:b w:val="0"/>
          <w:sz w:val="22"/>
          <w:szCs w:val="22"/>
        </w:rPr>
        <w:t>,1</w:t>
      </w:r>
      <w:r w:rsidR="002D67D5" w:rsidRPr="00115805">
        <w:rPr>
          <w:rFonts w:ascii="Arial" w:hAnsi="Arial" w:cs="Arial"/>
          <w:b w:val="0"/>
          <w:sz w:val="22"/>
          <w:szCs w:val="22"/>
        </w:rPr>
        <w:t xml:space="preserve"> milyar TL) bankanın dahil olduğu risk grubuna aittir.  </w:t>
      </w:r>
    </w:p>
    <w:p w:rsidR="00373BB1" w:rsidRPr="00115805" w:rsidRDefault="00373BB1" w:rsidP="00373BB1">
      <w:pPr>
        <w:pStyle w:val="Subtitle"/>
        <w:rPr>
          <w:rFonts w:ascii="Arial" w:hAnsi="Arial" w:cs="Arial"/>
          <w:b w:val="0"/>
          <w:sz w:val="22"/>
          <w:szCs w:val="22"/>
        </w:rPr>
      </w:pPr>
    </w:p>
    <w:p w:rsidR="00373BB1" w:rsidRPr="00115805" w:rsidRDefault="00373BB1" w:rsidP="00373BB1">
      <w:pPr>
        <w:pStyle w:val="Subtitle"/>
        <w:rPr>
          <w:rFonts w:ascii="Arial" w:hAnsi="Arial" w:cs="Arial"/>
          <w:b w:val="0"/>
          <w:sz w:val="22"/>
          <w:szCs w:val="22"/>
        </w:rPr>
      </w:pPr>
      <w:r w:rsidRPr="00115805">
        <w:rPr>
          <w:rFonts w:ascii="Arial" w:hAnsi="Arial" w:cs="Arial"/>
          <w:b w:val="0"/>
          <w:sz w:val="22"/>
          <w:szCs w:val="22"/>
        </w:rPr>
        <w:t>TL mevduat, geçen y</w:t>
      </w:r>
      <w:r w:rsidR="00CA32CB" w:rsidRPr="00115805">
        <w:rPr>
          <w:rFonts w:ascii="Arial" w:hAnsi="Arial" w:cs="Arial"/>
          <w:b w:val="0"/>
          <w:sz w:val="22"/>
          <w:szCs w:val="22"/>
        </w:rPr>
        <w:t>ılın aynı dönemine göre yüzd</w:t>
      </w:r>
      <w:r w:rsidR="001D7456" w:rsidRPr="00115805">
        <w:rPr>
          <w:rFonts w:ascii="Arial" w:hAnsi="Arial" w:cs="Arial"/>
          <w:b w:val="0"/>
          <w:sz w:val="22"/>
          <w:szCs w:val="22"/>
        </w:rPr>
        <w:t xml:space="preserve">e </w:t>
      </w:r>
      <w:r w:rsidR="00D9497C" w:rsidRPr="00115805">
        <w:rPr>
          <w:rFonts w:ascii="Arial" w:hAnsi="Arial" w:cs="Arial"/>
          <w:b w:val="0"/>
          <w:sz w:val="22"/>
          <w:szCs w:val="22"/>
        </w:rPr>
        <w:t>1</w:t>
      </w:r>
      <w:r w:rsidR="00C87E78" w:rsidRPr="00115805">
        <w:rPr>
          <w:rFonts w:ascii="Arial" w:hAnsi="Arial" w:cs="Arial"/>
          <w:b w:val="0"/>
          <w:sz w:val="22"/>
          <w:szCs w:val="22"/>
        </w:rPr>
        <w:t>2</w:t>
      </w:r>
      <w:r w:rsidR="001D000A" w:rsidRPr="00115805">
        <w:rPr>
          <w:rFonts w:ascii="Arial" w:hAnsi="Arial" w:cs="Arial"/>
          <w:b w:val="0"/>
          <w:sz w:val="22"/>
          <w:szCs w:val="22"/>
        </w:rPr>
        <w:t xml:space="preserve"> </w:t>
      </w:r>
      <w:r w:rsidRPr="00115805">
        <w:rPr>
          <w:rFonts w:ascii="Arial" w:hAnsi="Arial" w:cs="Arial"/>
          <w:b w:val="0"/>
          <w:sz w:val="22"/>
          <w:szCs w:val="22"/>
        </w:rPr>
        <w:t xml:space="preserve">oranında, YP mevduatın TL karşılığı ise yüzde </w:t>
      </w:r>
      <w:r w:rsidR="00C87E78" w:rsidRPr="00115805">
        <w:rPr>
          <w:rFonts w:ascii="Arial" w:hAnsi="Arial" w:cs="Arial"/>
          <w:b w:val="0"/>
          <w:sz w:val="22"/>
          <w:szCs w:val="22"/>
        </w:rPr>
        <w:t>32</w:t>
      </w:r>
      <w:r w:rsidRPr="00115805">
        <w:rPr>
          <w:rFonts w:ascii="Arial" w:hAnsi="Arial" w:cs="Arial"/>
          <w:b w:val="0"/>
          <w:sz w:val="22"/>
          <w:szCs w:val="22"/>
        </w:rPr>
        <w:t xml:space="preserve"> oranında artmıştır. </w:t>
      </w:r>
      <w:r w:rsidR="00C4175C" w:rsidRPr="00115805">
        <w:rPr>
          <w:rFonts w:ascii="Arial" w:hAnsi="Arial" w:cs="Arial"/>
          <w:b w:val="0"/>
          <w:sz w:val="22"/>
          <w:szCs w:val="22"/>
        </w:rPr>
        <w:t xml:space="preserve">Toplam </w:t>
      </w:r>
      <w:r w:rsidR="00C87E78" w:rsidRPr="00115805">
        <w:rPr>
          <w:rFonts w:ascii="Arial" w:hAnsi="Arial" w:cs="Arial"/>
          <w:b w:val="0"/>
          <w:sz w:val="22"/>
          <w:szCs w:val="22"/>
        </w:rPr>
        <w:t>mevduatın yüzde 3,8’i</w:t>
      </w:r>
      <w:r w:rsidR="00A05A4D" w:rsidRPr="00115805">
        <w:rPr>
          <w:rFonts w:ascii="Arial" w:hAnsi="Arial" w:cs="Arial"/>
          <w:b w:val="0"/>
          <w:sz w:val="22"/>
          <w:szCs w:val="22"/>
        </w:rPr>
        <w:t xml:space="preserve"> (</w:t>
      </w:r>
      <w:r w:rsidR="00C87E78" w:rsidRPr="00115805">
        <w:rPr>
          <w:rFonts w:ascii="Arial" w:hAnsi="Arial" w:cs="Arial"/>
          <w:b w:val="0"/>
          <w:sz w:val="22"/>
          <w:szCs w:val="22"/>
        </w:rPr>
        <w:t>20</w:t>
      </w:r>
      <w:r w:rsidR="000D69CF" w:rsidRPr="00115805">
        <w:rPr>
          <w:rFonts w:ascii="Arial" w:hAnsi="Arial" w:cs="Arial"/>
          <w:b w:val="0"/>
          <w:sz w:val="22"/>
          <w:szCs w:val="22"/>
        </w:rPr>
        <w:t>,7</w:t>
      </w:r>
      <w:r w:rsidR="00A73280" w:rsidRPr="00115805">
        <w:rPr>
          <w:rFonts w:ascii="Arial" w:hAnsi="Arial" w:cs="Arial"/>
          <w:b w:val="0"/>
          <w:sz w:val="22"/>
          <w:szCs w:val="22"/>
        </w:rPr>
        <w:t xml:space="preserve"> milyar TL) bankanın dahil ol</w:t>
      </w:r>
      <w:r w:rsidR="002D67D5" w:rsidRPr="00115805">
        <w:rPr>
          <w:rFonts w:ascii="Arial" w:hAnsi="Arial" w:cs="Arial"/>
          <w:b w:val="0"/>
          <w:sz w:val="22"/>
          <w:szCs w:val="22"/>
        </w:rPr>
        <w:t>duğu risk grubuna aittir.</w:t>
      </w:r>
      <w:r w:rsidRPr="00115805">
        <w:rPr>
          <w:rFonts w:ascii="Arial" w:hAnsi="Arial" w:cs="Arial"/>
          <w:b w:val="0"/>
          <w:sz w:val="22"/>
          <w:szCs w:val="22"/>
        </w:rPr>
        <w:t xml:space="preserve"> </w:t>
      </w:r>
    </w:p>
    <w:p w:rsidR="005F72BB" w:rsidRPr="00115805" w:rsidRDefault="005F72BB" w:rsidP="00373BB1">
      <w:pPr>
        <w:pStyle w:val="Subtitle"/>
        <w:rPr>
          <w:rFonts w:ascii="Arial" w:hAnsi="Arial" w:cs="Arial"/>
          <w:szCs w:val="24"/>
        </w:rPr>
      </w:pPr>
    </w:p>
    <w:p w:rsidR="002D67D5" w:rsidRPr="00115805" w:rsidRDefault="002D67D5" w:rsidP="005E3060">
      <w:pPr>
        <w:pStyle w:val="Subtitle"/>
        <w:jc w:val="center"/>
        <w:rPr>
          <w:rFonts w:ascii="Arial" w:hAnsi="Arial" w:cs="Arial"/>
          <w:szCs w:val="24"/>
        </w:rPr>
      </w:pPr>
      <w:r w:rsidRPr="00115805">
        <w:rPr>
          <w:rFonts w:ascii="Arial" w:hAnsi="Arial" w:cs="Arial"/>
          <w:szCs w:val="24"/>
        </w:rPr>
        <w:t>Pasif Kal</w:t>
      </w:r>
      <w:r w:rsidR="00730A05">
        <w:rPr>
          <w:rFonts w:ascii="Arial" w:hAnsi="Arial" w:cs="Arial"/>
          <w:szCs w:val="24"/>
        </w:rPr>
        <w:t>emlerdeki Gelişmeler</w:t>
      </w:r>
    </w:p>
    <w:p w:rsidR="005F72BB" w:rsidRPr="00115805" w:rsidRDefault="005F72BB" w:rsidP="005E3060">
      <w:pPr>
        <w:pStyle w:val="Subtitle"/>
        <w:jc w:val="center"/>
        <w:rPr>
          <w:rFonts w:ascii="Arial" w:hAnsi="Arial" w:cs="Arial"/>
          <w:szCs w:val="24"/>
        </w:rPr>
      </w:pPr>
    </w:p>
    <w:tbl>
      <w:tblPr>
        <w:tblW w:w="8420" w:type="dxa"/>
        <w:tblInd w:w="55" w:type="dxa"/>
        <w:tblCellMar>
          <w:left w:w="70" w:type="dxa"/>
          <w:right w:w="70" w:type="dxa"/>
        </w:tblCellMar>
        <w:tblLook w:val="04A0" w:firstRow="1" w:lastRow="0" w:firstColumn="1" w:lastColumn="0" w:noHBand="0" w:noVBand="1"/>
      </w:tblPr>
      <w:tblGrid>
        <w:gridCol w:w="2520"/>
        <w:gridCol w:w="960"/>
        <w:gridCol w:w="960"/>
        <w:gridCol w:w="960"/>
        <w:gridCol w:w="1500"/>
        <w:gridCol w:w="1520"/>
      </w:tblGrid>
      <w:tr w:rsidR="00B13103" w:rsidRPr="00115805" w:rsidTr="000D69CF">
        <w:trPr>
          <w:trHeight w:val="255"/>
        </w:trPr>
        <w:tc>
          <w:tcPr>
            <w:tcW w:w="2520" w:type="dxa"/>
            <w:tcBorders>
              <w:top w:val="nil"/>
              <w:left w:val="nil"/>
              <w:bottom w:val="nil"/>
              <w:right w:val="nil"/>
            </w:tcBorders>
            <w:shd w:val="clear" w:color="000000" w:fill="FFFFFF"/>
            <w:noWrap/>
            <w:vAlign w:val="center"/>
            <w:hideMark/>
          </w:tcPr>
          <w:p w:rsidR="000D69CF" w:rsidRPr="00115805" w:rsidRDefault="000D69CF" w:rsidP="000D69CF">
            <w:pPr>
              <w:rPr>
                <w:rFonts w:ascii="Arial" w:hAnsi="Arial" w:cs="Arial"/>
                <w:b/>
                <w:bCs/>
                <w:sz w:val="20"/>
                <w:lang w:eastAsia="tr-TR"/>
              </w:rPr>
            </w:pPr>
            <w:r w:rsidRPr="00115805">
              <w:rPr>
                <w:rFonts w:ascii="Arial" w:hAnsi="Arial" w:cs="Arial"/>
                <w:b/>
                <w:bCs/>
                <w:sz w:val="20"/>
                <w:lang w:eastAsia="tr-TR"/>
              </w:rPr>
              <w:t> </w:t>
            </w:r>
          </w:p>
        </w:tc>
        <w:tc>
          <w:tcPr>
            <w:tcW w:w="960" w:type="dxa"/>
            <w:tcBorders>
              <w:top w:val="nil"/>
              <w:left w:val="nil"/>
              <w:bottom w:val="nil"/>
              <w:right w:val="nil"/>
            </w:tcBorders>
            <w:shd w:val="clear" w:color="000000" w:fill="FFFFFF"/>
            <w:noWrap/>
            <w:vAlign w:val="center"/>
            <w:hideMark/>
          </w:tcPr>
          <w:p w:rsidR="000D69CF" w:rsidRPr="00115805" w:rsidRDefault="00B13103" w:rsidP="000D69CF">
            <w:pPr>
              <w:jc w:val="right"/>
              <w:rPr>
                <w:rFonts w:ascii="Arial" w:hAnsi="Arial" w:cs="Arial"/>
                <w:b/>
                <w:bCs/>
                <w:sz w:val="20"/>
                <w:lang w:eastAsia="tr-TR"/>
              </w:rPr>
            </w:pPr>
            <w:r w:rsidRPr="00115805">
              <w:rPr>
                <w:rFonts w:ascii="Arial" w:hAnsi="Arial" w:cs="Arial"/>
                <w:b/>
                <w:bCs/>
                <w:sz w:val="20"/>
                <w:lang w:eastAsia="tr-TR"/>
              </w:rPr>
              <w:t>Mart</w:t>
            </w:r>
          </w:p>
        </w:tc>
        <w:tc>
          <w:tcPr>
            <w:tcW w:w="960" w:type="dxa"/>
            <w:tcBorders>
              <w:top w:val="nil"/>
              <w:left w:val="nil"/>
              <w:bottom w:val="nil"/>
              <w:right w:val="nil"/>
            </w:tcBorders>
            <w:shd w:val="clear" w:color="000000" w:fill="FFFFFF"/>
            <w:noWrap/>
            <w:vAlign w:val="center"/>
            <w:hideMark/>
          </w:tcPr>
          <w:p w:rsidR="000D69CF" w:rsidRPr="00115805" w:rsidRDefault="00B13103" w:rsidP="000D69CF">
            <w:pPr>
              <w:jc w:val="right"/>
              <w:rPr>
                <w:rFonts w:ascii="Arial" w:hAnsi="Arial" w:cs="Arial"/>
                <w:b/>
                <w:bCs/>
                <w:sz w:val="20"/>
                <w:lang w:eastAsia="tr-TR"/>
              </w:rPr>
            </w:pPr>
            <w:r w:rsidRPr="00115805">
              <w:rPr>
                <w:rFonts w:ascii="Arial" w:hAnsi="Arial" w:cs="Arial"/>
                <w:b/>
                <w:bCs/>
                <w:sz w:val="20"/>
                <w:lang w:eastAsia="tr-TR"/>
              </w:rPr>
              <w:t>Mart</w:t>
            </w:r>
          </w:p>
        </w:tc>
        <w:tc>
          <w:tcPr>
            <w:tcW w:w="960" w:type="dxa"/>
            <w:tcBorders>
              <w:top w:val="nil"/>
              <w:left w:val="nil"/>
              <w:bottom w:val="nil"/>
              <w:right w:val="nil"/>
            </w:tcBorders>
            <w:shd w:val="clear" w:color="000000" w:fill="FFFFFF"/>
            <w:noWrap/>
            <w:vAlign w:val="center"/>
            <w:hideMark/>
          </w:tcPr>
          <w:p w:rsidR="000D69CF" w:rsidRPr="00115805" w:rsidRDefault="000D69CF" w:rsidP="000D69CF">
            <w:pPr>
              <w:jc w:val="right"/>
              <w:rPr>
                <w:rFonts w:ascii="Arial" w:hAnsi="Arial" w:cs="Arial"/>
                <w:b/>
                <w:bCs/>
                <w:sz w:val="20"/>
                <w:lang w:eastAsia="tr-TR"/>
              </w:rPr>
            </w:pPr>
            <w:r w:rsidRPr="00115805">
              <w:rPr>
                <w:rFonts w:ascii="Arial" w:hAnsi="Arial" w:cs="Arial"/>
                <w:b/>
                <w:bCs/>
                <w:sz w:val="20"/>
                <w:lang w:eastAsia="tr-TR"/>
              </w:rPr>
              <w:t> </w:t>
            </w:r>
          </w:p>
        </w:tc>
        <w:tc>
          <w:tcPr>
            <w:tcW w:w="1500" w:type="dxa"/>
            <w:tcBorders>
              <w:top w:val="nil"/>
              <w:left w:val="nil"/>
              <w:bottom w:val="nil"/>
              <w:right w:val="nil"/>
            </w:tcBorders>
            <w:shd w:val="clear" w:color="000000" w:fill="FFFFFF"/>
            <w:noWrap/>
            <w:vAlign w:val="center"/>
            <w:hideMark/>
          </w:tcPr>
          <w:p w:rsidR="000D69CF" w:rsidRPr="00115805" w:rsidRDefault="000D69CF" w:rsidP="000D69CF">
            <w:pPr>
              <w:jc w:val="center"/>
              <w:rPr>
                <w:rFonts w:ascii="Arial" w:hAnsi="Arial" w:cs="Arial"/>
                <w:b/>
                <w:bCs/>
                <w:sz w:val="20"/>
                <w:lang w:eastAsia="tr-TR"/>
              </w:rPr>
            </w:pPr>
            <w:r w:rsidRPr="00115805">
              <w:rPr>
                <w:rFonts w:ascii="Arial" w:hAnsi="Arial" w:cs="Arial"/>
                <w:b/>
                <w:bCs/>
                <w:sz w:val="20"/>
                <w:lang w:eastAsia="tr-TR"/>
              </w:rPr>
              <w:t>12 aylık yüzde</w:t>
            </w:r>
          </w:p>
        </w:tc>
        <w:tc>
          <w:tcPr>
            <w:tcW w:w="1520" w:type="dxa"/>
            <w:tcBorders>
              <w:top w:val="nil"/>
              <w:left w:val="nil"/>
              <w:bottom w:val="nil"/>
              <w:right w:val="nil"/>
            </w:tcBorders>
            <w:shd w:val="clear" w:color="000000" w:fill="FFFFFF"/>
            <w:noWrap/>
            <w:vAlign w:val="center"/>
            <w:hideMark/>
          </w:tcPr>
          <w:p w:rsidR="000D69CF" w:rsidRPr="00115805" w:rsidRDefault="000D69CF" w:rsidP="000D69CF">
            <w:pPr>
              <w:jc w:val="center"/>
              <w:rPr>
                <w:rFonts w:ascii="Arial" w:hAnsi="Arial" w:cs="Arial"/>
                <w:b/>
                <w:bCs/>
                <w:sz w:val="20"/>
                <w:lang w:eastAsia="tr-TR"/>
              </w:rPr>
            </w:pPr>
            <w:r w:rsidRPr="00115805">
              <w:rPr>
                <w:rFonts w:ascii="Arial" w:hAnsi="Arial" w:cs="Arial"/>
                <w:b/>
                <w:bCs/>
                <w:sz w:val="20"/>
                <w:lang w:eastAsia="tr-TR"/>
              </w:rPr>
              <w:t>Yüzde pay</w:t>
            </w:r>
          </w:p>
        </w:tc>
      </w:tr>
      <w:tr w:rsidR="00B13103" w:rsidRPr="00115805" w:rsidTr="000D69CF">
        <w:trPr>
          <w:trHeight w:val="270"/>
        </w:trPr>
        <w:tc>
          <w:tcPr>
            <w:tcW w:w="2520" w:type="dxa"/>
            <w:tcBorders>
              <w:top w:val="nil"/>
              <w:left w:val="nil"/>
              <w:bottom w:val="single" w:sz="8" w:space="0" w:color="auto"/>
              <w:right w:val="nil"/>
            </w:tcBorders>
            <w:shd w:val="clear" w:color="000000" w:fill="FFFFFF"/>
            <w:noWrap/>
            <w:vAlign w:val="center"/>
            <w:hideMark/>
          </w:tcPr>
          <w:p w:rsidR="000D69CF" w:rsidRPr="00115805" w:rsidRDefault="00730A05" w:rsidP="000D69CF">
            <w:pPr>
              <w:rPr>
                <w:rFonts w:ascii="Arial" w:hAnsi="Arial" w:cs="Arial"/>
                <w:sz w:val="20"/>
                <w:lang w:eastAsia="tr-TR"/>
              </w:rPr>
            </w:pPr>
            <w:r w:rsidRPr="00730A05">
              <w:rPr>
                <w:rFonts w:ascii="AbakuTLSymSans" w:hAnsi="AbakuTLSymSans" w:cs="Arial"/>
                <w:b/>
                <w:sz w:val="20"/>
                <w:lang w:eastAsia="tr-TR"/>
              </w:rPr>
              <w:t>¨</w:t>
            </w:r>
            <w:r>
              <w:rPr>
                <w:rFonts w:ascii="AbakuTLSymSans" w:hAnsi="AbakuTLSymSans" w:cs="Arial"/>
                <w:b/>
                <w:sz w:val="20"/>
                <w:lang w:eastAsia="tr-TR"/>
              </w:rPr>
              <w:t xml:space="preserve"> M</w:t>
            </w:r>
            <w:r w:rsidRPr="00730A05">
              <w:rPr>
                <w:rFonts w:ascii="AbakuTLSymSans" w:hAnsi="AbakuTLSymSans" w:cs="Arial"/>
                <w:b/>
                <w:sz w:val="20"/>
                <w:lang w:eastAsia="tr-TR"/>
              </w:rPr>
              <w:t>ilyon</w:t>
            </w:r>
          </w:p>
        </w:tc>
        <w:tc>
          <w:tcPr>
            <w:tcW w:w="960" w:type="dxa"/>
            <w:tcBorders>
              <w:top w:val="nil"/>
              <w:left w:val="nil"/>
              <w:bottom w:val="single" w:sz="8" w:space="0" w:color="auto"/>
              <w:right w:val="nil"/>
            </w:tcBorders>
            <w:shd w:val="clear" w:color="000000" w:fill="FFFFFF"/>
            <w:noWrap/>
            <w:vAlign w:val="center"/>
            <w:hideMark/>
          </w:tcPr>
          <w:p w:rsidR="000D69CF" w:rsidRPr="00115805" w:rsidRDefault="00B13103" w:rsidP="000D69CF">
            <w:pPr>
              <w:jc w:val="right"/>
              <w:rPr>
                <w:rFonts w:ascii="Arial" w:hAnsi="Arial" w:cs="Arial"/>
                <w:b/>
                <w:bCs/>
                <w:sz w:val="20"/>
                <w:lang w:eastAsia="tr-TR"/>
              </w:rPr>
            </w:pPr>
            <w:r w:rsidRPr="00115805">
              <w:rPr>
                <w:rFonts w:ascii="Arial" w:hAnsi="Arial" w:cs="Arial"/>
                <w:b/>
                <w:bCs/>
                <w:sz w:val="20"/>
                <w:lang w:eastAsia="tr-TR"/>
              </w:rPr>
              <w:t>2012</w:t>
            </w:r>
          </w:p>
        </w:tc>
        <w:tc>
          <w:tcPr>
            <w:tcW w:w="960" w:type="dxa"/>
            <w:tcBorders>
              <w:top w:val="nil"/>
              <w:left w:val="nil"/>
              <w:bottom w:val="single" w:sz="8" w:space="0" w:color="auto"/>
              <w:right w:val="nil"/>
            </w:tcBorders>
            <w:shd w:val="clear" w:color="000000" w:fill="FFFFFF"/>
            <w:noWrap/>
            <w:vAlign w:val="center"/>
            <w:hideMark/>
          </w:tcPr>
          <w:p w:rsidR="000D69CF" w:rsidRPr="00115805" w:rsidRDefault="00B13103" w:rsidP="000D69CF">
            <w:pPr>
              <w:jc w:val="right"/>
              <w:rPr>
                <w:rFonts w:ascii="Arial" w:hAnsi="Arial" w:cs="Arial"/>
                <w:b/>
                <w:bCs/>
                <w:sz w:val="20"/>
                <w:lang w:eastAsia="tr-TR"/>
              </w:rPr>
            </w:pPr>
            <w:r w:rsidRPr="00115805">
              <w:rPr>
                <w:rFonts w:ascii="Arial" w:hAnsi="Arial" w:cs="Arial"/>
                <w:b/>
                <w:bCs/>
                <w:sz w:val="20"/>
                <w:lang w:eastAsia="tr-TR"/>
              </w:rPr>
              <w:t>2011</w:t>
            </w:r>
          </w:p>
        </w:tc>
        <w:tc>
          <w:tcPr>
            <w:tcW w:w="960" w:type="dxa"/>
            <w:tcBorders>
              <w:top w:val="nil"/>
              <w:left w:val="nil"/>
              <w:bottom w:val="single" w:sz="8" w:space="0" w:color="auto"/>
              <w:right w:val="nil"/>
            </w:tcBorders>
            <w:shd w:val="clear" w:color="000000" w:fill="FFFFFF"/>
            <w:noWrap/>
            <w:vAlign w:val="center"/>
            <w:hideMark/>
          </w:tcPr>
          <w:p w:rsidR="000D69CF" w:rsidRPr="00115805" w:rsidRDefault="000D69CF" w:rsidP="000D69CF">
            <w:pPr>
              <w:jc w:val="right"/>
              <w:rPr>
                <w:rFonts w:ascii="Arial" w:hAnsi="Arial" w:cs="Arial"/>
                <w:b/>
                <w:bCs/>
                <w:sz w:val="20"/>
                <w:lang w:eastAsia="tr-TR"/>
              </w:rPr>
            </w:pPr>
            <w:r w:rsidRPr="00115805">
              <w:rPr>
                <w:rFonts w:ascii="Arial" w:hAnsi="Arial" w:cs="Arial"/>
                <w:b/>
                <w:bCs/>
                <w:sz w:val="20"/>
                <w:lang w:eastAsia="tr-TR"/>
              </w:rPr>
              <w:t> </w:t>
            </w:r>
          </w:p>
        </w:tc>
        <w:tc>
          <w:tcPr>
            <w:tcW w:w="1500" w:type="dxa"/>
            <w:tcBorders>
              <w:top w:val="nil"/>
              <w:left w:val="nil"/>
              <w:bottom w:val="single" w:sz="8" w:space="0" w:color="auto"/>
              <w:right w:val="nil"/>
            </w:tcBorders>
            <w:shd w:val="clear" w:color="000000" w:fill="FFFFFF"/>
            <w:noWrap/>
            <w:vAlign w:val="center"/>
            <w:hideMark/>
          </w:tcPr>
          <w:p w:rsidR="000D69CF" w:rsidRPr="00115805" w:rsidRDefault="000D69CF" w:rsidP="000D69CF">
            <w:pPr>
              <w:jc w:val="center"/>
              <w:rPr>
                <w:rFonts w:ascii="Arial" w:hAnsi="Arial" w:cs="Arial"/>
                <w:b/>
                <w:bCs/>
                <w:sz w:val="20"/>
                <w:lang w:eastAsia="tr-TR"/>
              </w:rPr>
            </w:pPr>
            <w:r w:rsidRPr="00115805">
              <w:rPr>
                <w:rFonts w:ascii="Arial" w:hAnsi="Arial" w:cs="Arial"/>
                <w:b/>
                <w:bCs/>
                <w:sz w:val="20"/>
                <w:lang w:eastAsia="tr-TR"/>
              </w:rPr>
              <w:t>değişme</w:t>
            </w:r>
          </w:p>
        </w:tc>
        <w:tc>
          <w:tcPr>
            <w:tcW w:w="1520" w:type="dxa"/>
            <w:tcBorders>
              <w:top w:val="nil"/>
              <w:left w:val="nil"/>
              <w:bottom w:val="single" w:sz="8" w:space="0" w:color="auto"/>
              <w:right w:val="nil"/>
            </w:tcBorders>
            <w:shd w:val="clear" w:color="000000" w:fill="FFFFFF"/>
            <w:noWrap/>
            <w:vAlign w:val="center"/>
            <w:hideMark/>
          </w:tcPr>
          <w:p w:rsidR="000D69CF" w:rsidRPr="00115805" w:rsidRDefault="00B13103" w:rsidP="000D69CF">
            <w:pPr>
              <w:jc w:val="center"/>
              <w:rPr>
                <w:rFonts w:ascii="Arial" w:hAnsi="Arial" w:cs="Arial"/>
                <w:b/>
                <w:bCs/>
                <w:sz w:val="20"/>
                <w:lang w:eastAsia="tr-TR"/>
              </w:rPr>
            </w:pPr>
            <w:r w:rsidRPr="00115805">
              <w:rPr>
                <w:rFonts w:ascii="Arial" w:hAnsi="Arial" w:cs="Arial"/>
                <w:b/>
                <w:bCs/>
                <w:sz w:val="20"/>
                <w:lang w:eastAsia="tr-TR"/>
              </w:rPr>
              <w:t>Mart 2012</w:t>
            </w:r>
            <w:r w:rsidR="000D69CF" w:rsidRPr="00115805">
              <w:rPr>
                <w:rFonts w:ascii="Arial" w:hAnsi="Arial" w:cs="Arial"/>
                <w:b/>
                <w:bCs/>
                <w:sz w:val="20"/>
                <w:lang w:eastAsia="tr-TR"/>
              </w:rPr>
              <w:t> </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Mevduat</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546.183</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460.984</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18</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61</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 xml:space="preserve">  TL</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336.984</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302.074</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12</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38</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 xml:space="preserve">  YP</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209.199</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158.910</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32</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24</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Mevduat dışı kaynaklar</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178.178</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139.797</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27</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20</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SBK</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7.092</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5.619</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26</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 xml:space="preserve">  1</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Özkaynaklar</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105.366</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92.497</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14</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12</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 xml:space="preserve">  Dönem Kar/zararı</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4.435</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4.284</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 xml:space="preserve"> 4</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 xml:space="preserve">  0</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Diğer pasifler</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60.236</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48.540</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24</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 xml:space="preserve">  7</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Toplam</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889.963</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741.818</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20</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100</w:t>
            </w:r>
          </w:p>
        </w:tc>
      </w:tr>
      <w:tr w:rsidR="00B13103" w:rsidRPr="00115805" w:rsidTr="00D67174">
        <w:trPr>
          <w:trHeight w:val="255"/>
        </w:trPr>
        <w:tc>
          <w:tcPr>
            <w:tcW w:w="252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 xml:space="preserve">  TL</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554.156</w:t>
            </w:r>
          </w:p>
        </w:tc>
        <w:tc>
          <w:tcPr>
            <w:tcW w:w="960" w:type="dxa"/>
            <w:tcBorders>
              <w:top w:val="nil"/>
              <w:left w:val="nil"/>
              <w:bottom w:val="nil"/>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489.230</w:t>
            </w:r>
          </w:p>
        </w:tc>
        <w:tc>
          <w:tcPr>
            <w:tcW w:w="960" w:type="dxa"/>
            <w:tcBorders>
              <w:top w:val="nil"/>
              <w:left w:val="nil"/>
              <w:bottom w:val="nil"/>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13</w:t>
            </w:r>
          </w:p>
        </w:tc>
        <w:tc>
          <w:tcPr>
            <w:tcW w:w="1520" w:type="dxa"/>
            <w:tcBorders>
              <w:top w:val="nil"/>
              <w:left w:val="nil"/>
              <w:bottom w:val="nil"/>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 xml:space="preserve"> 62</w:t>
            </w:r>
          </w:p>
        </w:tc>
      </w:tr>
      <w:tr w:rsidR="00B13103" w:rsidRPr="00115805" w:rsidTr="00D67174">
        <w:trPr>
          <w:trHeight w:val="270"/>
        </w:trPr>
        <w:tc>
          <w:tcPr>
            <w:tcW w:w="2520" w:type="dxa"/>
            <w:tcBorders>
              <w:top w:val="nil"/>
              <w:left w:val="nil"/>
              <w:bottom w:val="single" w:sz="8" w:space="0" w:color="auto"/>
              <w:right w:val="nil"/>
            </w:tcBorders>
            <w:shd w:val="clear" w:color="000000" w:fill="FFFFFF"/>
            <w:noWrap/>
            <w:vAlign w:val="center"/>
            <w:hideMark/>
          </w:tcPr>
          <w:p w:rsidR="00B13103" w:rsidRPr="00115805" w:rsidRDefault="00B13103" w:rsidP="000D69CF">
            <w:pPr>
              <w:rPr>
                <w:rFonts w:ascii="Arial" w:hAnsi="Arial" w:cs="Arial"/>
                <w:b/>
                <w:sz w:val="20"/>
                <w:lang w:eastAsia="tr-TR"/>
              </w:rPr>
            </w:pPr>
            <w:r w:rsidRPr="00115805">
              <w:rPr>
                <w:rFonts w:ascii="Arial" w:hAnsi="Arial" w:cs="Arial"/>
                <w:b/>
                <w:sz w:val="20"/>
                <w:lang w:eastAsia="tr-TR"/>
              </w:rPr>
              <w:t xml:space="preserve">  YP</w:t>
            </w:r>
          </w:p>
        </w:tc>
        <w:tc>
          <w:tcPr>
            <w:tcW w:w="960" w:type="dxa"/>
            <w:tcBorders>
              <w:top w:val="nil"/>
              <w:left w:val="nil"/>
              <w:bottom w:val="single" w:sz="8" w:space="0" w:color="auto"/>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335.807</w:t>
            </w:r>
          </w:p>
        </w:tc>
        <w:tc>
          <w:tcPr>
            <w:tcW w:w="960" w:type="dxa"/>
            <w:tcBorders>
              <w:top w:val="nil"/>
              <w:left w:val="nil"/>
              <w:bottom w:val="single" w:sz="8" w:space="0" w:color="auto"/>
              <w:right w:val="nil"/>
            </w:tcBorders>
            <w:shd w:val="clear" w:color="000000" w:fill="FFFFFF"/>
            <w:noWrap/>
            <w:vAlign w:val="bottom"/>
            <w:hideMark/>
          </w:tcPr>
          <w:p w:rsidR="00B13103" w:rsidRPr="00115805" w:rsidRDefault="00B13103" w:rsidP="000D69CF">
            <w:pPr>
              <w:jc w:val="right"/>
              <w:rPr>
                <w:rFonts w:ascii="Arial" w:hAnsi="Arial" w:cs="Arial"/>
                <w:sz w:val="20"/>
                <w:lang w:eastAsia="tr-TR"/>
              </w:rPr>
            </w:pPr>
            <w:r w:rsidRPr="00115805">
              <w:rPr>
                <w:rFonts w:ascii="Arial" w:hAnsi="Arial" w:cs="Arial"/>
                <w:sz w:val="20"/>
              </w:rPr>
              <w:t>252.588</w:t>
            </w:r>
          </w:p>
        </w:tc>
        <w:tc>
          <w:tcPr>
            <w:tcW w:w="960" w:type="dxa"/>
            <w:tcBorders>
              <w:top w:val="nil"/>
              <w:left w:val="nil"/>
              <w:bottom w:val="single" w:sz="8" w:space="0" w:color="auto"/>
              <w:right w:val="nil"/>
            </w:tcBorders>
            <w:shd w:val="clear" w:color="000000" w:fill="FFFFFF"/>
            <w:noWrap/>
            <w:vAlign w:val="center"/>
            <w:hideMark/>
          </w:tcPr>
          <w:p w:rsidR="00B13103" w:rsidRPr="00115805" w:rsidRDefault="00B13103" w:rsidP="000D69CF">
            <w:pPr>
              <w:rPr>
                <w:rFonts w:ascii="Arial" w:hAnsi="Arial" w:cs="Arial"/>
                <w:sz w:val="20"/>
                <w:lang w:eastAsia="tr-TR"/>
              </w:rPr>
            </w:pPr>
            <w:r w:rsidRPr="00115805">
              <w:rPr>
                <w:rFonts w:ascii="Arial" w:hAnsi="Arial" w:cs="Arial"/>
                <w:sz w:val="20"/>
                <w:lang w:eastAsia="tr-TR"/>
              </w:rPr>
              <w:t> </w:t>
            </w:r>
          </w:p>
        </w:tc>
        <w:tc>
          <w:tcPr>
            <w:tcW w:w="1500" w:type="dxa"/>
            <w:tcBorders>
              <w:top w:val="nil"/>
              <w:left w:val="nil"/>
              <w:bottom w:val="single" w:sz="8" w:space="0" w:color="auto"/>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33</w:t>
            </w:r>
          </w:p>
        </w:tc>
        <w:tc>
          <w:tcPr>
            <w:tcW w:w="1520" w:type="dxa"/>
            <w:tcBorders>
              <w:top w:val="nil"/>
              <w:left w:val="nil"/>
              <w:bottom w:val="single" w:sz="8" w:space="0" w:color="auto"/>
              <w:right w:val="nil"/>
            </w:tcBorders>
            <w:shd w:val="clear" w:color="000000" w:fill="FFFFFF"/>
            <w:noWrap/>
            <w:vAlign w:val="bottom"/>
            <w:hideMark/>
          </w:tcPr>
          <w:p w:rsidR="00B13103" w:rsidRPr="00115805" w:rsidRDefault="00B13103" w:rsidP="000D69CF">
            <w:pPr>
              <w:jc w:val="center"/>
              <w:rPr>
                <w:rFonts w:ascii="Arial" w:hAnsi="Arial" w:cs="Arial"/>
                <w:sz w:val="20"/>
                <w:lang w:eastAsia="tr-TR"/>
              </w:rPr>
            </w:pPr>
            <w:r w:rsidRPr="00115805">
              <w:rPr>
                <w:rFonts w:ascii="Arial" w:hAnsi="Arial" w:cs="Arial"/>
                <w:sz w:val="20"/>
              </w:rPr>
              <w:t xml:space="preserve"> 38</w:t>
            </w:r>
          </w:p>
        </w:tc>
      </w:tr>
    </w:tbl>
    <w:p w:rsidR="002D67D5" w:rsidRPr="00115805" w:rsidRDefault="002D67D5" w:rsidP="00373BB1">
      <w:pPr>
        <w:pStyle w:val="Subtitle"/>
        <w:rPr>
          <w:rFonts w:ascii="Arial" w:hAnsi="Arial" w:cs="Arial"/>
          <w:b w:val="0"/>
          <w:sz w:val="22"/>
          <w:szCs w:val="22"/>
        </w:rPr>
      </w:pPr>
    </w:p>
    <w:p w:rsidR="00234523" w:rsidRPr="00115805" w:rsidRDefault="00234523" w:rsidP="00234523">
      <w:pPr>
        <w:pStyle w:val="Subtitle"/>
        <w:rPr>
          <w:rFonts w:ascii="Arial" w:hAnsi="Arial" w:cs="Arial"/>
          <w:b w:val="0"/>
          <w:sz w:val="22"/>
          <w:szCs w:val="22"/>
        </w:rPr>
      </w:pPr>
      <w:r w:rsidRPr="00115805">
        <w:rPr>
          <w:rFonts w:ascii="Arial" w:hAnsi="Arial" w:cs="Arial"/>
          <w:b w:val="0"/>
          <w:sz w:val="22"/>
          <w:szCs w:val="22"/>
        </w:rPr>
        <w:t>Mevduat dışı kaynaklar</w:t>
      </w:r>
      <w:r w:rsidR="00427CD6" w:rsidRPr="00115805">
        <w:rPr>
          <w:rFonts w:ascii="Arial" w:hAnsi="Arial" w:cs="Arial"/>
          <w:b w:val="0"/>
          <w:sz w:val="22"/>
          <w:szCs w:val="22"/>
        </w:rPr>
        <w:t>;</w:t>
      </w:r>
      <w:r w:rsidRPr="00115805">
        <w:rPr>
          <w:rFonts w:ascii="Arial" w:hAnsi="Arial" w:cs="Arial"/>
          <w:b w:val="0"/>
          <w:sz w:val="22"/>
          <w:szCs w:val="22"/>
        </w:rPr>
        <w:t xml:space="preserve"> </w:t>
      </w:r>
      <w:r w:rsidR="00302CCE" w:rsidRPr="00115805">
        <w:rPr>
          <w:rFonts w:ascii="Arial" w:hAnsi="Arial" w:cs="Arial"/>
          <w:b w:val="0"/>
          <w:sz w:val="22"/>
          <w:szCs w:val="22"/>
        </w:rPr>
        <w:t xml:space="preserve">yurtdışından </w:t>
      </w:r>
      <w:r w:rsidR="00C4175C" w:rsidRPr="00115805">
        <w:rPr>
          <w:rFonts w:ascii="Arial" w:hAnsi="Arial" w:cs="Arial"/>
          <w:b w:val="0"/>
          <w:sz w:val="22"/>
          <w:szCs w:val="22"/>
        </w:rPr>
        <w:t>alınan krediler</w:t>
      </w:r>
      <w:r w:rsidR="00427CD6" w:rsidRPr="00115805">
        <w:rPr>
          <w:rFonts w:ascii="Arial" w:hAnsi="Arial" w:cs="Arial"/>
          <w:b w:val="0"/>
          <w:sz w:val="22"/>
          <w:szCs w:val="22"/>
        </w:rPr>
        <w:t>,</w:t>
      </w:r>
      <w:r w:rsidRPr="00115805">
        <w:rPr>
          <w:rFonts w:ascii="Arial" w:hAnsi="Arial" w:cs="Arial"/>
          <w:b w:val="0"/>
          <w:sz w:val="22"/>
          <w:szCs w:val="22"/>
        </w:rPr>
        <w:t xml:space="preserve"> repo</w:t>
      </w:r>
      <w:r w:rsidR="0024036D" w:rsidRPr="00115805">
        <w:rPr>
          <w:rFonts w:ascii="Arial" w:hAnsi="Arial" w:cs="Arial"/>
          <w:b w:val="0"/>
          <w:sz w:val="22"/>
          <w:szCs w:val="22"/>
        </w:rPr>
        <w:t xml:space="preserve"> i</w:t>
      </w:r>
      <w:r w:rsidR="00427CD6" w:rsidRPr="00115805">
        <w:rPr>
          <w:rFonts w:ascii="Arial" w:hAnsi="Arial" w:cs="Arial"/>
          <w:b w:val="0"/>
          <w:sz w:val="22"/>
          <w:szCs w:val="22"/>
        </w:rPr>
        <w:t>şlemlerinden sağlanan fonlar ve</w:t>
      </w:r>
      <w:r w:rsidR="0024036D" w:rsidRPr="00115805">
        <w:rPr>
          <w:rFonts w:ascii="Arial" w:hAnsi="Arial" w:cs="Arial"/>
          <w:b w:val="0"/>
          <w:sz w:val="22"/>
          <w:szCs w:val="22"/>
        </w:rPr>
        <w:t xml:space="preserve"> </w:t>
      </w:r>
      <w:r w:rsidR="00427CD6" w:rsidRPr="00115805">
        <w:rPr>
          <w:rFonts w:ascii="Arial" w:hAnsi="Arial" w:cs="Arial"/>
          <w:b w:val="0"/>
          <w:sz w:val="22"/>
          <w:szCs w:val="22"/>
        </w:rPr>
        <w:t>tahvil ihraçlarındaki artış sonucu</w:t>
      </w:r>
      <w:r w:rsidR="003D228A" w:rsidRPr="00115805">
        <w:rPr>
          <w:rFonts w:ascii="Arial" w:hAnsi="Arial" w:cs="Arial"/>
          <w:b w:val="0"/>
          <w:sz w:val="22"/>
          <w:szCs w:val="22"/>
        </w:rPr>
        <w:t xml:space="preserve"> bilançodan daha </w:t>
      </w:r>
      <w:r w:rsidR="00427CD6" w:rsidRPr="00115805">
        <w:rPr>
          <w:rFonts w:ascii="Arial" w:hAnsi="Arial" w:cs="Arial"/>
          <w:b w:val="0"/>
          <w:sz w:val="22"/>
          <w:szCs w:val="22"/>
        </w:rPr>
        <w:t>hızlı</w:t>
      </w:r>
      <w:r w:rsidR="003D228A" w:rsidRPr="00115805">
        <w:rPr>
          <w:rFonts w:ascii="Arial" w:hAnsi="Arial" w:cs="Arial"/>
          <w:b w:val="0"/>
          <w:sz w:val="22"/>
          <w:szCs w:val="22"/>
        </w:rPr>
        <w:t xml:space="preserve"> ve</w:t>
      </w:r>
      <w:r w:rsidR="00BF0D5E" w:rsidRPr="00115805">
        <w:rPr>
          <w:rFonts w:ascii="Arial" w:hAnsi="Arial" w:cs="Arial"/>
          <w:b w:val="0"/>
          <w:sz w:val="22"/>
          <w:szCs w:val="22"/>
        </w:rPr>
        <w:t xml:space="preserve"> </w:t>
      </w:r>
      <w:r w:rsidRPr="00115805">
        <w:rPr>
          <w:rFonts w:ascii="Arial" w:hAnsi="Arial" w:cs="Arial"/>
          <w:b w:val="0"/>
          <w:sz w:val="22"/>
          <w:szCs w:val="22"/>
        </w:rPr>
        <w:t xml:space="preserve">yüzde </w:t>
      </w:r>
      <w:r w:rsidR="00C87E78" w:rsidRPr="00115805">
        <w:rPr>
          <w:rFonts w:ascii="Arial" w:hAnsi="Arial" w:cs="Arial"/>
          <w:b w:val="0"/>
          <w:sz w:val="22"/>
          <w:szCs w:val="22"/>
        </w:rPr>
        <w:t>27</w:t>
      </w:r>
      <w:r w:rsidRPr="00115805">
        <w:rPr>
          <w:rFonts w:ascii="Arial" w:hAnsi="Arial" w:cs="Arial"/>
          <w:b w:val="0"/>
          <w:sz w:val="22"/>
          <w:szCs w:val="22"/>
        </w:rPr>
        <w:t xml:space="preserve"> oranında </w:t>
      </w:r>
      <w:r w:rsidR="003D228A" w:rsidRPr="00115805">
        <w:rPr>
          <w:rFonts w:ascii="Arial" w:hAnsi="Arial" w:cs="Arial"/>
          <w:b w:val="0"/>
          <w:sz w:val="22"/>
          <w:szCs w:val="22"/>
        </w:rPr>
        <w:t>büyümüştür. Mevduat dışı kaynaklar,</w:t>
      </w:r>
      <w:r w:rsidR="00BF0D5E" w:rsidRPr="00115805">
        <w:rPr>
          <w:rFonts w:ascii="Arial" w:hAnsi="Arial" w:cs="Arial"/>
          <w:b w:val="0"/>
          <w:sz w:val="22"/>
          <w:szCs w:val="22"/>
        </w:rPr>
        <w:t xml:space="preserve"> toplam kaynakların yüzde </w:t>
      </w:r>
      <w:r w:rsidR="000D69CF" w:rsidRPr="00115805">
        <w:rPr>
          <w:rFonts w:ascii="Arial" w:hAnsi="Arial" w:cs="Arial"/>
          <w:b w:val="0"/>
          <w:sz w:val="22"/>
          <w:szCs w:val="22"/>
        </w:rPr>
        <w:t>20</w:t>
      </w:r>
      <w:r w:rsidR="00BE3BD4" w:rsidRPr="00115805">
        <w:rPr>
          <w:rFonts w:ascii="Arial" w:hAnsi="Arial" w:cs="Arial"/>
          <w:b w:val="0"/>
          <w:sz w:val="22"/>
          <w:szCs w:val="22"/>
        </w:rPr>
        <w:t>’</w:t>
      </w:r>
      <w:r w:rsidR="000D69CF" w:rsidRPr="00115805">
        <w:rPr>
          <w:rFonts w:ascii="Arial" w:hAnsi="Arial" w:cs="Arial"/>
          <w:b w:val="0"/>
          <w:sz w:val="22"/>
          <w:szCs w:val="22"/>
        </w:rPr>
        <w:t>sini</w:t>
      </w:r>
      <w:r w:rsidR="00BF0D5E" w:rsidRPr="00115805">
        <w:rPr>
          <w:rFonts w:ascii="Arial" w:hAnsi="Arial" w:cs="Arial"/>
          <w:b w:val="0"/>
          <w:sz w:val="22"/>
          <w:szCs w:val="22"/>
        </w:rPr>
        <w:t xml:space="preserve"> oluşturmuştur. </w:t>
      </w:r>
      <w:r w:rsidR="00427CD6" w:rsidRPr="00115805">
        <w:rPr>
          <w:rFonts w:ascii="Arial" w:hAnsi="Arial" w:cs="Arial"/>
          <w:b w:val="0"/>
          <w:sz w:val="22"/>
          <w:szCs w:val="22"/>
        </w:rPr>
        <w:t>Mevduat ve özkaynaklardaki artış hızı bilançodan daha düşük düzeyde gerçekleşmiştir.</w:t>
      </w:r>
      <w:r w:rsidR="005E3060" w:rsidRPr="00115805">
        <w:rPr>
          <w:rFonts w:ascii="Arial" w:hAnsi="Arial" w:cs="Arial"/>
          <w:b w:val="0"/>
          <w:sz w:val="22"/>
          <w:szCs w:val="22"/>
        </w:rPr>
        <w:t xml:space="preserve"> Mevduat dışı kaynaklardaki artışta TL’nin değer kaybı da etkili olmuştur.</w:t>
      </w:r>
    </w:p>
    <w:p w:rsidR="005E3060" w:rsidRPr="00115805" w:rsidRDefault="005E3060" w:rsidP="00373BB1">
      <w:pPr>
        <w:pStyle w:val="Subtitle"/>
        <w:rPr>
          <w:rFonts w:ascii="Arial" w:hAnsi="Arial" w:cs="Arial"/>
          <w:b w:val="0"/>
          <w:sz w:val="22"/>
          <w:szCs w:val="22"/>
        </w:rPr>
      </w:pPr>
    </w:p>
    <w:p w:rsidR="00373BB1" w:rsidRPr="00115805" w:rsidRDefault="00373BB1" w:rsidP="00373BB1">
      <w:pPr>
        <w:pStyle w:val="Subtitle"/>
        <w:jc w:val="center"/>
        <w:rPr>
          <w:rFonts w:ascii="Arial" w:hAnsi="Arial" w:cs="Arial"/>
          <w:szCs w:val="24"/>
        </w:rPr>
      </w:pPr>
      <w:r w:rsidRPr="00115805">
        <w:rPr>
          <w:rFonts w:ascii="Arial" w:hAnsi="Arial" w:cs="Arial"/>
          <w:szCs w:val="24"/>
        </w:rPr>
        <w:t>Seçilmiş Gelir-Gid</w:t>
      </w:r>
      <w:r w:rsidR="00730A05">
        <w:rPr>
          <w:rFonts w:ascii="Arial" w:hAnsi="Arial" w:cs="Arial"/>
          <w:szCs w:val="24"/>
        </w:rPr>
        <w:t>er Dengesi Kalemleri</w:t>
      </w:r>
    </w:p>
    <w:tbl>
      <w:tblPr>
        <w:tblW w:w="5500" w:type="dxa"/>
        <w:jc w:val="center"/>
        <w:tblInd w:w="55" w:type="dxa"/>
        <w:tblCellMar>
          <w:left w:w="70" w:type="dxa"/>
          <w:right w:w="70" w:type="dxa"/>
        </w:tblCellMar>
        <w:tblLook w:val="04A0" w:firstRow="1" w:lastRow="0" w:firstColumn="1" w:lastColumn="0" w:noHBand="0" w:noVBand="1"/>
      </w:tblPr>
      <w:tblGrid>
        <w:gridCol w:w="2665"/>
        <w:gridCol w:w="815"/>
        <w:gridCol w:w="960"/>
        <w:gridCol w:w="1060"/>
      </w:tblGrid>
      <w:tr w:rsidR="00115805" w:rsidRPr="00115805" w:rsidTr="002C3493">
        <w:trPr>
          <w:trHeight w:val="780"/>
          <w:jc w:val="center"/>
        </w:trPr>
        <w:tc>
          <w:tcPr>
            <w:tcW w:w="2665" w:type="dxa"/>
            <w:tcBorders>
              <w:top w:val="nil"/>
              <w:left w:val="nil"/>
              <w:bottom w:val="single" w:sz="8" w:space="0" w:color="auto"/>
              <w:right w:val="nil"/>
            </w:tcBorders>
            <w:shd w:val="clear" w:color="000000" w:fill="FFFFFF"/>
            <w:noWrap/>
            <w:vAlign w:val="center"/>
            <w:hideMark/>
          </w:tcPr>
          <w:p w:rsidR="002C3493" w:rsidRPr="00115805" w:rsidRDefault="002C3493" w:rsidP="002C3493">
            <w:pPr>
              <w:rPr>
                <w:rFonts w:ascii="Arial" w:hAnsi="Arial" w:cs="Arial"/>
                <w:sz w:val="20"/>
                <w:lang w:eastAsia="tr-TR"/>
              </w:rPr>
            </w:pPr>
            <w:r w:rsidRPr="00115805">
              <w:rPr>
                <w:rFonts w:ascii="Arial" w:hAnsi="Arial" w:cs="Arial"/>
                <w:sz w:val="20"/>
                <w:lang w:eastAsia="tr-TR"/>
              </w:rPr>
              <w:t> </w:t>
            </w:r>
            <w:r w:rsidR="00730A05" w:rsidRPr="00730A05">
              <w:rPr>
                <w:rFonts w:ascii="AbakuTLSymSans" w:hAnsi="AbakuTLSymSans" w:cs="Arial"/>
                <w:b/>
                <w:sz w:val="20"/>
                <w:lang w:eastAsia="tr-TR"/>
              </w:rPr>
              <w:t>¨</w:t>
            </w:r>
            <w:r w:rsidR="00730A05">
              <w:rPr>
                <w:rFonts w:ascii="AbakuTLSymSans" w:hAnsi="AbakuTLSymSans" w:cs="Arial"/>
                <w:b/>
                <w:sz w:val="20"/>
                <w:lang w:eastAsia="tr-TR"/>
              </w:rPr>
              <w:t xml:space="preserve"> M</w:t>
            </w:r>
            <w:r w:rsidR="00730A05" w:rsidRPr="00730A05">
              <w:rPr>
                <w:rFonts w:ascii="AbakuTLSymSans" w:hAnsi="AbakuTLSymSans" w:cs="Arial"/>
                <w:b/>
                <w:sz w:val="20"/>
                <w:lang w:eastAsia="tr-TR"/>
              </w:rPr>
              <w:t>ilyon</w:t>
            </w:r>
          </w:p>
        </w:tc>
        <w:tc>
          <w:tcPr>
            <w:tcW w:w="815" w:type="dxa"/>
            <w:tcBorders>
              <w:top w:val="nil"/>
              <w:left w:val="nil"/>
              <w:bottom w:val="single" w:sz="8" w:space="0" w:color="auto"/>
              <w:right w:val="nil"/>
            </w:tcBorders>
            <w:shd w:val="clear" w:color="000000" w:fill="FFFFFF"/>
            <w:noWrap/>
            <w:vAlign w:val="center"/>
            <w:hideMark/>
          </w:tcPr>
          <w:p w:rsidR="002C3493" w:rsidRPr="00115805" w:rsidRDefault="00D67174" w:rsidP="002C3493">
            <w:pPr>
              <w:jc w:val="right"/>
              <w:rPr>
                <w:rFonts w:ascii="Arial" w:hAnsi="Arial" w:cs="Arial"/>
                <w:b/>
                <w:bCs/>
                <w:sz w:val="20"/>
                <w:lang w:eastAsia="tr-TR"/>
              </w:rPr>
            </w:pPr>
            <w:r w:rsidRPr="00115805">
              <w:rPr>
                <w:rFonts w:ascii="Arial" w:hAnsi="Arial" w:cs="Arial"/>
                <w:b/>
                <w:bCs/>
                <w:sz w:val="20"/>
                <w:lang w:eastAsia="tr-TR"/>
              </w:rPr>
              <w:t>Mart 2012</w:t>
            </w:r>
          </w:p>
        </w:tc>
        <w:tc>
          <w:tcPr>
            <w:tcW w:w="960" w:type="dxa"/>
            <w:tcBorders>
              <w:top w:val="nil"/>
              <w:left w:val="nil"/>
              <w:bottom w:val="single" w:sz="8" w:space="0" w:color="auto"/>
              <w:right w:val="nil"/>
            </w:tcBorders>
            <w:shd w:val="clear" w:color="000000" w:fill="FFFFFF"/>
            <w:noWrap/>
            <w:vAlign w:val="center"/>
            <w:hideMark/>
          </w:tcPr>
          <w:p w:rsidR="002C3493" w:rsidRPr="00115805" w:rsidRDefault="00D67174" w:rsidP="002C3493">
            <w:pPr>
              <w:jc w:val="right"/>
              <w:rPr>
                <w:rFonts w:ascii="Arial" w:hAnsi="Arial" w:cs="Arial"/>
                <w:b/>
                <w:bCs/>
                <w:sz w:val="20"/>
                <w:lang w:eastAsia="tr-TR"/>
              </w:rPr>
            </w:pPr>
            <w:r w:rsidRPr="00115805">
              <w:rPr>
                <w:rFonts w:ascii="Arial" w:hAnsi="Arial" w:cs="Arial"/>
                <w:b/>
                <w:bCs/>
                <w:sz w:val="20"/>
                <w:lang w:eastAsia="tr-TR"/>
              </w:rPr>
              <w:t>Mart 2011</w:t>
            </w:r>
          </w:p>
        </w:tc>
        <w:tc>
          <w:tcPr>
            <w:tcW w:w="1060" w:type="dxa"/>
            <w:tcBorders>
              <w:top w:val="nil"/>
              <w:left w:val="nil"/>
              <w:bottom w:val="single" w:sz="8" w:space="0" w:color="auto"/>
              <w:right w:val="nil"/>
            </w:tcBorders>
            <w:shd w:val="clear" w:color="000000" w:fill="FFFFFF"/>
            <w:vAlign w:val="center"/>
            <w:hideMark/>
          </w:tcPr>
          <w:p w:rsidR="002C3493" w:rsidRPr="00115805" w:rsidRDefault="002C3493" w:rsidP="002C3493">
            <w:pPr>
              <w:jc w:val="right"/>
              <w:rPr>
                <w:rFonts w:ascii="Arial" w:hAnsi="Arial" w:cs="Arial"/>
                <w:b/>
                <w:bCs/>
                <w:sz w:val="20"/>
                <w:lang w:eastAsia="tr-TR"/>
              </w:rPr>
            </w:pPr>
            <w:r w:rsidRPr="00115805">
              <w:rPr>
                <w:rFonts w:ascii="Arial" w:hAnsi="Arial" w:cs="Arial"/>
                <w:b/>
                <w:bCs/>
                <w:sz w:val="20"/>
                <w:lang w:eastAsia="tr-TR"/>
              </w:rPr>
              <w:t>Yıllık yüzde değ.</w:t>
            </w:r>
          </w:p>
        </w:tc>
      </w:tr>
      <w:tr w:rsidR="00115805" w:rsidRPr="00115805" w:rsidTr="00DA120F">
        <w:trPr>
          <w:trHeight w:val="255"/>
          <w:jc w:val="center"/>
        </w:trPr>
        <w:tc>
          <w:tcPr>
            <w:tcW w:w="2665" w:type="dxa"/>
            <w:tcBorders>
              <w:top w:val="nil"/>
              <w:left w:val="nil"/>
              <w:bottom w:val="nil"/>
              <w:right w:val="nil"/>
            </w:tcBorders>
            <w:shd w:val="clear" w:color="000000" w:fill="FFFFFF"/>
            <w:noWrap/>
            <w:vAlign w:val="center"/>
            <w:hideMark/>
          </w:tcPr>
          <w:p w:rsidR="00E66459" w:rsidRPr="00115805" w:rsidRDefault="00E66459" w:rsidP="002C3493">
            <w:pPr>
              <w:rPr>
                <w:rFonts w:ascii="Arial" w:hAnsi="Arial" w:cs="Arial"/>
                <w:b/>
                <w:bCs/>
                <w:sz w:val="20"/>
                <w:lang w:eastAsia="tr-TR"/>
              </w:rPr>
            </w:pPr>
            <w:r w:rsidRPr="00115805">
              <w:rPr>
                <w:rFonts w:ascii="Arial" w:hAnsi="Arial" w:cs="Arial"/>
                <w:b/>
                <w:bCs/>
                <w:sz w:val="20"/>
                <w:lang w:eastAsia="tr-TR"/>
              </w:rPr>
              <w:t>Faiz gelirleri</w:t>
            </w:r>
          </w:p>
        </w:tc>
        <w:tc>
          <w:tcPr>
            <w:tcW w:w="815"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19.680</w:t>
            </w:r>
          </w:p>
        </w:tc>
        <w:tc>
          <w:tcPr>
            <w:tcW w:w="9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14.015</w:t>
            </w:r>
          </w:p>
        </w:tc>
        <w:tc>
          <w:tcPr>
            <w:tcW w:w="10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40</w:t>
            </w:r>
          </w:p>
        </w:tc>
      </w:tr>
      <w:tr w:rsidR="00115805" w:rsidRPr="00115805" w:rsidTr="00DA120F">
        <w:trPr>
          <w:trHeight w:val="255"/>
          <w:jc w:val="center"/>
        </w:trPr>
        <w:tc>
          <w:tcPr>
            <w:tcW w:w="2665" w:type="dxa"/>
            <w:tcBorders>
              <w:top w:val="nil"/>
              <w:left w:val="nil"/>
              <w:bottom w:val="nil"/>
              <w:right w:val="nil"/>
            </w:tcBorders>
            <w:shd w:val="clear" w:color="000000" w:fill="FFFFFF"/>
            <w:noWrap/>
            <w:vAlign w:val="center"/>
            <w:hideMark/>
          </w:tcPr>
          <w:p w:rsidR="00E66459" w:rsidRPr="00115805" w:rsidRDefault="00E66459" w:rsidP="002C3493">
            <w:pPr>
              <w:rPr>
                <w:rFonts w:ascii="Arial" w:hAnsi="Arial" w:cs="Arial"/>
                <w:b/>
                <w:bCs/>
                <w:sz w:val="20"/>
                <w:lang w:eastAsia="tr-TR"/>
              </w:rPr>
            </w:pPr>
            <w:r w:rsidRPr="00115805">
              <w:rPr>
                <w:rFonts w:ascii="Arial" w:hAnsi="Arial" w:cs="Arial"/>
                <w:b/>
                <w:bCs/>
                <w:sz w:val="20"/>
                <w:lang w:eastAsia="tr-TR"/>
              </w:rPr>
              <w:t>Faiz giderleri</w:t>
            </w:r>
          </w:p>
        </w:tc>
        <w:tc>
          <w:tcPr>
            <w:tcW w:w="815"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11.175</w:t>
            </w:r>
          </w:p>
        </w:tc>
        <w:tc>
          <w:tcPr>
            <w:tcW w:w="9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7.204</w:t>
            </w:r>
          </w:p>
        </w:tc>
        <w:tc>
          <w:tcPr>
            <w:tcW w:w="10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55</w:t>
            </w:r>
          </w:p>
        </w:tc>
      </w:tr>
      <w:tr w:rsidR="00115805" w:rsidRPr="00115805" w:rsidTr="00DA120F">
        <w:trPr>
          <w:trHeight w:val="255"/>
          <w:jc w:val="center"/>
        </w:trPr>
        <w:tc>
          <w:tcPr>
            <w:tcW w:w="2665" w:type="dxa"/>
            <w:tcBorders>
              <w:top w:val="nil"/>
              <w:left w:val="nil"/>
              <w:bottom w:val="nil"/>
              <w:right w:val="nil"/>
            </w:tcBorders>
            <w:shd w:val="clear" w:color="000000" w:fill="FFFFFF"/>
            <w:noWrap/>
            <w:vAlign w:val="center"/>
            <w:hideMark/>
          </w:tcPr>
          <w:p w:rsidR="00E66459" w:rsidRPr="00115805" w:rsidRDefault="00E66459" w:rsidP="002C3493">
            <w:pPr>
              <w:rPr>
                <w:rFonts w:ascii="Arial" w:hAnsi="Arial" w:cs="Arial"/>
                <w:b/>
                <w:bCs/>
                <w:sz w:val="20"/>
                <w:lang w:eastAsia="tr-TR"/>
              </w:rPr>
            </w:pPr>
            <w:r w:rsidRPr="00115805">
              <w:rPr>
                <w:rFonts w:ascii="Arial" w:hAnsi="Arial" w:cs="Arial"/>
                <w:b/>
                <w:bCs/>
                <w:sz w:val="20"/>
                <w:lang w:eastAsia="tr-TR"/>
              </w:rPr>
              <w:t>Net faiz geliri</w:t>
            </w:r>
          </w:p>
        </w:tc>
        <w:tc>
          <w:tcPr>
            <w:tcW w:w="815"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8.505</w:t>
            </w:r>
          </w:p>
        </w:tc>
        <w:tc>
          <w:tcPr>
            <w:tcW w:w="9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6.811</w:t>
            </w:r>
          </w:p>
        </w:tc>
        <w:tc>
          <w:tcPr>
            <w:tcW w:w="10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25</w:t>
            </w:r>
          </w:p>
        </w:tc>
      </w:tr>
      <w:tr w:rsidR="00115805" w:rsidRPr="00115805" w:rsidTr="00DA120F">
        <w:trPr>
          <w:trHeight w:val="255"/>
          <w:jc w:val="center"/>
        </w:trPr>
        <w:tc>
          <w:tcPr>
            <w:tcW w:w="2665" w:type="dxa"/>
            <w:tcBorders>
              <w:top w:val="nil"/>
              <w:left w:val="nil"/>
              <w:bottom w:val="nil"/>
              <w:right w:val="nil"/>
            </w:tcBorders>
            <w:shd w:val="clear" w:color="000000" w:fill="FFFFFF"/>
            <w:noWrap/>
            <w:vAlign w:val="center"/>
            <w:hideMark/>
          </w:tcPr>
          <w:p w:rsidR="00E66459" w:rsidRPr="00115805" w:rsidRDefault="00E66459" w:rsidP="002C3493">
            <w:pPr>
              <w:rPr>
                <w:rFonts w:ascii="Arial" w:hAnsi="Arial" w:cs="Arial"/>
                <w:b/>
                <w:bCs/>
                <w:sz w:val="20"/>
                <w:lang w:eastAsia="tr-TR"/>
              </w:rPr>
            </w:pPr>
            <w:r w:rsidRPr="00115805">
              <w:rPr>
                <w:rFonts w:ascii="Arial" w:hAnsi="Arial" w:cs="Arial"/>
                <w:b/>
                <w:bCs/>
                <w:sz w:val="20"/>
                <w:lang w:eastAsia="tr-TR"/>
              </w:rPr>
              <w:t>Net ücret ve kom. gelirleri</w:t>
            </w:r>
          </w:p>
        </w:tc>
        <w:tc>
          <w:tcPr>
            <w:tcW w:w="815"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2.424</w:t>
            </w:r>
          </w:p>
        </w:tc>
        <w:tc>
          <w:tcPr>
            <w:tcW w:w="9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2.248</w:t>
            </w:r>
          </w:p>
        </w:tc>
        <w:tc>
          <w:tcPr>
            <w:tcW w:w="10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8</w:t>
            </w:r>
          </w:p>
        </w:tc>
      </w:tr>
      <w:tr w:rsidR="00115805" w:rsidRPr="00115805" w:rsidTr="00DA120F">
        <w:trPr>
          <w:trHeight w:val="255"/>
          <w:jc w:val="center"/>
        </w:trPr>
        <w:tc>
          <w:tcPr>
            <w:tcW w:w="2665" w:type="dxa"/>
            <w:tcBorders>
              <w:top w:val="nil"/>
              <w:left w:val="nil"/>
              <w:bottom w:val="nil"/>
              <w:right w:val="nil"/>
            </w:tcBorders>
            <w:shd w:val="clear" w:color="000000" w:fill="FFFFFF"/>
            <w:noWrap/>
            <w:vAlign w:val="center"/>
            <w:hideMark/>
          </w:tcPr>
          <w:p w:rsidR="00E66459" w:rsidRPr="00115805" w:rsidRDefault="00E66459" w:rsidP="002C3493">
            <w:pPr>
              <w:rPr>
                <w:rFonts w:ascii="Arial" w:hAnsi="Arial" w:cs="Arial"/>
                <w:b/>
                <w:bCs/>
                <w:sz w:val="20"/>
                <w:lang w:eastAsia="tr-TR"/>
              </w:rPr>
            </w:pPr>
            <w:r w:rsidRPr="00115805">
              <w:rPr>
                <w:rFonts w:ascii="Arial" w:hAnsi="Arial" w:cs="Arial"/>
                <w:b/>
                <w:bCs/>
                <w:sz w:val="20"/>
                <w:lang w:eastAsia="tr-TR"/>
              </w:rPr>
              <w:t>Net ticari kar/zarar</w:t>
            </w:r>
          </w:p>
        </w:tc>
        <w:tc>
          <w:tcPr>
            <w:tcW w:w="815"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14</w:t>
            </w:r>
          </w:p>
        </w:tc>
        <w:tc>
          <w:tcPr>
            <w:tcW w:w="9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739</w:t>
            </w:r>
          </w:p>
        </w:tc>
        <w:tc>
          <w:tcPr>
            <w:tcW w:w="10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-98</w:t>
            </w:r>
          </w:p>
        </w:tc>
      </w:tr>
      <w:tr w:rsidR="00115805" w:rsidRPr="00115805" w:rsidTr="00DA120F">
        <w:trPr>
          <w:trHeight w:val="255"/>
          <w:jc w:val="center"/>
        </w:trPr>
        <w:tc>
          <w:tcPr>
            <w:tcW w:w="2665" w:type="dxa"/>
            <w:tcBorders>
              <w:top w:val="nil"/>
              <w:left w:val="nil"/>
              <w:bottom w:val="nil"/>
              <w:right w:val="nil"/>
            </w:tcBorders>
            <w:shd w:val="clear" w:color="000000" w:fill="FFFFFF"/>
            <w:noWrap/>
            <w:vAlign w:val="center"/>
            <w:hideMark/>
          </w:tcPr>
          <w:p w:rsidR="00E66459" w:rsidRPr="00115805" w:rsidRDefault="007F42C1" w:rsidP="002C3493">
            <w:pPr>
              <w:rPr>
                <w:rFonts w:ascii="Arial" w:hAnsi="Arial" w:cs="Arial"/>
                <w:b/>
                <w:bCs/>
                <w:sz w:val="20"/>
                <w:lang w:eastAsia="tr-TR"/>
              </w:rPr>
            </w:pPr>
            <w:r w:rsidRPr="00115805">
              <w:rPr>
                <w:rFonts w:ascii="Arial" w:hAnsi="Arial" w:cs="Arial"/>
                <w:b/>
                <w:bCs/>
                <w:sz w:val="20"/>
                <w:lang w:eastAsia="tr-TR"/>
              </w:rPr>
              <w:t>Diğer faal. g</w:t>
            </w:r>
            <w:r w:rsidR="00E66459" w:rsidRPr="00115805">
              <w:rPr>
                <w:rFonts w:ascii="Arial" w:hAnsi="Arial" w:cs="Arial"/>
                <w:b/>
                <w:bCs/>
                <w:sz w:val="20"/>
                <w:lang w:eastAsia="tr-TR"/>
              </w:rPr>
              <w:t>elirleri</w:t>
            </w:r>
          </w:p>
        </w:tc>
        <w:tc>
          <w:tcPr>
            <w:tcW w:w="815"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1.124</w:t>
            </w:r>
          </w:p>
        </w:tc>
        <w:tc>
          <w:tcPr>
            <w:tcW w:w="9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1.595</w:t>
            </w:r>
          </w:p>
        </w:tc>
        <w:tc>
          <w:tcPr>
            <w:tcW w:w="10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-30</w:t>
            </w:r>
          </w:p>
        </w:tc>
      </w:tr>
      <w:tr w:rsidR="00115805" w:rsidRPr="00115805" w:rsidTr="00DA120F">
        <w:trPr>
          <w:trHeight w:val="255"/>
          <w:jc w:val="center"/>
        </w:trPr>
        <w:tc>
          <w:tcPr>
            <w:tcW w:w="2665" w:type="dxa"/>
            <w:tcBorders>
              <w:top w:val="nil"/>
              <w:left w:val="nil"/>
              <w:bottom w:val="nil"/>
              <w:right w:val="nil"/>
            </w:tcBorders>
            <w:shd w:val="clear" w:color="000000" w:fill="FFFFFF"/>
            <w:noWrap/>
            <w:vAlign w:val="center"/>
            <w:hideMark/>
          </w:tcPr>
          <w:p w:rsidR="00E66459" w:rsidRPr="00115805" w:rsidRDefault="00E66459" w:rsidP="002C3493">
            <w:pPr>
              <w:rPr>
                <w:rFonts w:ascii="Arial" w:hAnsi="Arial" w:cs="Arial"/>
                <w:b/>
                <w:bCs/>
                <w:sz w:val="20"/>
                <w:lang w:eastAsia="tr-TR"/>
              </w:rPr>
            </w:pPr>
            <w:r w:rsidRPr="00115805">
              <w:rPr>
                <w:rFonts w:ascii="Arial" w:hAnsi="Arial" w:cs="Arial"/>
                <w:b/>
                <w:bCs/>
                <w:sz w:val="20"/>
                <w:lang w:eastAsia="tr-TR"/>
              </w:rPr>
              <w:t>Faaliyet gelir/giderleri</w:t>
            </w:r>
          </w:p>
        </w:tc>
        <w:tc>
          <w:tcPr>
            <w:tcW w:w="815"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12.710</w:t>
            </w:r>
          </w:p>
        </w:tc>
        <w:tc>
          <w:tcPr>
            <w:tcW w:w="9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11.761</w:t>
            </w:r>
          </w:p>
        </w:tc>
        <w:tc>
          <w:tcPr>
            <w:tcW w:w="10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8</w:t>
            </w:r>
          </w:p>
        </w:tc>
      </w:tr>
      <w:tr w:rsidR="00115805" w:rsidRPr="00115805" w:rsidTr="00DA120F">
        <w:trPr>
          <w:trHeight w:val="255"/>
          <w:jc w:val="center"/>
        </w:trPr>
        <w:tc>
          <w:tcPr>
            <w:tcW w:w="2665" w:type="dxa"/>
            <w:tcBorders>
              <w:top w:val="nil"/>
              <w:left w:val="nil"/>
              <w:bottom w:val="nil"/>
              <w:right w:val="nil"/>
            </w:tcBorders>
            <w:shd w:val="clear" w:color="000000" w:fill="FFFFFF"/>
            <w:noWrap/>
            <w:vAlign w:val="center"/>
            <w:hideMark/>
          </w:tcPr>
          <w:p w:rsidR="00E66459" w:rsidRPr="00115805" w:rsidRDefault="00E66459" w:rsidP="002C3493">
            <w:pPr>
              <w:rPr>
                <w:rFonts w:ascii="Arial" w:hAnsi="Arial" w:cs="Arial"/>
                <w:b/>
                <w:bCs/>
                <w:sz w:val="20"/>
                <w:lang w:eastAsia="tr-TR"/>
              </w:rPr>
            </w:pPr>
            <w:r w:rsidRPr="00115805">
              <w:rPr>
                <w:rFonts w:ascii="Arial" w:hAnsi="Arial" w:cs="Arial"/>
                <w:b/>
                <w:bCs/>
                <w:sz w:val="20"/>
                <w:lang w:eastAsia="tr-TR"/>
              </w:rPr>
              <w:t>Diğer faal. giderleri</w:t>
            </w:r>
          </w:p>
        </w:tc>
        <w:tc>
          <w:tcPr>
            <w:tcW w:w="815"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5.326</w:t>
            </w:r>
          </w:p>
        </w:tc>
        <w:tc>
          <w:tcPr>
            <w:tcW w:w="9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4.721</w:t>
            </w:r>
          </w:p>
        </w:tc>
        <w:tc>
          <w:tcPr>
            <w:tcW w:w="10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13</w:t>
            </w:r>
          </w:p>
        </w:tc>
      </w:tr>
      <w:tr w:rsidR="00115805" w:rsidRPr="00115805" w:rsidTr="00DA120F">
        <w:trPr>
          <w:trHeight w:val="255"/>
          <w:jc w:val="center"/>
        </w:trPr>
        <w:tc>
          <w:tcPr>
            <w:tcW w:w="2665" w:type="dxa"/>
            <w:tcBorders>
              <w:top w:val="nil"/>
              <w:left w:val="nil"/>
              <w:bottom w:val="nil"/>
              <w:right w:val="nil"/>
            </w:tcBorders>
            <w:shd w:val="clear" w:color="000000" w:fill="FFFFFF"/>
            <w:noWrap/>
            <w:vAlign w:val="center"/>
            <w:hideMark/>
          </w:tcPr>
          <w:p w:rsidR="00E66459" w:rsidRPr="00115805" w:rsidRDefault="00E66459" w:rsidP="002C3493">
            <w:pPr>
              <w:rPr>
                <w:rFonts w:ascii="Arial" w:hAnsi="Arial" w:cs="Arial"/>
                <w:b/>
                <w:bCs/>
                <w:sz w:val="20"/>
                <w:lang w:eastAsia="tr-TR"/>
              </w:rPr>
            </w:pPr>
            <w:r w:rsidRPr="00115805">
              <w:rPr>
                <w:rFonts w:ascii="Arial" w:hAnsi="Arial" w:cs="Arial"/>
                <w:b/>
                <w:bCs/>
                <w:sz w:val="20"/>
                <w:lang w:eastAsia="tr-TR"/>
              </w:rPr>
              <w:t>Net faaliyet karı</w:t>
            </w:r>
          </w:p>
        </w:tc>
        <w:tc>
          <w:tcPr>
            <w:tcW w:w="815"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5.520</w:t>
            </w:r>
          </w:p>
        </w:tc>
        <w:tc>
          <w:tcPr>
            <w:tcW w:w="9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5.393</w:t>
            </w:r>
          </w:p>
        </w:tc>
        <w:tc>
          <w:tcPr>
            <w:tcW w:w="1060" w:type="dxa"/>
            <w:tcBorders>
              <w:top w:val="nil"/>
              <w:left w:val="nil"/>
              <w:bottom w:val="nil"/>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2</w:t>
            </w:r>
          </w:p>
        </w:tc>
      </w:tr>
      <w:tr w:rsidR="00115805" w:rsidRPr="00115805" w:rsidTr="00DA120F">
        <w:trPr>
          <w:trHeight w:val="270"/>
          <w:jc w:val="center"/>
        </w:trPr>
        <w:tc>
          <w:tcPr>
            <w:tcW w:w="2665" w:type="dxa"/>
            <w:tcBorders>
              <w:top w:val="nil"/>
              <w:left w:val="nil"/>
              <w:bottom w:val="single" w:sz="8" w:space="0" w:color="auto"/>
              <w:right w:val="nil"/>
            </w:tcBorders>
            <w:shd w:val="clear" w:color="000000" w:fill="FFFFFF"/>
            <w:noWrap/>
            <w:vAlign w:val="center"/>
            <w:hideMark/>
          </w:tcPr>
          <w:p w:rsidR="00E66459" w:rsidRPr="00115805" w:rsidRDefault="00E66459" w:rsidP="002C3493">
            <w:pPr>
              <w:rPr>
                <w:rFonts w:ascii="Arial" w:hAnsi="Arial" w:cs="Arial"/>
                <w:b/>
                <w:bCs/>
                <w:sz w:val="20"/>
                <w:lang w:eastAsia="tr-TR"/>
              </w:rPr>
            </w:pPr>
            <w:r w:rsidRPr="00115805">
              <w:rPr>
                <w:rFonts w:ascii="Arial" w:hAnsi="Arial" w:cs="Arial"/>
                <w:b/>
                <w:bCs/>
                <w:sz w:val="20"/>
                <w:lang w:eastAsia="tr-TR"/>
              </w:rPr>
              <w:t>Net dönem kar/zararı</w:t>
            </w:r>
          </w:p>
        </w:tc>
        <w:tc>
          <w:tcPr>
            <w:tcW w:w="815" w:type="dxa"/>
            <w:tcBorders>
              <w:top w:val="nil"/>
              <w:left w:val="nil"/>
              <w:bottom w:val="single" w:sz="8" w:space="0" w:color="auto"/>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4.435</w:t>
            </w:r>
          </w:p>
        </w:tc>
        <w:tc>
          <w:tcPr>
            <w:tcW w:w="960" w:type="dxa"/>
            <w:tcBorders>
              <w:top w:val="nil"/>
              <w:left w:val="nil"/>
              <w:bottom w:val="single" w:sz="8" w:space="0" w:color="auto"/>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4.284</w:t>
            </w:r>
          </w:p>
        </w:tc>
        <w:tc>
          <w:tcPr>
            <w:tcW w:w="1060" w:type="dxa"/>
            <w:tcBorders>
              <w:top w:val="nil"/>
              <w:left w:val="nil"/>
              <w:bottom w:val="single" w:sz="8" w:space="0" w:color="auto"/>
              <w:right w:val="nil"/>
            </w:tcBorders>
            <w:shd w:val="clear" w:color="000000" w:fill="FFFFFF"/>
            <w:noWrap/>
            <w:vAlign w:val="bottom"/>
            <w:hideMark/>
          </w:tcPr>
          <w:p w:rsidR="00E66459" w:rsidRPr="00115805" w:rsidRDefault="00E66459" w:rsidP="002C3493">
            <w:pPr>
              <w:jc w:val="right"/>
              <w:rPr>
                <w:rFonts w:ascii="Arial" w:hAnsi="Arial" w:cs="Arial"/>
                <w:sz w:val="20"/>
                <w:lang w:eastAsia="tr-TR"/>
              </w:rPr>
            </w:pPr>
            <w:r w:rsidRPr="00115805">
              <w:rPr>
                <w:rFonts w:ascii="Arial" w:hAnsi="Arial" w:cs="Arial"/>
                <w:sz w:val="20"/>
              </w:rPr>
              <w:t>4</w:t>
            </w:r>
          </w:p>
        </w:tc>
      </w:tr>
    </w:tbl>
    <w:p w:rsidR="00373BB1" w:rsidRPr="00115805" w:rsidRDefault="00373BB1" w:rsidP="00373BB1">
      <w:pPr>
        <w:pStyle w:val="Subtitle"/>
        <w:jc w:val="center"/>
        <w:rPr>
          <w:rFonts w:ascii="Arial" w:hAnsi="Arial" w:cs="Arial"/>
          <w:sz w:val="22"/>
          <w:szCs w:val="22"/>
        </w:rPr>
      </w:pPr>
    </w:p>
    <w:p w:rsidR="005E3060" w:rsidRPr="00115805" w:rsidRDefault="005E3060" w:rsidP="005E3060">
      <w:pPr>
        <w:pStyle w:val="Subtitle"/>
        <w:rPr>
          <w:rFonts w:ascii="Arial" w:hAnsi="Arial" w:cs="Arial"/>
          <w:b w:val="0"/>
          <w:sz w:val="22"/>
          <w:szCs w:val="22"/>
        </w:rPr>
      </w:pPr>
      <w:r w:rsidRPr="00115805">
        <w:rPr>
          <w:rFonts w:ascii="Arial" w:hAnsi="Arial" w:cs="Arial"/>
          <w:b w:val="0"/>
          <w:sz w:val="22"/>
          <w:szCs w:val="22"/>
        </w:rPr>
        <w:t xml:space="preserve">İMKB’de işlem gören mevduat bankalarının özkaynakları </w:t>
      </w:r>
      <w:r w:rsidR="00C87E78" w:rsidRPr="00115805">
        <w:rPr>
          <w:rFonts w:ascii="Arial" w:hAnsi="Arial" w:cs="Arial"/>
          <w:b w:val="0"/>
          <w:sz w:val="22"/>
          <w:szCs w:val="22"/>
        </w:rPr>
        <w:t>Mart 2012</w:t>
      </w:r>
      <w:r w:rsidRPr="00115805">
        <w:rPr>
          <w:rFonts w:ascii="Arial" w:hAnsi="Arial" w:cs="Arial"/>
          <w:b w:val="0"/>
          <w:sz w:val="22"/>
          <w:szCs w:val="22"/>
        </w:rPr>
        <w:t xml:space="preserve"> itibariyle geçen yı</w:t>
      </w:r>
      <w:r w:rsidR="002C3493" w:rsidRPr="00115805">
        <w:rPr>
          <w:rFonts w:ascii="Arial" w:hAnsi="Arial" w:cs="Arial"/>
          <w:b w:val="0"/>
          <w:sz w:val="22"/>
          <w:szCs w:val="22"/>
        </w:rPr>
        <w:t>lın aynı dönemin</w:t>
      </w:r>
      <w:r w:rsidR="00C87E78" w:rsidRPr="00115805">
        <w:rPr>
          <w:rFonts w:ascii="Arial" w:hAnsi="Arial" w:cs="Arial"/>
          <w:b w:val="0"/>
          <w:sz w:val="22"/>
          <w:szCs w:val="22"/>
        </w:rPr>
        <w:t>e göre yüzde 14</w:t>
      </w:r>
      <w:r w:rsidR="002C3493" w:rsidRPr="00115805">
        <w:rPr>
          <w:rFonts w:ascii="Arial" w:hAnsi="Arial" w:cs="Arial"/>
          <w:b w:val="0"/>
          <w:sz w:val="22"/>
          <w:szCs w:val="22"/>
        </w:rPr>
        <w:t xml:space="preserve"> </w:t>
      </w:r>
      <w:r w:rsidRPr="00115805">
        <w:rPr>
          <w:rFonts w:ascii="Arial" w:hAnsi="Arial" w:cs="Arial"/>
          <w:b w:val="0"/>
          <w:sz w:val="22"/>
          <w:szCs w:val="22"/>
        </w:rPr>
        <w:t>oranında artmıştır. Kar yedeklerindeki artış, özkaynak artışını olumlu etkilemiştir. Özkaynakların</w:t>
      </w:r>
      <w:r w:rsidR="00C87E78" w:rsidRPr="00115805">
        <w:rPr>
          <w:rFonts w:ascii="Arial" w:hAnsi="Arial" w:cs="Arial"/>
          <w:b w:val="0"/>
          <w:sz w:val="22"/>
          <w:szCs w:val="22"/>
        </w:rPr>
        <w:t xml:space="preserve"> toplam aktiflere oranı yüzde 12</w:t>
      </w:r>
      <w:r w:rsidRPr="00115805">
        <w:rPr>
          <w:rFonts w:ascii="Arial" w:hAnsi="Arial" w:cs="Arial"/>
          <w:b w:val="0"/>
          <w:sz w:val="22"/>
          <w:szCs w:val="22"/>
        </w:rPr>
        <w:t xml:space="preserve"> düzeyindedir. </w:t>
      </w:r>
    </w:p>
    <w:p w:rsidR="005E3060" w:rsidRPr="00115805" w:rsidRDefault="005E3060" w:rsidP="005E3060">
      <w:pPr>
        <w:pStyle w:val="Subtitle"/>
        <w:rPr>
          <w:rFonts w:ascii="Arial" w:hAnsi="Arial" w:cs="Arial"/>
          <w:b w:val="0"/>
          <w:sz w:val="22"/>
          <w:szCs w:val="22"/>
        </w:rPr>
      </w:pPr>
    </w:p>
    <w:p w:rsidR="005E3060" w:rsidRPr="00115805" w:rsidRDefault="00B632C7" w:rsidP="005E3060">
      <w:pPr>
        <w:pStyle w:val="Subtitle"/>
        <w:rPr>
          <w:rFonts w:ascii="Arial" w:hAnsi="Arial" w:cs="Arial"/>
          <w:b w:val="0"/>
          <w:sz w:val="22"/>
          <w:szCs w:val="22"/>
        </w:rPr>
      </w:pPr>
      <w:r w:rsidRPr="00115805">
        <w:rPr>
          <w:rFonts w:ascii="Arial" w:hAnsi="Arial" w:cs="Arial"/>
          <w:b w:val="0"/>
          <w:sz w:val="22"/>
          <w:szCs w:val="22"/>
        </w:rPr>
        <w:t>Mart 2012</w:t>
      </w:r>
      <w:r w:rsidR="005E3060" w:rsidRPr="00115805">
        <w:rPr>
          <w:rFonts w:ascii="Arial" w:hAnsi="Arial" w:cs="Arial"/>
          <w:b w:val="0"/>
          <w:sz w:val="22"/>
          <w:szCs w:val="22"/>
        </w:rPr>
        <w:t xml:space="preserve"> itibariyle, bir önceki yılın aynı dönemine göre, YP aktiflerin toplam aktifler içi</w:t>
      </w:r>
      <w:r w:rsidRPr="00115805">
        <w:rPr>
          <w:rFonts w:ascii="Arial" w:hAnsi="Arial" w:cs="Arial"/>
          <w:b w:val="0"/>
          <w:sz w:val="22"/>
          <w:szCs w:val="22"/>
        </w:rPr>
        <w:t>ndeki payı yüzde 29’dan yüzde 32</w:t>
      </w:r>
      <w:r w:rsidR="002C3493" w:rsidRPr="00115805">
        <w:rPr>
          <w:rFonts w:ascii="Arial" w:hAnsi="Arial" w:cs="Arial"/>
          <w:b w:val="0"/>
          <w:sz w:val="22"/>
          <w:szCs w:val="22"/>
        </w:rPr>
        <w:t>’</w:t>
      </w:r>
      <w:r w:rsidRPr="00115805">
        <w:rPr>
          <w:rFonts w:ascii="Arial" w:hAnsi="Arial" w:cs="Arial"/>
          <w:b w:val="0"/>
          <w:sz w:val="22"/>
          <w:szCs w:val="22"/>
        </w:rPr>
        <w:t>y</w:t>
      </w:r>
      <w:r w:rsidR="005E3060" w:rsidRPr="00115805">
        <w:rPr>
          <w:rFonts w:ascii="Arial" w:hAnsi="Arial" w:cs="Arial"/>
          <w:b w:val="0"/>
          <w:sz w:val="22"/>
          <w:szCs w:val="22"/>
        </w:rPr>
        <w:t>e artarken, YP pasiflerin toplam pasifler içindek</w:t>
      </w:r>
      <w:r w:rsidRPr="00115805">
        <w:rPr>
          <w:rFonts w:ascii="Arial" w:hAnsi="Arial" w:cs="Arial"/>
          <w:b w:val="0"/>
          <w:sz w:val="22"/>
          <w:szCs w:val="22"/>
        </w:rPr>
        <w:t>i payı ise yüzde 34’ten yüzde 38’e</w:t>
      </w:r>
      <w:r w:rsidR="002C3493" w:rsidRPr="00115805">
        <w:rPr>
          <w:rFonts w:ascii="Arial" w:hAnsi="Arial" w:cs="Arial"/>
          <w:b w:val="0"/>
          <w:sz w:val="22"/>
          <w:szCs w:val="22"/>
        </w:rPr>
        <w:t xml:space="preserve"> </w:t>
      </w:r>
      <w:r w:rsidR="00302CCE" w:rsidRPr="00115805">
        <w:rPr>
          <w:rFonts w:ascii="Arial" w:hAnsi="Arial" w:cs="Arial"/>
          <w:b w:val="0"/>
          <w:sz w:val="22"/>
          <w:szCs w:val="22"/>
        </w:rPr>
        <w:t>yükselmiştir</w:t>
      </w:r>
      <w:r w:rsidR="005E3060" w:rsidRPr="00115805">
        <w:rPr>
          <w:rFonts w:ascii="Arial" w:hAnsi="Arial" w:cs="Arial"/>
          <w:b w:val="0"/>
          <w:sz w:val="22"/>
          <w:szCs w:val="22"/>
        </w:rPr>
        <w:t xml:space="preserve">. </w:t>
      </w:r>
    </w:p>
    <w:p w:rsidR="00234523" w:rsidRPr="00115805" w:rsidRDefault="00234523" w:rsidP="002D67D5">
      <w:pPr>
        <w:pStyle w:val="Subtitle"/>
        <w:rPr>
          <w:rFonts w:ascii="Arial" w:hAnsi="Arial" w:cs="Arial"/>
          <w:b w:val="0"/>
          <w:sz w:val="22"/>
          <w:szCs w:val="22"/>
        </w:rPr>
      </w:pPr>
    </w:p>
    <w:p w:rsidR="002D67D5" w:rsidRPr="00115805" w:rsidRDefault="00B632C7" w:rsidP="002D67D5">
      <w:pPr>
        <w:pStyle w:val="Subtitle"/>
        <w:rPr>
          <w:rFonts w:ascii="Arial" w:hAnsi="Arial" w:cs="Arial"/>
          <w:b w:val="0"/>
          <w:sz w:val="22"/>
          <w:szCs w:val="22"/>
        </w:rPr>
      </w:pPr>
      <w:r w:rsidRPr="00115805">
        <w:rPr>
          <w:rFonts w:ascii="Arial" w:hAnsi="Arial" w:cs="Arial"/>
          <w:b w:val="0"/>
          <w:sz w:val="22"/>
          <w:szCs w:val="22"/>
        </w:rPr>
        <w:t>2012</w:t>
      </w:r>
      <w:r w:rsidR="007C75D5" w:rsidRPr="00115805">
        <w:rPr>
          <w:rFonts w:ascii="Arial" w:hAnsi="Arial" w:cs="Arial"/>
          <w:b w:val="0"/>
          <w:sz w:val="22"/>
          <w:szCs w:val="22"/>
        </w:rPr>
        <w:t xml:space="preserve"> </w:t>
      </w:r>
      <w:r w:rsidRPr="00115805">
        <w:rPr>
          <w:rFonts w:ascii="Arial" w:hAnsi="Arial" w:cs="Arial"/>
          <w:b w:val="0"/>
          <w:sz w:val="22"/>
          <w:szCs w:val="22"/>
        </w:rPr>
        <w:t>yılının ilk çeyreğinde</w:t>
      </w:r>
      <w:r w:rsidR="002D67D5" w:rsidRPr="00115805">
        <w:rPr>
          <w:rFonts w:ascii="Arial" w:hAnsi="Arial" w:cs="Arial"/>
          <w:b w:val="0"/>
          <w:sz w:val="22"/>
          <w:szCs w:val="22"/>
        </w:rPr>
        <w:t xml:space="preserve">, İMKB’de işlem gören mevduat bankalarının faiz gelirleri </w:t>
      </w:r>
      <w:r w:rsidR="00BF0D5E" w:rsidRPr="00115805">
        <w:rPr>
          <w:rFonts w:ascii="Arial" w:hAnsi="Arial" w:cs="Arial"/>
          <w:b w:val="0"/>
          <w:sz w:val="22"/>
          <w:szCs w:val="22"/>
        </w:rPr>
        <w:t xml:space="preserve">yüzde </w:t>
      </w:r>
      <w:r w:rsidR="00956DC6" w:rsidRPr="00115805">
        <w:rPr>
          <w:rFonts w:ascii="Arial" w:hAnsi="Arial" w:cs="Arial"/>
          <w:b w:val="0"/>
          <w:sz w:val="22"/>
          <w:szCs w:val="22"/>
        </w:rPr>
        <w:t>40</w:t>
      </w:r>
      <w:r w:rsidR="00BF0D5E" w:rsidRPr="00115805">
        <w:rPr>
          <w:rFonts w:ascii="Arial" w:hAnsi="Arial" w:cs="Arial"/>
          <w:b w:val="0"/>
          <w:sz w:val="22"/>
          <w:szCs w:val="22"/>
        </w:rPr>
        <w:t xml:space="preserve"> oranında</w:t>
      </w:r>
      <w:r w:rsidR="00FB37B5" w:rsidRPr="00115805">
        <w:rPr>
          <w:rFonts w:ascii="Arial" w:hAnsi="Arial" w:cs="Arial"/>
          <w:b w:val="0"/>
          <w:sz w:val="22"/>
          <w:szCs w:val="22"/>
        </w:rPr>
        <w:t xml:space="preserve"> artarken faiz giderleri</w:t>
      </w:r>
      <w:r w:rsidR="00BF0D5E" w:rsidRPr="00115805">
        <w:rPr>
          <w:rFonts w:ascii="Arial" w:hAnsi="Arial" w:cs="Arial"/>
          <w:b w:val="0"/>
          <w:sz w:val="22"/>
          <w:szCs w:val="22"/>
        </w:rPr>
        <w:t xml:space="preserve"> yüzde </w:t>
      </w:r>
      <w:r w:rsidR="00956DC6" w:rsidRPr="00115805">
        <w:rPr>
          <w:rFonts w:ascii="Arial" w:hAnsi="Arial" w:cs="Arial"/>
          <w:b w:val="0"/>
          <w:sz w:val="22"/>
          <w:szCs w:val="22"/>
        </w:rPr>
        <w:t>55</w:t>
      </w:r>
      <w:r w:rsidR="00BE3BD4" w:rsidRPr="00115805">
        <w:rPr>
          <w:rFonts w:ascii="Arial" w:hAnsi="Arial" w:cs="Arial"/>
          <w:b w:val="0"/>
          <w:sz w:val="22"/>
          <w:szCs w:val="22"/>
        </w:rPr>
        <w:t xml:space="preserve"> </w:t>
      </w:r>
      <w:r w:rsidR="00BF0D5E" w:rsidRPr="00115805">
        <w:rPr>
          <w:rFonts w:ascii="Arial" w:hAnsi="Arial" w:cs="Arial"/>
          <w:b w:val="0"/>
          <w:sz w:val="22"/>
          <w:szCs w:val="22"/>
        </w:rPr>
        <w:t xml:space="preserve">oranında </w:t>
      </w:r>
      <w:r w:rsidR="00473832" w:rsidRPr="00115805">
        <w:rPr>
          <w:rFonts w:ascii="Arial" w:hAnsi="Arial" w:cs="Arial"/>
          <w:b w:val="0"/>
          <w:sz w:val="22"/>
          <w:szCs w:val="22"/>
        </w:rPr>
        <w:t>artmıştır</w:t>
      </w:r>
      <w:r w:rsidR="00BF0D5E" w:rsidRPr="00115805">
        <w:rPr>
          <w:rFonts w:ascii="Arial" w:hAnsi="Arial" w:cs="Arial"/>
          <w:b w:val="0"/>
          <w:sz w:val="22"/>
          <w:szCs w:val="22"/>
        </w:rPr>
        <w:t xml:space="preserve">. Net faiz </w:t>
      </w:r>
      <w:r w:rsidR="00BE3BD4" w:rsidRPr="00115805">
        <w:rPr>
          <w:rFonts w:ascii="Arial" w:hAnsi="Arial" w:cs="Arial"/>
          <w:b w:val="0"/>
          <w:sz w:val="22"/>
          <w:szCs w:val="22"/>
        </w:rPr>
        <w:t>geliri</w:t>
      </w:r>
      <w:r w:rsidR="00BF0D5E" w:rsidRPr="00115805">
        <w:rPr>
          <w:rFonts w:ascii="Arial" w:hAnsi="Arial" w:cs="Arial"/>
          <w:b w:val="0"/>
          <w:sz w:val="22"/>
          <w:szCs w:val="22"/>
        </w:rPr>
        <w:t xml:space="preserve"> </w:t>
      </w:r>
      <w:r w:rsidR="00FB37B5" w:rsidRPr="00115805">
        <w:rPr>
          <w:rFonts w:ascii="Arial" w:hAnsi="Arial" w:cs="Arial"/>
          <w:b w:val="0"/>
          <w:sz w:val="22"/>
          <w:szCs w:val="22"/>
        </w:rPr>
        <w:t xml:space="preserve">ise </w:t>
      </w:r>
      <w:r w:rsidR="00363946" w:rsidRPr="00115805">
        <w:rPr>
          <w:rFonts w:ascii="Arial" w:hAnsi="Arial" w:cs="Arial"/>
          <w:b w:val="0"/>
          <w:sz w:val="22"/>
          <w:szCs w:val="22"/>
        </w:rPr>
        <w:t xml:space="preserve">yüzde </w:t>
      </w:r>
      <w:r w:rsidR="00956DC6" w:rsidRPr="00115805">
        <w:rPr>
          <w:rFonts w:ascii="Arial" w:hAnsi="Arial" w:cs="Arial"/>
          <w:b w:val="0"/>
          <w:sz w:val="22"/>
          <w:szCs w:val="22"/>
        </w:rPr>
        <w:t>25</w:t>
      </w:r>
      <w:r w:rsidR="00DC56DB" w:rsidRPr="00115805">
        <w:rPr>
          <w:rFonts w:ascii="Arial" w:hAnsi="Arial" w:cs="Arial"/>
          <w:b w:val="0"/>
          <w:sz w:val="22"/>
          <w:szCs w:val="22"/>
        </w:rPr>
        <w:t xml:space="preserve"> </w:t>
      </w:r>
      <w:r w:rsidR="00BF0D5E" w:rsidRPr="00115805">
        <w:rPr>
          <w:rFonts w:ascii="Arial" w:hAnsi="Arial" w:cs="Arial"/>
          <w:b w:val="0"/>
          <w:sz w:val="22"/>
          <w:szCs w:val="22"/>
        </w:rPr>
        <w:t xml:space="preserve">oranında </w:t>
      </w:r>
      <w:r w:rsidR="00DC56DB" w:rsidRPr="00115805">
        <w:rPr>
          <w:rFonts w:ascii="Arial" w:hAnsi="Arial" w:cs="Arial"/>
          <w:b w:val="0"/>
          <w:sz w:val="22"/>
          <w:szCs w:val="22"/>
        </w:rPr>
        <w:t>art</w:t>
      </w:r>
      <w:r w:rsidR="009B0203" w:rsidRPr="00115805">
        <w:rPr>
          <w:rFonts w:ascii="Arial" w:hAnsi="Arial" w:cs="Arial"/>
          <w:b w:val="0"/>
          <w:sz w:val="22"/>
          <w:szCs w:val="22"/>
        </w:rPr>
        <w:t>mıştır</w:t>
      </w:r>
      <w:r w:rsidR="00BF0D5E" w:rsidRPr="00115805">
        <w:rPr>
          <w:rFonts w:ascii="Arial" w:hAnsi="Arial" w:cs="Arial"/>
          <w:b w:val="0"/>
          <w:sz w:val="22"/>
          <w:szCs w:val="22"/>
        </w:rPr>
        <w:t xml:space="preserve">. </w:t>
      </w:r>
    </w:p>
    <w:p w:rsidR="004440D6" w:rsidRPr="00115805" w:rsidRDefault="004440D6" w:rsidP="00373BB1">
      <w:pPr>
        <w:pStyle w:val="Subtitle"/>
        <w:rPr>
          <w:rFonts w:ascii="Arial" w:hAnsi="Arial" w:cs="Arial"/>
          <w:b w:val="0"/>
          <w:sz w:val="22"/>
          <w:szCs w:val="22"/>
        </w:rPr>
      </w:pPr>
    </w:p>
    <w:p w:rsidR="00373BB1" w:rsidRPr="00115805" w:rsidRDefault="009E5EED" w:rsidP="00373BB1">
      <w:pPr>
        <w:pStyle w:val="Subtitle"/>
        <w:jc w:val="center"/>
        <w:rPr>
          <w:rFonts w:ascii="Arial" w:hAnsi="Arial" w:cs="Arial"/>
          <w:szCs w:val="24"/>
        </w:rPr>
      </w:pPr>
      <w:r w:rsidRPr="00115805">
        <w:rPr>
          <w:rFonts w:ascii="Arial" w:hAnsi="Arial" w:cs="Arial"/>
          <w:szCs w:val="24"/>
        </w:rPr>
        <w:t>Net Kar (</w:t>
      </w:r>
      <w:r w:rsidR="00730A05" w:rsidRPr="00730A05">
        <w:rPr>
          <w:rFonts w:ascii="AbakuTLSymSans" w:hAnsi="AbakuTLSymSans" w:cs="Arial"/>
          <w:szCs w:val="24"/>
        </w:rPr>
        <w:t xml:space="preserve">¨ </w:t>
      </w:r>
      <w:r w:rsidR="00730A05">
        <w:rPr>
          <w:rFonts w:ascii="Arial" w:hAnsi="Arial" w:cs="Arial"/>
          <w:szCs w:val="24"/>
        </w:rPr>
        <w:t>m</w:t>
      </w:r>
      <w:r w:rsidR="00730A05" w:rsidRPr="00730A05">
        <w:rPr>
          <w:rFonts w:ascii="Arial" w:hAnsi="Arial" w:cs="Arial"/>
          <w:szCs w:val="24"/>
        </w:rPr>
        <w:t>ilyon</w:t>
      </w:r>
      <w:r w:rsidRPr="00115805">
        <w:rPr>
          <w:rFonts w:ascii="Arial" w:hAnsi="Arial" w:cs="Arial"/>
          <w:szCs w:val="24"/>
        </w:rPr>
        <w:t xml:space="preserve">)  ve </w:t>
      </w:r>
      <w:r w:rsidR="00C54487" w:rsidRPr="00115805">
        <w:rPr>
          <w:rFonts w:ascii="Arial" w:hAnsi="Arial" w:cs="Arial"/>
          <w:szCs w:val="24"/>
        </w:rPr>
        <w:t>Özkaynak Karlılığı (y</w:t>
      </w:r>
      <w:r w:rsidR="00373BB1" w:rsidRPr="00115805">
        <w:rPr>
          <w:rFonts w:ascii="Arial" w:hAnsi="Arial" w:cs="Arial"/>
          <w:szCs w:val="24"/>
        </w:rPr>
        <w:t>ıllık</w:t>
      </w:r>
      <w:r w:rsidR="00360C27" w:rsidRPr="00115805">
        <w:rPr>
          <w:rFonts w:ascii="Arial" w:hAnsi="Arial" w:cs="Arial"/>
          <w:szCs w:val="24"/>
        </w:rPr>
        <w:t>, yüzde</w:t>
      </w:r>
      <w:r w:rsidR="00373BB1" w:rsidRPr="00115805">
        <w:rPr>
          <w:rFonts w:ascii="Arial" w:hAnsi="Arial" w:cs="Arial"/>
          <w:szCs w:val="24"/>
        </w:rPr>
        <w:t>)</w:t>
      </w:r>
      <w:r w:rsidRPr="00115805">
        <w:rPr>
          <w:rFonts w:ascii="Arial" w:hAnsi="Arial" w:cs="Arial"/>
          <w:szCs w:val="24"/>
        </w:rPr>
        <w:t xml:space="preserve"> </w:t>
      </w:r>
      <w:r w:rsidR="00C54487" w:rsidRPr="00115805">
        <w:rPr>
          <w:rFonts w:ascii="Arial" w:hAnsi="Arial" w:cs="Arial"/>
          <w:szCs w:val="24"/>
        </w:rPr>
        <w:t xml:space="preserve"> </w:t>
      </w:r>
    </w:p>
    <w:p w:rsidR="00373BB1" w:rsidRPr="00115805" w:rsidRDefault="00C042AF" w:rsidP="00373BB1">
      <w:pPr>
        <w:pStyle w:val="Subtitle"/>
        <w:jc w:val="center"/>
        <w:rPr>
          <w:rFonts w:ascii="Arial" w:hAnsi="Arial" w:cs="Arial"/>
          <w:sz w:val="22"/>
          <w:szCs w:val="22"/>
        </w:rPr>
      </w:pPr>
      <w:r w:rsidRPr="00115805">
        <w:rPr>
          <w:noProof/>
          <w:lang w:eastAsia="ko-KR"/>
        </w:rPr>
        <w:drawing>
          <wp:inline distT="0" distB="0" distL="0" distR="0" wp14:anchorId="7F980663" wp14:editId="18265EBB">
            <wp:extent cx="4970145" cy="2982087"/>
            <wp:effectExtent l="0" t="0" r="20955" b="279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D7755" w:rsidRPr="00115805" w:rsidRDefault="006D7755" w:rsidP="00544DFA">
      <w:pPr>
        <w:pStyle w:val="Subtitle"/>
        <w:rPr>
          <w:rFonts w:ascii="Arial" w:hAnsi="Arial" w:cs="Arial"/>
          <w:szCs w:val="24"/>
        </w:rPr>
      </w:pPr>
    </w:p>
    <w:p w:rsidR="002D67D5" w:rsidRPr="00115805" w:rsidRDefault="007F42C1" w:rsidP="002D67D5">
      <w:pPr>
        <w:pStyle w:val="Subtitle"/>
        <w:rPr>
          <w:rFonts w:ascii="Arial" w:hAnsi="Arial" w:cs="Arial"/>
          <w:b w:val="0"/>
          <w:sz w:val="22"/>
          <w:szCs w:val="22"/>
        </w:rPr>
      </w:pPr>
      <w:r w:rsidRPr="00115805">
        <w:rPr>
          <w:rFonts w:ascii="Arial" w:hAnsi="Arial" w:cs="Arial"/>
          <w:b w:val="0"/>
          <w:sz w:val="22"/>
          <w:szCs w:val="22"/>
        </w:rPr>
        <w:t>Ticari K/Z hesabındaki ve diğer faaliyet gelirlerindeki azalma</w:t>
      </w:r>
      <w:r w:rsidR="000E579E" w:rsidRPr="00115805">
        <w:rPr>
          <w:rFonts w:ascii="Arial" w:hAnsi="Arial" w:cs="Arial"/>
          <w:b w:val="0"/>
          <w:sz w:val="22"/>
          <w:szCs w:val="22"/>
        </w:rPr>
        <w:t xml:space="preserve"> </w:t>
      </w:r>
      <w:r w:rsidRPr="00115805">
        <w:rPr>
          <w:rFonts w:ascii="Arial" w:hAnsi="Arial" w:cs="Arial"/>
          <w:b w:val="0"/>
          <w:sz w:val="22"/>
          <w:szCs w:val="22"/>
        </w:rPr>
        <w:t>ile</w:t>
      </w:r>
      <w:r w:rsidR="000E579E" w:rsidRPr="00115805">
        <w:rPr>
          <w:rFonts w:ascii="Arial" w:hAnsi="Arial" w:cs="Arial"/>
          <w:b w:val="0"/>
          <w:sz w:val="22"/>
          <w:szCs w:val="22"/>
        </w:rPr>
        <w:t xml:space="preserve"> faiz giderlerinin faiz gelirlerinden hızlı artması sonucu,</w:t>
      </w:r>
      <w:r w:rsidR="00397652" w:rsidRPr="00115805">
        <w:rPr>
          <w:rFonts w:ascii="Arial" w:hAnsi="Arial" w:cs="Arial"/>
          <w:b w:val="0"/>
          <w:sz w:val="22"/>
          <w:szCs w:val="22"/>
        </w:rPr>
        <w:t xml:space="preserve"> </w:t>
      </w:r>
      <w:r w:rsidR="000E579E" w:rsidRPr="00115805">
        <w:rPr>
          <w:rFonts w:ascii="Arial" w:hAnsi="Arial" w:cs="Arial"/>
          <w:b w:val="0"/>
          <w:sz w:val="22"/>
          <w:szCs w:val="22"/>
        </w:rPr>
        <w:t>n</w:t>
      </w:r>
      <w:r w:rsidR="00BF0D5E" w:rsidRPr="00115805">
        <w:rPr>
          <w:rFonts w:ascii="Arial" w:hAnsi="Arial" w:cs="Arial"/>
          <w:b w:val="0"/>
          <w:sz w:val="22"/>
          <w:szCs w:val="22"/>
        </w:rPr>
        <w:t>et dönem karı</w:t>
      </w:r>
      <w:r w:rsidRPr="00115805">
        <w:rPr>
          <w:rFonts w:ascii="Arial" w:hAnsi="Arial" w:cs="Arial"/>
          <w:b w:val="0"/>
          <w:sz w:val="22"/>
          <w:szCs w:val="22"/>
        </w:rPr>
        <w:t>ndaki artış;</w:t>
      </w:r>
      <w:r w:rsidR="00BF0D5E" w:rsidRPr="00115805">
        <w:rPr>
          <w:rFonts w:ascii="Arial" w:hAnsi="Arial" w:cs="Arial"/>
          <w:b w:val="0"/>
          <w:sz w:val="22"/>
          <w:szCs w:val="22"/>
        </w:rPr>
        <w:t xml:space="preserve"> </w:t>
      </w:r>
      <w:r w:rsidR="00BE3BD4" w:rsidRPr="00115805">
        <w:rPr>
          <w:rFonts w:ascii="Arial" w:hAnsi="Arial" w:cs="Arial"/>
          <w:b w:val="0"/>
          <w:sz w:val="22"/>
          <w:szCs w:val="22"/>
        </w:rPr>
        <w:t xml:space="preserve">yüzde </w:t>
      </w:r>
      <w:r w:rsidRPr="00115805">
        <w:rPr>
          <w:rFonts w:ascii="Arial" w:hAnsi="Arial" w:cs="Arial"/>
          <w:b w:val="0"/>
          <w:sz w:val="22"/>
          <w:szCs w:val="22"/>
        </w:rPr>
        <w:t>4</w:t>
      </w:r>
      <w:r w:rsidR="00BF0D5E" w:rsidRPr="00115805">
        <w:rPr>
          <w:rFonts w:ascii="Arial" w:hAnsi="Arial" w:cs="Arial"/>
          <w:b w:val="0"/>
          <w:sz w:val="22"/>
          <w:szCs w:val="22"/>
        </w:rPr>
        <w:t xml:space="preserve"> </w:t>
      </w:r>
      <w:r w:rsidRPr="00115805">
        <w:rPr>
          <w:rFonts w:ascii="Arial" w:hAnsi="Arial" w:cs="Arial"/>
          <w:b w:val="0"/>
          <w:sz w:val="22"/>
          <w:szCs w:val="22"/>
        </w:rPr>
        <w:t>ile sınırlı kalmış ve</w:t>
      </w:r>
      <w:r w:rsidR="00BF0D5E" w:rsidRPr="00115805">
        <w:rPr>
          <w:rFonts w:ascii="Arial" w:hAnsi="Arial" w:cs="Arial"/>
          <w:b w:val="0"/>
          <w:sz w:val="22"/>
          <w:szCs w:val="22"/>
        </w:rPr>
        <w:t xml:space="preserve"> </w:t>
      </w:r>
      <w:r w:rsidRPr="00115805">
        <w:rPr>
          <w:rFonts w:ascii="Arial" w:hAnsi="Arial" w:cs="Arial"/>
          <w:b w:val="0"/>
          <w:sz w:val="22"/>
          <w:szCs w:val="22"/>
        </w:rPr>
        <w:t>4</w:t>
      </w:r>
      <w:r w:rsidR="003E1EAF" w:rsidRPr="00115805">
        <w:rPr>
          <w:rFonts w:ascii="Arial" w:hAnsi="Arial" w:cs="Arial"/>
          <w:b w:val="0"/>
          <w:sz w:val="22"/>
          <w:szCs w:val="22"/>
        </w:rPr>
        <w:t>,</w:t>
      </w:r>
      <w:r w:rsidR="006D0795" w:rsidRPr="00115805">
        <w:rPr>
          <w:rFonts w:ascii="Arial" w:hAnsi="Arial" w:cs="Arial"/>
          <w:b w:val="0"/>
          <w:sz w:val="22"/>
          <w:szCs w:val="22"/>
        </w:rPr>
        <w:t>4</w:t>
      </w:r>
      <w:r w:rsidR="00BE3BD4" w:rsidRPr="00115805">
        <w:rPr>
          <w:rFonts w:ascii="Arial" w:hAnsi="Arial" w:cs="Arial"/>
          <w:b w:val="0"/>
          <w:sz w:val="22"/>
          <w:szCs w:val="22"/>
        </w:rPr>
        <w:t xml:space="preserve"> milyar TL</w:t>
      </w:r>
      <w:r w:rsidR="00BF0D5E" w:rsidRPr="00115805">
        <w:rPr>
          <w:rFonts w:ascii="Arial" w:hAnsi="Arial" w:cs="Arial"/>
          <w:b w:val="0"/>
          <w:sz w:val="22"/>
          <w:szCs w:val="22"/>
        </w:rPr>
        <w:t xml:space="preserve"> olmuştur. </w:t>
      </w:r>
      <w:r w:rsidR="003E1EAF" w:rsidRPr="00115805">
        <w:rPr>
          <w:rFonts w:ascii="Arial" w:hAnsi="Arial" w:cs="Arial"/>
          <w:b w:val="0"/>
          <w:sz w:val="22"/>
          <w:szCs w:val="22"/>
        </w:rPr>
        <w:t>Aralık</w:t>
      </w:r>
      <w:r w:rsidR="00C042AF" w:rsidRPr="00115805">
        <w:rPr>
          <w:rFonts w:ascii="Arial" w:hAnsi="Arial" w:cs="Arial"/>
          <w:b w:val="0"/>
          <w:sz w:val="22"/>
          <w:szCs w:val="22"/>
        </w:rPr>
        <w:t xml:space="preserve"> 2011’de</w:t>
      </w:r>
      <w:r w:rsidR="002D67D5" w:rsidRPr="00115805">
        <w:rPr>
          <w:rFonts w:ascii="Arial" w:hAnsi="Arial" w:cs="Arial"/>
          <w:b w:val="0"/>
          <w:sz w:val="22"/>
          <w:szCs w:val="22"/>
        </w:rPr>
        <w:t xml:space="preserve"> yüzde </w:t>
      </w:r>
      <w:r w:rsidR="00A25469" w:rsidRPr="00115805">
        <w:rPr>
          <w:rFonts w:ascii="Arial" w:hAnsi="Arial" w:cs="Arial"/>
          <w:b w:val="0"/>
          <w:sz w:val="22"/>
          <w:szCs w:val="22"/>
        </w:rPr>
        <w:t>1</w:t>
      </w:r>
      <w:r w:rsidR="00C042AF" w:rsidRPr="00115805">
        <w:rPr>
          <w:rFonts w:ascii="Arial" w:hAnsi="Arial" w:cs="Arial"/>
          <w:b w:val="0"/>
          <w:sz w:val="22"/>
          <w:szCs w:val="22"/>
        </w:rPr>
        <w:t>5</w:t>
      </w:r>
      <w:r w:rsidR="003E1EAF" w:rsidRPr="00115805">
        <w:rPr>
          <w:rFonts w:ascii="Arial" w:hAnsi="Arial" w:cs="Arial"/>
          <w:b w:val="0"/>
          <w:sz w:val="22"/>
          <w:szCs w:val="22"/>
        </w:rPr>
        <w:t>,</w:t>
      </w:r>
      <w:r w:rsidR="00C042AF" w:rsidRPr="00115805">
        <w:rPr>
          <w:rFonts w:ascii="Arial" w:hAnsi="Arial" w:cs="Arial"/>
          <w:b w:val="0"/>
          <w:sz w:val="22"/>
          <w:szCs w:val="22"/>
        </w:rPr>
        <w:t>5</w:t>
      </w:r>
      <w:r w:rsidR="006519C2" w:rsidRPr="00115805">
        <w:rPr>
          <w:rFonts w:ascii="Arial" w:hAnsi="Arial" w:cs="Arial"/>
          <w:b w:val="0"/>
          <w:sz w:val="22"/>
          <w:szCs w:val="22"/>
        </w:rPr>
        <w:t xml:space="preserve"> </w:t>
      </w:r>
      <w:r w:rsidR="002D67D5" w:rsidRPr="00115805">
        <w:rPr>
          <w:rFonts w:ascii="Arial" w:hAnsi="Arial" w:cs="Arial"/>
          <w:b w:val="0"/>
          <w:sz w:val="22"/>
          <w:szCs w:val="22"/>
        </w:rPr>
        <w:t xml:space="preserve">olan yıllık bazda özkaynak karlılığı, </w:t>
      </w:r>
      <w:r w:rsidR="00C042AF" w:rsidRPr="00115805">
        <w:rPr>
          <w:rFonts w:ascii="Arial" w:hAnsi="Arial" w:cs="Arial"/>
          <w:b w:val="0"/>
          <w:sz w:val="22"/>
          <w:szCs w:val="22"/>
        </w:rPr>
        <w:t>Mart</w:t>
      </w:r>
      <w:r w:rsidR="00B15CA2" w:rsidRPr="00115805">
        <w:rPr>
          <w:rFonts w:ascii="Arial" w:hAnsi="Arial" w:cs="Arial"/>
          <w:b w:val="0"/>
          <w:sz w:val="22"/>
          <w:szCs w:val="22"/>
        </w:rPr>
        <w:t xml:space="preserve"> </w:t>
      </w:r>
      <w:r w:rsidR="00C042AF" w:rsidRPr="00115805">
        <w:rPr>
          <w:rFonts w:ascii="Arial" w:hAnsi="Arial" w:cs="Arial"/>
          <w:b w:val="0"/>
          <w:sz w:val="22"/>
          <w:szCs w:val="22"/>
        </w:rPr>
        <w:t>2012</w:t>
      </w:r>
      <w:r w:rsidR="003E1EAF" w:rsidRPr="00115805">
        <w:rPr>
          <w:rFonts w:ascii="Arial" w:hAnsi="Arial" w:cs="Arial"/>
          <w:b w:val="0"/>
          <w:sz w:val="22"/>
          <w:szCs w:val="22"/>
        </w:rPr>
        <w:t>’de</w:t>
      </w:r>
      <w:r w:rsidR="00F40DE4" w:rsidRPr="00115805">
        <w:rPr>
          <w:rFonts w:ascii="Arial" w:hAnsi="Arial" w:cs="Arial"/>
          <w:b w:val="0"/>
          <w:sz w:val="22"/>
          <w:szCs w:val="22"/>
        </w:rPr>
        <w:t xml:space="preserve"> yüzde 1</w:t>
      </w:r>
      <w:r w:rsidR="00C042AF" w:rsidRPr="00115805">
        <w:rPr>
          <w:rFonts w:ascii="Arial" w:hAnsi="Arial" w:cs="Arial"/>
          <w:b w:val="0"/>
          <w:sz w:val="22"/>
          <w:szCs w:val="22"/>
        </w:rPr>
        <w:t>4</w:t>
      </w:r>
      <w:r w:rsidR="006519C2" w:rsidRPr="00115805">
        <w:rPr>
          <w:rFonts w:ascii="Arial" w:hAnsi="Arial" w:cs="Arial"/>
          <w:b w:val="0"/>
          <w:sz w:val="22"/>
          <w:szCs w:val="22"/>
        </w:rPr>
        <w:t>,</w:t>
      </w:r>
      <w:r w:rsidR="00C042AF" w:rsidRPr="00115805">
        <w:rPr>
          <w:rFonts w:ascii="Arial" w:hAnsi="Arial" w:cs="Arial"/>
          <w:b w:val="0"/>
          <w:sz w:val="22"/>
          <w:szCs w:val="22"/>
        </w:rPr>
        <w:t>7</w:t>
      </w:r>
      <w:r w:rsidR="003E1EAF" w:rsidRPr="00115805">
        <w:rPr>
          <w:rFonts w:ascii="Arial" w:hAnsi="Arial" w:cs="Arial"/>
          <w:b w:val="0"/>
          <w:sz w:val="22"/>
          <w:szCs w:val="22"/>
        </w:rPr>
        <w:t>’</w:t>
      </w:r>
      <w:r w:rsidR="00C042AF" w:rsidRPr="00115805">
        <w:rPr>
          <w:rFonts w:ascii="Arial" w:hAnsi="Arial" w:cs="Arial"/>
          <w:b w:val="0"/>
          <w:sz w:val="22"/>
          <w:szCs w:val="22"/>
        </w:rPr>
        <w:t>y</w:t>
      </w:r>
      <w:r w:rsidR="00B15CA2" w:rsidRPr="00115805">
        <w:rPr>
          <w:rFonts w:ascii="Arial" w:hAnsi="Arial" w:cs="Arial"/>
          <w:b w:val="0"/>
          <w:sz w:val="22"/>
          <w:szCs w:val="22"/>
        </w:rPr>
        <w:t xml:space="preserve">e </w:t>
      </w:r>
      <w:r w:rsidR="0040598A" w:rsidRPr="00115805">
        <w:rPr>
          <w:rFonts w:ascii="Arial" w:hAnsi="Arial" w:cs="Arial"/>
          <w:b w:val="0"/>
          <w:sz w:val="22"/>
          <w:szCs w:val="22"/>
        </w:rPr>
        <w:t>gerilemiştir</w:t>
      </w:r>
      <w:r w:rsidR="002D67D5" w:rsidRPr="00115805">
        <w:rPr>
          <w:rFonts w:ascii="Arial" w:hAnsi="Arial" w:cs="Arial"/>
          <w:b w:val="0"/>
          <w:sz w:val="22"/>
          <w:szCs w:val="22"/>
        </w:rPr>
        <w:t>.</w:t>
      </w:r>
    </w:p>
    <w:p w:rsidR="005E3060" w:rsidRPr="00115805" w:rsidRDefault="005E3060" w:rsidP="00544DFA">
      <w:pPr>
        <w:pStyle w:val="Subtitle"/>
        <w:rPr>
          <w:rFonts w:ascii="Arial" w:hAnsi="Arial" w:cs="Arial"/>
          <w:b w:val="0"/>
          <w:sz w:val="22"/>
          <w:szCs w:val="22"/>
        </w:rPr>
      </w:pPr>
    </w:p>
    <w:p w:rsidR="00544DFA" w:rsidRPr="00115805" w:rsidRDefault="00D34B4A" w:rsidP="00544DFA">
      <w:pPr>
        <w:pStyle w:val="Subtitle"/>
        <w:rPr>
          <w:rFonts w:ascii="Arial" w:hAnsi="Arial" w:cs="Arial"/>
          <w:szCs w:val="24"/>
        </w:rPr>
      </w:pPr>
      <w:r w:rsidRPr="00115805">
        <w:rPr>
          <w:rFonts w:ascii="Arial" w:hAnsi="Arial" w:cs="Arial"/>
          <w:szCs w:val="24"/>
        </w:rPr>
        <w:t>3</w:t>
      </w:r>
      <w:r w:rsidR="00544DFA" w:rsidRPr="00115805">
        <w:rPr>
          <w:rFonts w:ascii="Arial" w:hAnsi="Arial" w:cs="Arial"/>
          <w:szCs w:val="24"/>
        </w:rPr>
        <w:t>. İMKB’de İşlem Gören Mevduat Bankalarının İMKB İçindeki Yeri</w:t>
      </w:r>
    </w:p>
    <w:p w:rsidR="00544DFA" w:rsidRPr="00115805" w:rsidRDefault="00544DFA" w:rsidP="00544DFA">
      <w:pPr>
        <w:jc w:val="both"/>
        <w:rPr>
          <w:rFonts w:ascii="Arial" w:hAnsi="Arial" w:cs="Arial"/>
          <w:b/>
          <w:sz w:val="22"/>
          <w:szCs w:val="22"/>
        </w:rPr>
      </w:pPr>
    </w:p>
    <w:p w:rsidR="004723E4" w:rsidRPr="00115805" w:rsidRDefault="004723E4" w:rsidP="004723E4">
      <w:pPr>
        <w:pStyle w:val="BodyText"/>
        <w:rPr>
          <w:rFonts w:ascii="Arial" w:hAnsi="Arial" w:cs="Arial"/>
          <w:sz w:val="22"/>
          <w:szCs w:val="22"/>
        </w:rPr>
      </w:pPr>
      <w:r w:rsidRPr="00115805">
        <w:rPr>
          <w:rFonts w:ascii="Arial" w:hAnsi="Arial" w:cs="Arial"/>
          <w:sz w:val="22"/>
          <w:szCs w:val="22"/>
        </w:rPr>
        <w:t xml:space="preserve">İMKB’de işlem gören hisse senetlerinin toplam piyasa değeri, </w:t>
      </w:r>
      <w:r w:rsidR="00AB6F65" w:rsidRPr="00115805">
        <w:rPr>
          <w:rFonts w:ascii="Arial" w:hAnsi="Arial" w:cs="Arial"/>
          <w:sz w:val="22"/>
          <w:szCs w:val="22"/>
        </w:rPr>
        <w:t>Mart 2012</w:t>
      </w:r>
      <w:r w:rsidR="00CA550F" w:rsidRPr="00115805">
        <w:rPr>
          <w:rFonts w:ascii="Arial" w:hAnsi="Arial" w:cs="Arial"/>
          <w:sz w:val="22"/>
          <w:szCs w:val="22"/>
        </w:rPr>
        <w:t xml:space="preserve"> itibariyle </w:t>
      </w:r>
      <w:r w:rsidR="00AB6F65" w:rsidRPr="00115805">
        <w:rPr>
          <w:rFonts w:ascii="Arial" w:hAnsi="Arial" w:cs="Arial"/>
          <w:sz w:val="22"/>
          <w:szCs w:val="22"/>
        </w:rPr>
        <w:t>435</w:t>
      </w:r>
      <w:r w:rsidRPr="00115805">
        <w:rPr>
          <w:rFonts w:ascii="Arial" w:hAnsi="Arial" w:cs="Arial"/>
          <w:sz w:val="22"/>
          <w:szCs w:val="22"/>
        </w:rPr>
        <w:t xml:space="preserve"> milyar TL olarak gerçekleşmiştir. İMKB’de işlem gören </w:t>
      </w:r>
      <w:r w:rsidR="00F126EF" w:rsidRPr="00115805">
        <w:rPr>
          <w:rFonts w:ascii="Arial" w:hAnsi="Arial" w:cs="Arial"/>
          <w:sz w:val="22"/>
          <w:szCs w:val="22"/>
        </w:rPr>
        <w:t>finansal</w:t>
      </w:r>
      <w:r w:rsidRPr="00115805">
        <w:rPr>
          <w:rFonts w:ascii="Arial" w:hAnsi="Arial" w:cs="Arial"/>
          <w:sz w:val="22"/>
          <w:szCs w:val="22"/>
        </w:rPr>
        <w:t xml:space="preserve"> </w:t>
      </w:r>
      <w:r w:rsidR="00F126EF" w:rsidRPr="00115805">
        <w:rPr>
          <w:rFonts w:ascii="Arial" w:hAnsi="Arial" w:cs="Arial"/>
          <w:sz w:val="22"/>
          <w:szCs w:val="22"/>
        </w:rPr>
        <w:t>kurumların</w:t>
      </w:r>
      <w:r w:rsidRPr="00115805">
        <w:rPr>
          <w:rFonts w:ascii="Arial" w:hAnsi="Arial" w:cs="Arial"/>
          <w:sz w:val="22"/>
          <w:szCs w:val="22"/>
        </w:rPr>
        <w:t xml:space="preserve"> piyasa değeri ise </w:t>
      </w:r>
      <w:r w:rsidR="00D761E4" w:rsidRPr="00115805">
        <w:rPr>
          <w:rFonts w:ascii="Arial" w:hAnsi="Arial" w:cs="Arial"/>
          <w:sz w:val="22"/>
          <w:szCs w:val="22"/>
        </w:rPr>
        <w:t>145</w:t>
      </w:r>
      <w:r w:rsidRPr="00115805">
        <w:rPr>
          <w:rFonts w:ascii="Arial" w:hAnsi="Arial" w:cs="Arial"/>
          <w:sz w:val="22"/>
          <w:szCs w:val="22"/>
        </w:rPr>
        <w:t xml:space="preserve"> milyar TL ile</w:t>
      </w:r>
      <w:r w:rsidR="00B742C3" w:rsidRPr="00115805">
        <w:rPr>
          <w:rFonts w:ascii="Arial" w:hAnsi="Arial" w:cs="Arial"/>
          <w:sz w:val="22"/>
          <w:szCs w:val="22"/>
        </w:rPr>
        <w:t xml:space="preserve"> </w:t>
      </w:r>
      <w:r w:rsidR="00D761E4" w:rsidRPr="00115805">
        <w:rPr>
          <w:rFonts w:ascii="Arial" w:hAnsi="Arial" w:cs="Arial"/>
          <w:sz w:val="22"/>
          <w:szCs w:val="22"/>
        </w:rPr>
        <w:t>toplam piyasa değerinin yüzde 33</w:t>
      </w:r>
      <w:r w:rsidR="008D4C84" w:rsidRPr="00115805">
        <w:rPr>
          <w:rFonts w:ascii="Arial" w:hAnsi="Arial" w:cs="Arial"/>
          <w:sz w:val="22"/>
          <w:szCs w:val="22"/>
        </w:rPr>
        <w:t>’</w:t>
      </w:r>
      <w:r w:rsidR="00D761E4" w:rsidRPr="00115805">
        <w:rPr>
          <w:rFonts w:ascii="Arial" w:hAnsi="Arial" w:cs="Arial"/>
          <w:sz w:val="22"/>
          <w:szCs w:val="22"/>
        </w:rPr>
        <w:t>ünü</w:t>
      </w:r>
      <w:r w:rsidRPr="00115805">
        <w:rPr>
          <w:rFonts w:ascii="Arial" w:hAnsi="Arial" w:cs="Arial"/>
          <w:sz w:val="22"/>
          <w:szCs w:val="22"/>
        </w:rPr>
        <w:t xml:space="preserve"> oluşturmuştur.</w:t>
      </w:r>
    </w:p>
    <w:bookmarkEnd w:id="0"/>
    <w:bookmarkEnd w:id="1"/>
    <w:p w:rsidR="00BF0D5E" w:rsidRPr="00801147" w:rsidRDefault="00BF0D5E" w:rsidP="00544DFA">
      <w:pPr>
        <w:pStyle w:val="BodyText"/>
        <w:rPr>
          <w:rFonts w:ascii="Arial" w:hAnsi="Arial" w:cs="Arial"/>
          <w:sz w:val="22"/>
          <w:szCs w:val="22"/>
        </w:rPr>
      </w:pPr>
    </w:p>
    <w:sectPr w:rsidR="00BF0D5E" w:rsidRPr="00801147" w:rsidSect="00D416CA">
      <w:headerReference w:type="default" r:id="rId13"/>
      <w:footerReference w:type="even" r:id="rId14"/>
      <w:footerReference w:type="default" r:id="rId15"/>
      <w:headerReference w:type="first" r:id="rId16"/>
      <w:footerReference w:type="first" r:id="rId17"/>
      <w:pgSz w:w="11909" w:h="16834" w:code="9"/>
      <w:pgMar w:top="2381" w:right="2268" w:bottom="1440" w:left="1814" w:header="1151" w:footer="431" w:gutter="0"/>
      <w:pgNumType w:fmt="lowerRoman"/>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842" w:rsidRDefault="00C22842">
      <w:r>
        <w:separator/>
      </w:r>
    </w:p>
  </w:endnote>
  <w:endnote w:type="continuationSeparator" w:id="0">
    <w:p w:rsidR="00C22842" w:rsidRDefault="00C22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bakuTLSymSans">
    <w:panose1 w:val="02000503000000000000"/>
    <w:charset w:val="A2"/>
    <w:family w:val="auto"/>
    <w:pitch w:val="variable"/>
    <w:sig w:usb0="8000006F" w:usb1="00000100" w:usb2="00000000" w:usb3="00000000" w:csb0="00000013" w:csb1="00000000"/>
  </w:font>
  <w:font w:name="Malgun Gothic">
    <w:altName w:val="맑은 고딕"/>
    <w:panose1 w:val="00000000000000000000"/>
    <w:charset w:val="81"/>
    <w:family w:val="roman"/>
    <w:notTrueType/>
    <w:pitch w:val="default"/>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Default="00D671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7174" w:rsidRDefault="00D671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Pr="00844875" w:rsidRDefault="00D67174" w:rsidP="00D416CA">
    <w:pPr>
      <w:pStyle w:val="Footer"/>
      <w:tabs>
        <w:tab w:val="clear" w:pos="4153"/>
        <w:tab w:val="clear" w:pos="8306"/>
        <w:tab w:val="right" w:pos="7654"/>
      </w:tabs>
      <w:rPr>
        <w:rFonts w:ascii="Arial" w:hAnsi="Arial" w:cs="Arial"/>
        <w:sz w:val="18"/>
        <w:szCs w:val="18"/>
      </w:rPr>
    </w:pPr>
    <w:r w:rsidRPr="001A244F">
      <w:rPr>
        <w:rFonts w:ascii="Arial" w:hAnsi="Arial" w:cs="Arial"/>
        <w:sz w:val="18"/>
      </w:rPr>
      <w:t>TBB/İstatistiki Raporlar/İMKB’de İşlem</w:t>
    </w:r>
    <w:r>
      <w:rPr>
        <w:rFonts w:ascii="Arial" w:hAnsi="Arial" w:cs="Arial"/>
        <w:sz w:val="18"/>
      </w:rPr>
      <w:t xml:space="preserve"> Gören Mevduat Bankaları/Mart 2012</w:t>
    </w:r>
    <w:r>
      <w:rPr>
        <w:sz w:val="18"/>
      </w:rPr>
      <w:tab/>
    </w:r>
    <w:r w:rsidRPr="00844875">
      <w:rPr>
        <w:rFonts w:ascii="Arial" w:hAnsi="Arial" w:cs="Arial"/>
        <w:sz w:val="18"/>
        <w:szCs w:val="18"/>
      </w:rPr>
      <w:fldChar w:fldCharType="begin"/>
    </w:r>
    <w:r w:rsidRPr="00844875">
      <w:rPr>
        <w:rFonts w:ascii="Arial" w:hAnsi="Arial" w:cs="Arial"/>
        <w:sz w:val="18"/>
        <w:szCs w:val="18"/>
      </w:rPr>
      <w:instrText xml:space="preserve"> PAGE  \* MERGEFORMAT </w:instrText>
    </w:r>
    <w:r w:rsidRPr="00844875">
      <w:rPr>
        <w:rFonts w:ascii="Arial" w:hAnsi="Arial" w:cs="Arial"/>
        <w:sz w:val="18"/>
        <w:szCs w:val="18"/>
      </w:rPr>
      <w:fldChar w:fldCharType="separate"/>
    </w:r>
    <w:r w:rsidR="009661E7">
      <w:rPr>
        <w:rFonts w:ascii="Arial" w:hAnsi="Arial" w:cs="Arial"/>
        <w:noProof/>
        <w:sz w:val="18"/>
        <w:szCs w:val="18"/>
      </w:rPr>
      <w:t>iii</w:t>
    </w:r>
    <w:r w:rsidRPr="00844875">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Default="00D67174">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842" w:rsidRDefault="00C22842">
      <w:r>
        <w:separator/>
      </w:r>
    </w:p>
  </w:footnote>
  <w:footnote w:type="continuationSeparator" w:id="0">
    <w:p w:rsidR="00C22842" w:rsidRDefault="00C22842">
      <w:r>
        <w:continuationSeparator/>
      </w:r>
    </w:p>
  </w:footnote>
  <w:footnote w:id="1">
    <w:p w:rsidR="00D67174" w:rsidRPr="003F0F3C" w:rsidRDefault="00D67174" w:rsidP="00075F33">
      <w:pPr>
        <w:pStyle w:val="FootnoteText"/>
        <w:jc w:val="both"/>
        <w:rPr>
          <w:rFonts w:ascii="Arial" w:hAnsi="Arial" w:cs="Arial"/>
          <w:sz w:val="18"/>
          <w:szCs w:val="18"/>
        </w:rPr>
      </w:pPr>
      <w:r w:rsidRPr="003F0F3C">
        <w:rPr>
          <w:rStyle w:val="FootnoteReference"/>
          <w:rFonts w:ascii="Arial" w:hAnsi="Arial" w:cs="Arial"/>
          <w:sz w:val="18"/>
          <w:szCs w:val="18"/>
        </w:rPr>
        <w:footnoteRef/>
      </w:r>
      <w:r w:rsidRPr="003F0F3C">
        <w:rPr>
          <w:rFonts w:ascii="Arial" w:hAnsi="Arial" w:cs="Arial"/>
          <w:sz w:val="18"/>
          <w:szCs w:val="18"/>
        </w:rPr>
        <w:t xml:space="preserve"> Akbank T.A.Ş., Alternatifbank A.Ş., Denizbank A.Ş., Finans Bank A.Ş., Şekerbank T.A.Ş., Tekstil Bankası A.Ş., Türk Ekonomi Bankası A.Ş., Türkiye Halk Bankası, Türkiye Garanti Bankası A.Ş., Türkiye İş Bankası A.Ş., Türkiye Vakıflar Bankası T.A.O. ve Yapı ve Kredi Bankası A.Ş.’yi kapsamaktadır.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Default="00D67174">
    <w:pPr>
      <w:pStyle w:val="Header"/>
    </w:pPr>
    <w:r>
      <w:rPr>
        <w:noProof/>
        <w:lang w:eastAsia="ko-KR"/>
      </w:rPr>
      <w:drawing>
        <wp:anchor distT="0" distB="0" distL="114300" distR="114300" simplePos="0" relativeHeight="251657216" behindDoc="0" locked="0" layoutInCell="1" allowOverlap="1" wp14:anchorId="6BEC361E" wp14:editId="0053EFA7">
          <wp:simplePos x="0" y="0"/>
          <wp:positionH relativeFrom="page">
            <wp:posOffset>6364605</wp:posOffset>
          </wp:positionH>
          <wp:positionV relativeFrom="page">
            <wp:posOffset>302260</wp:posOffset>
          </wp:positionV>
          <wp:extent cx="913130" cy="929005"/>
          <wp:effectExtent l="0" t="0" r="1270" b="4445"/>
          <wp:wrapSquare wrapText="bothSides"/>
          <wp:docPr id="1" name="Picture 1"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174" w:rsidRDefault="00D67174">
    <w:pPr>
      <w:pStyle w:val="Header"/>
    </w:pPr>
    <w:r>
      <w:rPr>
        <w:noProof/>
        <w:lang w:eastAsia="ko-KR"/>
      </w:rPr>
      <w:drawing>
        <wp:anchor distT="0" distB="0" distL="114300" distR="114300" simplePos="0" relativeHeight="251658240" behindDoc="0" locked="0" layoutInCell="1" allowOverlap="1" wp14:anchorId="5FE50067" wp14:editId="23A05E1F">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914D8"/>
    <w:multiLevelType w:val="hybridMultilevel"/>
    <w:tmpl w:val="177C6CD4"/>
    <w:lvl w:ilvl="0" w:tplc="7C88EE0C">
      <w:start w:val="1"/>
      <w:numFmt w:val="lowerLetter"/>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7F400CD2"/>
    <w:multiLevelType w:val="singleLevel"/>
    <w:tmpl w:val="0C090015"/>
    <w:lvl w:ilvl="0">
      <w:start w:val="1"/>
      <w:numFmt w:val="upperLetter"/>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CFD"/>
    <w:rsid w:val="0000316F"/>
    <w:rsid w:val="000048EE"/>
    <w:rsid w:val="00005663"/>
    <w:rsid w:val="00007C73"/>
    <w:rsid w:val="00015229"/>
    <w:rsid w:val="000160AA"/>
    <w:rsid w:val="00017575"/>
    <w:rsid w:val="00017BEA"/>
    <w:rsid w:val="00023A2D"/>
    <w:rsid w:val="00024E29"/>
    <w:rsid w:val="00027542"/>
    <w:rsid w:val="0003146D"/>
    <w:rsid w:val="000337BE"/>
    <w:rsid w:val="000344BC"/>
    <w:rsid w:val="0004336A"/>
    <w:rsid w:val="000574D1"/>
    <w:rsid w:val="00063F82"/>
    <w:rsid w:val="000640D8"/>
    <w:rsid w:val="00072EDD"/>
    <w:rsid w:val="00073A4F"/>
    <w:rsid w:val="000743BF"/>
    <w:rsid w:val="000753A7"/>
    <w:rsid w:val="00075F33"/>
    <w:rsid w:val="000763B6"/>
    <w:rsid w:val="0007772D"/>
    <w:rsid w:val="00081D6C"/>
    <w:rsid w:val="00090CBF"/>
    <w:rsid w:val="00097808"/>
    <w:rsid w:val="000A2B7A"/>
    <w:rsid w:val="000A7B3A"/>
    <w:rsid w:val="000B2996"/>
    <w:rsid w:val="000B3C9F"/>
    <w:rsid w:val="000B457C"/>
    <w:rsid w:val="000C48B2"/>
    <w:rsid w:val="000C58D6"/>
    <w:rsid w:val="000C5A0D"/>
    <w:rsid w:val="000C6659"/>
    <w:rsid w:val="000C77B2"/>
    <w:rsid w:val="000D45AA"/>
    <w:rsid w:val="000D52E7"/>
    <w:rsid w:val="000D69CF"/>
    <w:rsid w:val="000E1FA2"/>
    <w:rsid w:val="000E31B4"/>
    <w:rsid w:val="000E425B"/>
    <w:rsid w:val="000E43C9"/>
    <w:rsid w:val="000E459B"/>
    <w:rsid w:val="000E579E"/>
    <w:rsid w:val="000E7B3E"/>
    <w:rsid w:val="000F0B1A"/>
    <w:rsid w:val="000F4A30"/>
    <w:rsid w:val="001010F3"/>
    <w:rsid w:val="00101C9A"/>
    <w:rsid w:val="001068D7"/>
    <w:rsid w:val="00107091"/>
    <w:rsid w:val="00107DCC"/>
    <w:rsid w:val="00110161"/>
    <w:rsid w:val="0011151D"/>
    <w:rsid w:val="00114B6D"/>
    <w:rsid w:val="00115805"/>
    <w:rsid w:val="00124FC3"/>
    <w:rsid w:val="001262FB"/>
    <w:rsid w:val="001275AA"/>
    <w:rsid w:val="00130CEF"/>
    <w:rsid w:val="00131033"/>
    <w:rsid w:val="00137C05"/>
    <w:rsid w:val="00140928"/>
    <w:rsid w:val="00142011"/>
    <w:rsid w:val="00144589"/>
    <w:rsid w:val="00146BE4"/>
    <w:rsid w:val="001515D7"/>
    <w:rsid w:val="0015577B"/>
    <w:rsid w:val="00161692"/>
    <w:rsid w:val="00163489"/>
    <w:rsid w:val="00167BF5"/>
    <w:rsid w:val="00170249"/>
    <w:rsid w:val="00171AFF"/>
    <w:rsid w:val="001764FA"/>
    <w:rsid w:val="00182B7E"/>
    <w:rsid w:val="0019190C"/>
    <w:rsid w:val="00193AE4"/>
    <w:rsid w:val="001953FE"/>
    <w:rsid w:val="001977CB"/>
    <w:rsid w:val="001A1722"/>
    <w:rsid w:val="001A2807"/>
    <w:rsid w:val="001A480C"/>
    <w:rsid w:val="001A566B"/>
    <w:rsid w:val="001B6DFA"/>
    <w:rsid w:val="001B7094"/>
    <w:rsid w:val="001C1071"/>
    <w:rsid w:val="001C2060"/>
    <w:rsid w:val="001C4C1E"/>
    <w:rsid w:val="001C6FB7"/>
    <w:rsid w:val="001C736E"/>
    <w:rsid w:val="001D000A"/>
    <w:rsid w:val="001D314E"/>
    <w:rsid w:val="001D3843"/>
    <w:rsid w:val="001D4937"/>
    <w:rsid w:val="001D540E"/>
    <w:rsid w:val="001D7456"/>
    <w:rsid w:val="001E1B4B"/>
    <w:rsid w:val="001E4CF9"/>
    <w:rsid w:val="001E5DA7"/>
    <w:rsid w:val="001E6811"/>
    <w:rsid w:val="001F3908"/>
    <w:rsid w:val="001F7734"/>
    <w:rsid w:val="001F7FCE"/>
    <w:rsid w:val="002004E8"/>
    <w:rsid w:val="0020749D"/>
    <w:rsid w:val="0021271F"/>
    <w:rsid w:val="002159C0"/>
    <w:rsid w:val="00217C37"/>
    <w:rsid w:val="00220627"/>
    <w:rsid w:val="002248F2"/>
    <w:rsid w:val="00225B06"/>
    <w:rsid w:val="00225EB5"/>
    <w:rsid w:val="00227388"/>
    <w:rsid w:val="00234523"/>
    <w:rsid w:val="00234AAA"/>
    <w:rsid w:val="0024036D"/>
    <w:rsid w:val="00240E2F"/>
    <w:rsid w:val="00245CC4"/>
    <w:rsid w:val="00246E5F"/>
    <w:rsid w:val="00247827"/>
    <w:rsid w:val="00250E81"/>
    <w:rsid w:val="002621F6"/>
    <w:rsid w:val="002625DF"/>
    <w:rsid w:val="00267D7A"/>
    <w:rsid w:val="002702F1"/>
    <w:rsid w:val="00271995"/>
    <w:rsid w:val="00277452"/>
    <w:rsid w:val="002775E7"/>
    <w:rsid w:val="00280A9B"/>
    <w:rsid w:val="002830E0"/>
    <w:rsid w:val="002848B2"/>
    <w:rsid w:val="00287873"/>
    <w:rsid w:val="00290CE8"/>
    <w:rsid w:val="002929E9"/>
    <w:rsid w:val="002960D3"/>
    <w:rsid w:val="002A6334"/>
    <w:rsid w:val="002A7A15"/>
    <w:rsid w:val="002B4074"/>
    <w:rsid w:val="002B53F5"/>
    <w:rsid w:val="002B77EB"/>
    <w:rsid w:val="002C3493"/>
    <w:rsid w:val="002C4D8D"/>
    <w:rsid w:val="002C5CF5"/>
    <w:rsid w:val="002D3D2B"/>
    <w:rsid w:val="002D4536"/>
    <w:rsid w:val="002D67D5"/>
    <w:rsid w:val="002E0926"/>
    <w:rsid w:val="002E17DE"/>
    <w:rsid w:val="002F0DE6"/>
    <w:rsid w:val="002F7D49"/>
    <w:rsid w:val="00301D46"/>
    <w:rsid w:val="00302CCE"/>
    <w:rsid w:val="0030479B"/>
    <w:rsid w:val="003075F6"/>
    <w:rsid w:val="00307B97"/>
    <w:rsid w:val="0031205E"/>
    <w:rsid w:val="00315135"/>
    <w:rsid w:val="00315335"/>
    <w:rsid w:val="00315958"/>
    <w:rsid w:val="00315AD0"/>
    <w:rsid w:val="00317443"/>
    <w:rsid w:val="00317FA3"/>
    <w:rsid w:val="00320222"/>
    <w:rsid w:val="00321866"/>
    <w:rsid w:val="00327D4B"/>
    <w:rsid w:val="00334EF7"/>
    <w:rsid w:val="0033616B"/>
    <w:rsid w:val="00337F0C"/>
    <w:rsid w:val="00342E54"/>
    <w:rsid w:val="00346032"/>
    <w:rsid w:val="0034670B"/>
    <w:rsid w:val="00350D30"/>
    <w:rsid w:val="00350F98"/>
    <w:rsid w:val="00352EFE"/>
    <w:rsid w:val="00360C27"/>
    <w:rsid w:val="00360E6D"/>
    <w:rsid w:val="00362F2D"/>
    <w:rsid w:val="003637A6"/>
    <w:rsid w:val="00363946"/>
    <w:rsid w:val="00373BB1"/>
    <w:rsid w:val="00374986"/>
    <w:rsid w:val="00376A74"/>
    <w:rsid w:val="00381E6B"/>
    <w:rsid w:val="00382FF2"/>
    <w:rsid w:val="00386F3C"/>
    <w:rsid w:val="0038766A"/>
    <w:rsid w:val="00395635"/>
    <w:rsid w:val="0039711C"/>
    <w:rsid w:val="00397652"/>
    <w:rsid w:val="003A0244"/>
    <w:rsid w:val="003A0730"/>
    <w:rsid w:val="003A4E37"/>
    <w:rsid w:val="003A6021"/>
    <w:rsid w:val="003B3D8F"/>
    <w:rsid w:val="003B4FEB"/>
    <w:rsid w:val="003B6F11"/>
    <w:rsid w:val="003B7153"/>
    <w:rsid w:val="003B72EF"/>
    <w:rsid w:val="003C2ACB"/>
    <w:rsid w:val="003C5895"/>
    <w:rsid w:val="003C7686"/>
    <w:rsid w:val="003D0039"/>
    <w:rsid w:val="003D1BA8"/>
    <w:rsid w:val="003D228A"/>
    <w:rsid w:val="003D26BC"/>
    <w:rsid w:val="003D609E"/>
    <w:rsid w:val="003D74DC"/>
    <w:rsid w:val="003E0518"/>
    <w:rsid w:val="003E1EAF"/>
    <w:rsid w:val="003E27BA"/>
    <w:rsid w:val="003E599F"/>
    <w:rsid w:val="003E680C"/>
    <w:rsid w:val="003E7674"/>
    <w:rsid w:val="003F0E68"/>
    <w:rsid w:val="003F0F3C"/>
    <w:rsid w:val="003F1484"/>
    <w:rsid w:val="003F7079"/>
    <w:rsid w:val="0040004D"/>
    <w:rsid w:val="0040598A"/>
    <w:rsid w:val="00406991"/>
    <w:rsid w:val="0041278D"/>
    <w:rsid w:val="004134BC"/>
    <w:rsid w:val="004273E6"/>
    <w:rsid w:val="00427CD6"/>
    <w:rsid w:val="0043294B"/>
    <w:rsid w:val="004354F1"/>
    <w:rsid w:val="00440BBF"/>
    <w:rsid w:val="004440D6"/>
    <w:rsid w:val="00445E33"/>
    <w:rsid w:val="00451471"/>
    <w:rsid w:val="00451750"/>
    <w:rsid w:val="00454D3F"/>
    <w:rsid w:val="00457F1E"/>
    <w:rsid w:val="00457F61"/>
    <w:rsid w:val="00460AAF"/>
    <w:rsid w:val="00462761"/>
    <w:rsid w:val="004635A9"/>
    <w:rsid w:val="00463FB0"/>
    <w:rsid w:val="00467373"/>
    <w:rsid w:val="004723E4"/>
    <w:rsid w:val="00472DE7"/>
    <w:rsid w:val="0047341C"/>
    <w:rsid w:val="00473832"/>
    <w:rsid w:val="0047445A"/>
    <w:rsid w:val="00484BB9"/>
    <w:rsid w:val="00487C88"/>
    <w:rsid w:val="00487FC8"/>
    <w:rsid w:val="00492E36"/>
    <w:rsid w:val="004A042C"/>
    <w:rsid w:val="004A1BBA"/>
    <w:rsid w:val="004B19F7"/>
    <w:rsid w:val="004B1E2A"/>
    <w:rsid w:val="004B3375"/>
    <w:rsid w:val="004B3FB7"/>
    <w:rsid w:val="004B4D0D"/>
    <w:rsid w:val="004B547B"/>
    <w:rsid w:val="004B6E31"/>
    <w:rsid w:val="004C374A"/>
    <w:rsid w:val="004C419B"/>
    <w:rsid w:val="004D17D7"/>
    <w:rsid w:val="004E0368"/>
    <w:rsid w:val="004E1FDB"/>
    <w:rsid w:val="004E3BB6"/>
    <w:rsid w:val="004F4F22"/>
    <w:rsid w:val="004F7254"/>
    <w:rsid w:val="00511F4E"/>
    <w:rsid w:val="00514D84"/>
    <w:rsid w:val="00531A2F"/>
    <w:rsid w:val="00532BF8"/>
    <w:rsid w:val="005332F9"/>
    <w:rsid w:val="00536383"/>
    <w:rsid w:val="00542284"/>
    <w:rsid w:val="00543ABE"/>
    <w:rsid w:val="00543E90"/>
    <w:rsid w:val="00544DFA"/>
    <w:rsid w:val="0054720B"/>
    <w:rsid w:val="0055363E"/>
    <w:rsid w:val="0055481A"/>
    <w:rsid w:val="00555638"/>
    <w:rsid w:val="005561ED"/>
    <w:rsid w:val="005629AB"/>
    <w:rsid w:val="0056307D"/>
    <w:rsid w:val="005655E6"/>
    <w:rsid w:val="00565B0B"/>
    <w:rsid w:val="005670AF"/>
    <w:rsid w:val="00567171"/>
    <w:rsid w:val="005730C3"/>
    <w:rsid w:val="005757BA"/>
    <w:rsid w:val="00576AF6"/>
    <w:rsid w:val="00580A13"/>
    <w:rsid w:val="0058353E"/>
    <w:rsid w:val="005839EF"/>
    <w:rsid w:val="00583A9A"/>
    <w:rsid w:val="00584765"/>
    <w:rsid w:val="00587DD8"/>
    <w:rsid w:val="005927DF"/>
    <w:rsid w:val="005A4254"/>
    <w:rsid w:val="005A7FAF"/>
    <w:rsid w:val="005B14F4"/>
    <w:rsid w:val="005B1D48"/>
    <w:rsid w:val="005B2EDB"/>
    <w:rsid w:val="005B54D6"/>
    <w:rsid w:val="005B5E79"/>
    <w:rsid w:val="005B61D6"/>
    <w:rsid w:val="005C0915"/>
    <w:rsid w:val="005C1C6E"/>
    <w:rsid w:val="005C39DE"/>
    <w:rsid w:val="005D427A"/>
    <w:rsid w:val="005E0EB8"/>
    <w:rsid w:val="005E3060"/>
    <w:rsid w:val="005F01B0"/>
    <w:rsid w:val="005F0384"/>
    <w:rsid w:val="005F0E0B"/>
    <w:rsid w:val="005F4C1C"/>
    <w:rsid w:val="005F72BB"/>
    <w:rsid w:val="00601214"/>
    <w:rsid w:val="00604D62"/>
    <w:rsid w:val="00607CE2"/>
    <w:rsid w:val="00613C90"/>
    <w:rsid w:val="0061706E"/>
    <w:rsid w:val="00622936"/>
    <w:rsid w:val="00622C1C"/>
    <w:rsid w:val="006240D7"/>
    <w:rsid w:val="00624300"/>
    <w:rsid w:val="00631227"/>
    <w:rsid w:val="006316BD"/>
    <w:rsid w:val="00633BD7"/>
    <w:rsid w:val="00635323"/>
    <w:rsid w:val="00650D5B"/>
    <w:rsid w:val="00650F04"/>
    <w:rsid w:val="006519C2"/>
    <w:rsid w:val="00652C94"/>
    <w:rsid w:val="006538FE"/>
    <w:rsid w:val="00653CB7"/>
    <w:rsid w:val="00660DE2"/>
    <w:rsid w:val="00662973"/>
    <w:rsid w:val="00663612"/>
    <w:rsid w:val="00663701"/>
    <w:rsid w:val="006666DC"/>
    <w:rsid w:val="00671B49"/>
    <w:rsid w:val="00673DB8"/>
    <w:rsid w:val="006748F4"/>
    <w:rsid w:val="00675097"/>
    <w:rsid w:val="006762F3"/>
    <w:rsid w:val="00677FE2"/>
    <w:rsid w:val="006806F9"/>
    <w:rsid w:val="0068501C"/>
    <w:rsid w:val="00685C31"/>
    <w:rsid w:val="006861E6"/>
    <w:rsid w:val="00693E45"/>
    <w:rsid w:val="00694405"/>
    <w:rsid w:val="00694C70"/>
    <w:rsid w:val="006A016C"/>
    <w:rsid w:val="006A1A36"/>
    <w:rsid w:val="006A7A07"/>
    <w:rsid w:val="006B0957"/>
    <w:rsid w:val="006C04AC"/>
    <w:rsid w:val="006C11B5"/>
    <w:rsid w:val="006C75F2"/>
    <w:rsid w:val="006D04A6"/>
    <w:rsid w:val="006D0795"/>
    <w:rsid w:val="006D2832"/>
    <w:rsid w:val="006D4F86"/>
    <w:rsid w:val="006D6768"/>
    <w:rsid w:val="006D6BCC"/>
    <w:rsid w:val="006D733A"/>
    <w:rsid w:val="006D7755"/>
    <w:rsid w:val="006E12D0"/>
    <w:rsid w:val="006E6316"/>
    <w:rsid w:val="006F056E"/>
    <w:rsid w:val="006F17C4"/>
    <w:rsid w:val="006F493A"/>
    <w:rsid w:val="006F6C51"/>
    <w:rsid w:val="00701A22"/>
    <w:rsid w:val="00702446"/>
    <w:rsid w:val="007060EC"/>
    <w:rsid w:val="0071029A"/>
    <w:rsid w:val="00710A75"/>
    <w:rsid w:val="007144E6"/>
    <w:rsid w:val="00716A11"/>
    <w:rsid w:val="00716CE3"/>
    <w:rsid w:val="007176B4"/>
    <w:rsid w:val="00722B3D"/>
    <w:rsid w:val="00723864"/>
    <w:rsid w:val="00724768"/>
    <w:rsid w:val="0072482D"/>
    <w:rsid w:val="0072503B"/>
    <w:rsid w:val="007257BA"/>
    <w:rsid w:val="0072627E"/>
    <w:rsid w:val="0072685A"/>
    <w:rsid w:val="007277F2"/>
    <w:rsid w:val="00730A05"/>
    <w:rsid w:val="00732510"/>
    <w:rsid w:val="00733010"/>
    <w:rsid w:val="007346BC"/>
    <w:rsid w:val="00736A95"/>
    <w:rsid w:val="00742AD6"/>
    <w:rsid w:val="00743F56"/>
    <w:rsid w:val="00751096"/>
    <w:rsid w:val="007526A6"/>
    <w:rsid w:val="00757819"/>
    <w:rsid w:val="00765702"/>
    <w:rsid w:val="00765E41"/>
    <w:rsid w:val="00767684"/>
    <w:rsid w:val="00774B2C"/>
    <w:rsid w:val="00784D68"/>
    <w:rsid w:val="00786776"/>
    <w:rsid w:val="00791989"/>
    <w:rsid w:val="00792B0A"/>
    <w:rsid w:val="00795D68"/>
    <w:rsid w:val="007B0CE3"/>
    <w:rsid w:val="007B11CE"/>
    <w:rsid w:val="007B11F3"/>
    <w:rsid w:val="007B13AA"/>
    <w:rsid w:val="007B191A"/>
    <w:rsid w:val="007B3A2E"/>
    <w:rsid w:val="007B4606"/>
    <w:rsid w:val="007B4EF0"/>
    <w:rsid w:val="007B6614"/>
    <w:rsid w:val="007C1F90"/>
    <w:rsid w:val="007C2015"/>
    <w:rsid w:val="007C30CC"/>
    <w:rsid w:val="007C42D3"/>
    <w:rsid w:val="007C6358"/>
    <w:rsid w:val="007C73CA"/>
    <w:rsid w:val="007C75D5"/>
    <w:rsid w:val="007D2FB0"/>
    <w:rsid w:val="007E071E"/>
    <w:rsid w:val="007E218B"/>
    <w:rsid w:val="007E3EA2"/>
    <w:rsid w:val="007E57A0"/>
    <w:rsid w:val="007E671B"/>
    <w:rsid w:val="007E7DAD"/>
    <w:rsid w:val="007F03E6"/>
    <w:rsid w:val="007F42C1"/>
    <w:rsid w:val="007F6160"/>
    <w:rsid w:val="007F7F67"/>
    <w:rsid w:val="00801147"/>
    <w:rsid w:val="0080576E"/>
    <w:rsid w:val="00811630"/>
    <w:rsid w:val="00813B8E"/>
    <w:rsid w:val="008304B1"/>
    <w:rsid w:val="00831576"/>
    <w:rsid w:val="00834723"/>
    <w:rsid w:val="00834737"/>
    <w:rsid w:val="0084013E"/>
    <w:rsid w:val="00840356"/>
    <w:rsid w:val="008403AA"/>
    <w:rsid w:val="008418B2"/>
    <w:rsid w:val="00843E2B"/>
    <w:rsid w:val="0084434D"/>
    <w:rsid w:val="00844875"/>
    <w:rsid w:val="00845952"/>
    <w:rsid w:val="00850D17"/>
    <w:rsid w:val="00851D99"/>
    <w:rsid w:val="00855D97"/>
    <w:rsid w:val="00867B10"/>
    <w:rsid w:val="0087259E"/>
    <w:rsid w:val="00872982"/>
    <w:rsid w:val="00874202"/>
    <w:rsid w:val="00877572"/>
    <w:rsid w:val="00884CB2"/>
    <w:rsid w:val="00890481"/>
    <w:rsid w:val="00890E03"/>
    <w:rsid w:val="00893E30"/>
    <w:rsid w:val="0089784F"/>
    <w:rsid w:val="008A0D0F"/>
    <w:rsid w:val="008A4022"/>
    <w:rsid w:val="008A6B52"/>
    <w:rsid w:val="008C0257"/>
    <w:rsid w:val="008C174E"/>
    <w:rsid w:val="008C1FD7"/>
    <w:rsid w:val="008C2207"/>
    <w:rsid w:val="008C3674"/>
    <w:rsid w:val="008C41A8"/>
    <w:rsid w:val="008D1382"/>
    <w:rsid w:val="008D29B8"/>
    <w:rsid w:val="008D4C84"/>
    <w:rsid w:val="008E5308"/>
    <w:rsid w:val="008F2B54"/>
    <w:rsid w:val="008F2E71"/>
    <w:rsid w:val="008F7061"/>
    <w:rsid w:val="008F75AD"/>
    <w:rsid w:val="0090400E"/>
    <w:rsid w:val="00906BC7"/>
    <w:rsid w:val="00910F92"/>
    <w:rsid w:val="0091223E"/>
    <w:rsid w:val="0091288A"/>
    <w:rsid w:val="00913B76"/>
    <w:rsid w:val="009150E3"/>
    <w:rsid w:val="009179D1"/>
    <w:rsid w:val="0092329B"/>
    <w:rsid w:val="0093150B"/>
    <w:rsid w:val="009319BA"/>
    <w:rsid w:val="00932962"/>
    <w:rsid w:val="00936D80"/>
    <w:rsid w:val="00937621"/>
    <w:rsid w:val="009401B4"/>
    <w:rsid w:val="00940B06"/>
    <w:rsid w:val="00950618"/>
    <w:rsid w:val="0095204E"/>
    <w:rsid w:val="00955785"/>
    <w:rsid w:val="00955947"/>
    <w:rsid w:val="00956DC6"/>
    <w:rsid w:val="00957ECC"/>
    <w:rsid w:val="00960151"/>
    <w:rsid w:val="00960646"/>
    <w:rsid w:val="009661E7"/>
    <w:rsid w:val="00967398"/>
    <w:rsid w:val="009707A7"/>
    <w:rsid w:val="009733EB"/>
    <w:rsid w:val="00973A72"/>
    <w:rsid w:val="0097402E"/>
    <w:rsid w:val="009749DA"/>
    <w:rsid w:val="00976BE4"/>
    <w:rsid w:val="009852C9"/>
    <w:rsid w:val="009863CA"/>
    <w:rsid w:val="009905A9"/>
    <w:rsid w:val="0099182F"/>
    <w:rsid w:val="00993FC7"/>
    <w:rsid w:val="0099647E"/>
    <w:rsid w:val="009A7CAD"/>
    <w:rsid w:val="009B0203"/>
    <w:rsid w:val="009B173E"/>
    <w:rsid w:val="009B2BEA"/>
    <w:rsid w:val="009B3345"/>
    <w:rsid w:val="009B41BA"/>
    <w:rsid w:val="009B6491"/>
    <w:rsid w:val="009B6493"/>
    <w:rsid w:val="009B6763"/>
    <w:rsid w:val="009C6D05"/>
    <w:rsid w:val="009C70AD"/>
    <w:rsid w:val="009D0E3A"/>
    <w:rsid w:val="009D3197"/>
    <w:rsid w:val="009D3B74"/>
    <w:rsid w:val="009D54F6"/>
    <w:rsid w:val="009D7997"/>
    <w:rsid w:val="009E5EED"/>
    <w:rsid w:val="009E660C"/>
    <w:rsid w:val="009E6D57"/>
    <w:rsid w:val="009F29D7"/>
    <w:rsid w:val="009F3297"/>
    <w:rsid w:val="009F6D60"/>
    <w:rsid w:val="00A01208"/>
    <w:rsid w:val="00A05A4D"/>
    <w:rsid w:val="00A0764C"/>
    <w:rsid w:val="00A122C3"/>
    <w:rsid w:val="00A14997"/>
    <w:rsid w:val="00A24D51"/>
    <w:rsid w:val="00A25469"/>
    <w:rsid w:val="00A2732B"/>
    <w:rsid w:val="00A36F63"/>
    <w:rsid w:val="00A42DBC"/>
    <w:rsid w:val="00A435E0"/>
    <w:rsid w:val="00A44544"/>
    <w:rsid w:val="00A463F1"/>
    <w:rsid w:val="00A500B7"/>
    <w:rsid w:val="00A62C5D"/>
    <w:rsid w:val="00A62E4D"/>
    <w:rsid w:val="00A6488F"/>
    <w:rsid w:val="00A66235"/>
    <w:rsid w:val="00A66CD2"/>
    <w:rsid w:val="00A67558"/>
    <w:rsid w:val="00A714AD"/>
    <w:rsid w:val="00A73280"/>
    <w:rsid w:val="00A76ABA"/>
    <w:rsid w:val="00A80D41"/>
    <w:rsid w:val="00A83135"/>
    <w:rsid w:val="00A84A39"/>
    <w:rsid w:val="00A863A2"/>
    <w:rsid w:val="00A92925"/>
    <w:rsid w:val="00A94D4B"/>
    <w:rsid w:val="00A96553"/>
    <w:rsid w:val="00A97252"/>
    <w:rsid w:val="00A97969"/>
    <w:rsid w:val="00AA1A38"/>
    <w:rsid w:val="00AA3C83"/>
    <w:rsid w:val="00AA524B"/>
    <w:rsid w:val="00AA6DA4"/>
    <w:rsid w:val="00AB545C"/>
    <w:rsid w:val="00AB6F65"/>
    <w:rsid w:val="00AB770B"/>
    <w:rsid w:val="00AC226D"/>
    <w:rsid w:val="00AC43E1"/>
    <w:rsid w:val="00AC67A3"/>
    <w:rsid w:val="00AC7B6E"/>
    <w:rsid w:val="00AD1B45"/>
    <w:rsid w:val="00AE117C"/>
    <w:rsid w:val="00AE2535"/>
    <w:rsid w:val="00AE4EAD"/>
    <w:rsid w:val="00AE5A13"/>
    <w:rsid w:val="00AF0BD3"/>
    <w:rsid w:val="00AF2370"/>
    <w:rsid w:val="00AF3F96"/>
    <w:rsid w:val="00B01F34"/>
    <w:rsid w:val="00B02377"/>
    <w:rsid w:val="00B05DA4"/>
    <w:rsid w:val="00B10A83"/>
    <w:rsid w:val="00B11478"/>
    <w:rsid w:val="00B13103"/>
    <w:rsid w:val="00B15CA2"/>
    <w:rsid w:val="00B175AF"/>
    <w:rsid w:val="00B24EE3"/>
    <w:rsid w:val="00B25FE4"/>
    <w:rsid w:val="00B30C60"/>
    <w:rsid w:val="00B35CE2"/>
    <w:rsid w:val="00B41AFA"/>
    <w:rsid w:val="00B427EF"/>
    <w:rsid w:val="00B42E24"/>
    <w:rsid w:val="00B4452B"/>
    <w:rsid w:val="00B53222"/>
    <w:rsid w:val="00B56E20"/>
    <w:rsid w:val="00B608E4"/>
    <w:rsid w:val="00B632C7"/>
    <w:rsid w:val="00B6431E"/>
    <w:rsid w:val="00B6783A"/>
    <w:rsid w:val="00B67849"/>
    <w:rsid w:val="00B71373"/>
    <w:rsid w:val="00B73E73"/>
    <w:rsid w:val="00B742C3"/>
    <w:rsid w:val="00B775DF"/>
    <w:rsid w:val="00B809DB"/>
    <w:rsid w:val="00B85D10"/>
    <w:rsid w:val="00B867F7"/>
    <w:rsid w:val="00B911BA"/>
    <w:rsid w:val="00B931E6"/>
    <w:rsid w:val="00B94D13"/>
    <w:rsid w:val="00BA2261"/>
    <w:rsid w:val="00BA3413"/>
    <w:rsid w:val="00BA4EBE"/>
    <w:rsid w:val="00BA6E43"/>
    <w:rsid w:val="00BB0AB2"/>
    <w:rsid w:val="00BB2C5D"/>
    <w:rsid w:val="00BB37FC"/>
    <w:rsid w:val="00BB474C"/>
    <w:rsid w:val="00BB5E88"/>
    <w:rsid w:val="00BC4874"/>
    <w:rsid w:val="00BC5E9F"/>
    <w:rsid w:val="00BC5F85"/>
    <w:rsid w:val="00BD5083"/>
    <w:rsid w:val="00BD5C13"/>
    <w:rsid w:val="00BD7CD3"/>
    <w:rsid w:val="00BE3BD4"/>
    <w:rsid w:val="00BE49AF"/>
    <w:rsid w:val="00BE4CFD"/>
    <w:rsid w:val="00BE504A"/>
    <w:rsid w:val="00BF033E"/>
    <w:rsid w:val="00BF0D5E"/>
    <w:rsid w:val="00BF0FE8"/>
    <w:rsid w:val="00BF52C6"/>
    <w:rsid w:val="00BF579B"/>
    <w:rsid w:val="00C042AF"/>
    <w:rsid w:val="00C0479F"/>
    <w:rsid w:val="00C12525"/>
    <w:rsid w:val="00C17DA3"/>
    <w:rsid w:val="00C22842"/>
    <w:rsid w:val="00C23974"/>
    <w:rsid w:val="00C2508B"/>
    <w:rsid w:val="00C25D29"/>
    <w:rsid w:val="00C261E5"/>
    <w:rsid w:val="00C270D2"/>
    <w:rsid w:val="00C3577A"/>
    <w:rsid w:val="00C379B4"/>
    <w:rsid w:val="00C4175C"/>
    <w:rsid w:val="00C41FF2"/>
    <w:rsid w:val="00C45413"/>
    <w:rsid w:val="00C54487"/>
    <w:rsid w:val="00C54AD7"/>
    <w:rsid w:val="00C577D3"/>
    <w:rsid w:val="00C61B4B"/>
    <w:rsid w:val="00C61FB1"/>
    <w:rsid w:val="00C65B99"/>
    <w:rsid w:val="00C71218"/>
    <w:rsid w:val="00C71B5D"/>
    <w:rsid w:val="00C72888"/>
    <w:rsid w:val="00C80B1F"/>
    <w:rsid w:val="00C869C6"/>
    <w:rsid w:val="00C87E78"/>
    <w:rsid w:val="00C920D2"/>
    <w:rsid w:val="00C93DD5"/>
    <w:rsid w:val="00C941CA"/>
    <w:rsid w:val="00C953EA"/>
    <w:rsid w:val="00CA03A2"/>
    <w:rsid w:val="00CA1084"/>
    <w:rsid w:val="00CA32CB"/>
    <w:rsid w:val="00CA550F"/>
    <w:rsid w:val="00CB0D2A"/>
    <w:rsid w:val="00CB10CB"/>
    <w:rsid w:val="00CB420D"/>
    <w:rsid w:val="00CB5334"/>
    <w:rsid w:val="00CB671B"/>
    <w:rsid w:val="00CB7D19"/>
    <w:rsid w:val="00CB7FF1"/>
    <w:rsid w:val="00CC15FB"/>
    <w:rsid w:val="00CC1E01"/>
    <w:rsid w:val="00CC3554"/>
    <w:rsid w:val="00CC49EC"/>
    <w:rsid w:val="00CC725E"/>
    <w:rsid w:val="00CD2354"/>
    <w:rsid w:val="00CD24F7"/>
    <w:rsid w:val="00CD3D7F"/>
    <w:rsid w:val="00CE5D93"/>
    <w:rsid w:val="00CE6C62"/>
    <w:rsid w:val="00CF0EAF"/>
    <w:rsid w:val="00CF739C"/>
    <w:rsid w:val="00D02D13"/>
    <w:rsid w:val="00D107E7"/>
    <w:rsid w:val="00D10A14"/>
    <w:rsid w:val="00D11ABF"/>
    <w:rsid w:val="00D13E15"/>
    <w:rsid w:val="00D2086F"/>
    <w:rsid w:val="00D221E5"/>
    <w:rsid w:val="00D232E8"/>
    <w:rsid w:val="00D2408C"/>
    <w:rsid w:val="00D273D3"/>
    <w:rsid w:val="00D34200"/>
    <w:rsid w:val="00D34B4A"/>
    <w:rsid w:val="00D34C56"/>
    <w:rsid w:val="00D36EFC"/>
    <w:rsid w:val="00D3737A"/>
    <w:rsid w:val="00D37E9A"/>
    <w:rsid w:val="00D416CA"/>
    <w:rsid w:val="00D42E73"/>
    <w:rsid w:val="00D43C3E"/>
    <w:rsid w:val="00D461A9"/>
    <w:rsid w:val="00D52921"/>
    <w:rsid w:val="00D62069"/>
    <w:rsid w:val="00D67174"/>
    <w:rsid w:val="00D7259F"/>
    <w:rsid w:val="00D734D4"/>
    <w:rsid w:val="00D740D5"/>
    <w:rsid w:val="00D74A37"/>
    <w:rsid w:val="00D761E4"/>
    <w:rsid w:val="00D9128E"/>
    <w:rsid w:val="00D925C2"/>
    <w:rsid w:val="00D92991"/>
    <w:rsid w:val="00D9497C"/>
    <w:rsid w:val="00DA7EE4"/>
    <w:rsid w:val="00DB0928"/>
    <w:rsid w:val="00DB21FB"/>
    <w:rsid w:val="00DB4801"/>
    <w:rsid w:val="00DB7EFE"/>
    <w:rsid w:val="00DC56DB"/>
    <w:rsid w:val="00DD370F"/>
    <w:rsid w:val="00DE2198"/>
    <w:rsid w:val="00DF162A"/>
    <w:rsid w:val="00DF1951"/>
    <w:rsid w:val="00DF1B81"/>
    <w:rsid w:val="00DF263C"/>
    <w:rsid w:val="00E11872"/>
    <w:rsid w:val="00E12BD0"/>
    <w:rsid w:val="00E14996"/>
    <w:rsid w:val="00E1777D"/>
    <w:rsid w:val="00E179AA"/>
    <w:rsid w:val="00E21974"/>
    <w:rsid w:val="00E24314"/>
    <w:rsid w:val="00E310DC"/>
    <w:rsid w:val="00E32589"/>
    <w:rsid w:val="00E33476"/>
    <w:rsid w:val="00E36303"/>
    <w:rsid w:val="00E41042"/>
    <w:rsid w:val="00E41A64"/>
    <w:rsid w:val="00E43392"/>
    <w:rsid w:val="00E4362A"/>
    <w:rsid w:val="00E4511B"/>
    <w:rsid w:val="00E47799"/>
    <w:rsid w:val="00E52525"/>
    <w:rsid w:val="00E55209"/>
    <w:rsid w:val="00E56CEB"/>
    <w:rsid w:val="00E57C01"/>
    <w:rsid w:val="00E60031"/>
    <w:rsid w:val="00E6049F"/>
    <w:rsid w:val="00E60B1D"/>
    <w:rsid w:val="00E66459"/>
    <w:rsid w:val="00E668C2"/>
    <w:rsid w:val="00E70480"/>
    <w:rsid w:val="00E755AB"/>
    <w:rsid w:val="00E75CAF"/>
    <w:rsid w:val="00E80E69"/>
    <w:rsid w:val="00E849EF"/>
    <w:rsid w:val="00E87FD3"/>
    <w:rsid w:val="00E90843"/>
    <w:rsid w:val="00E94C57"/>
    <w:rsid w:val="00E9647E"/>
    <w:rsid w:val="00E97AAB"/>
    <w:rsid w:val="00EA07E8"/>
    <w:rsid w:val="00EA1B94"/>
    <w:rsid w:val="00EA1FC5"/>
    <w:rsid w:val="00EB3B9B"/>
    <w:rsid w:val="00EB7CA0"/>
    <w:rsid w:val="00EC16EE"/>
    <w:rsid w:val="00EC75A1"/>
    <w:rsid w:val="00EE1D99"/>
    <w:rsid w:val="00EE1EC3"/>
    <w:rsid w:val="00EE25FA"/>
    <w:rsid w:val="00EE45F2"/>
    <w:rsid w:val="00EE68A9"/>
    <w:rsid w:val="00EF3D70"/>
    <w:rsid w:val="00F0278F"/>
    <w:rsid w:val="00F02A42"/>
    <w:rsid w:val="00F067BC"/>
    <w:rsid w:val="00F126EF"/>
    <w:rsid w:val="00F12A0D"/>
    <w:rsid w:val="00F1364A"/>
    <w:rsid w:val="00F16D4F"/>
    <w:rsid w:val="00F233FE"/>
    <w:rsid w:val="00F254B1"/>
    <w:rsid w:val="00F313B2"/>
    <w:rsid w:val="00F33313"/>
    <w:rsid w:val="00F40DE4"/>
    <w:rsid w:val="00F43E87"/>
    <w:rsid w:val="00F46A0E"/>
    <w:rsid w:val="00F551A4"/>
    <w:rsid w:val="00F558F6"/>
    <w:rsid w:val="00F562D5"/>
    <w:rsid w:val="00F56EB9"/>
    <w:rsid w:val="00F57209"/>
    <w:rsid w:val="00F57FA2"/>
    <w:rsid w:val="00F62A14"/>
    <w:rsid w:val="00F6578E"/>
    <w:rsid w:val="00F66807"/>
    <w:rsid w:val="00F70358"/>
    <w:rsid w:val="00F726EC"/>
    <w:rsid w:val="00F7337D"/>
    <w:rsid w:val="00F73B6B"/>
    <w:rsid w:val="00F74FD3"/>
    <w:rsid w:val="00F81C5A"/>
    <w:rsid w:val="00F82854"/>
    <w:rsid w:val="00F82D51"/>
    <w:rsid w:val="00F84087"/>
    <w:rsid w:val="00F93D60"/>
    <w:rsid w:val="00F9423D"/>
    <w:rsid w:val="00F97DB3"/>
    <w:rsid w:val="00F97F87"/>
    <w:rsid w:val="00FA0013"/>
    <w:rsid w:val="00FA124C"/>
    <w:rsid w:val="00FA19FA"/>
    <w:rsid w:val="00FA2F7C"/>
    <w:rsid w:val="00FA4B77"/>
    <w:rsid w:val="00FA6B31"/>
    <w:rsid w:val="00FB031D"/>
    <w:rsid w:val="00FB059E"/>
    <w:rsid w:val="00FB294C"/>
    <w:rsid w:val="00FB3582"/>
    <w:rsid w:val="00FB37B5"/>
    <w:rsid w:val="00FC00BB"/>
    <w:rsid w:val="00FC3EB0"/>
    <w:rsid w:val="00FC5E7D"/>
    <w:rsid w:val="00FC6353"/>
    <w:rsid w:val="00FD0371"/>
    <w:rsid w:val="00FD0F53"/>
    <w:rsid w:val="00FD2431"/>
    <w:rsid w:val="00FE4D3C"/>
    <w:rsid w:val="00FF186E"/>
    <w:rsid w:val="00FF1DA8"/>
    <w:rsid w:val="00FF3446"/>
  </w:rsids>
  <m:mathPr>
    <m:mathFont m:val="Cambria Math"/>
    <m:brkBin m:val="before"/>
    <m:brkBinSub m:val="--"/>
    <m:smallFrac m:val="0"/>
    <m:dispDef/>
    <m:lMargin m:val="0"/>
    <m:rMargin m:val="0"/>
    <m:defJc m:val="centerGroup"/>
    <m:wrapIndent m:val="1440"/>
    <m:intLim m:val="subSup"/>
    <m:naryLim m:val="undOvr"/>
  </m:mathPr>
  <w:themeFontLang w:val="tr-T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5329">
      <w:bodyDiv w:val="1"/>
      <w:marLeft w:val="0"/>
      <w:marRight w:val="0"/>
      <w:marTop w:val="0"/>
      <w:marBottom w:val="0"/>
      <w:divBdr>
        <w:top w:val="none" w:sz="0" w:space="0" w:color="auto"/>
        <w:left w:val="none" w:sz="0" w:space="0" w:color="auto"/>
        <w:bottom w:val="none" w:sz="0" w:space="0" w:color="auto"/>
        <w:right w:val="none" w:sz="0" w:space="0" w:color="auto"/>
      </w:divBdr>
    </w:div>
    <w:div w:id="505291355">
      <w:bodyDiv w:val="1"/>
      <w:marLeft w:val="0"/>
      <w:marRight w:val="0"/>
      <w:marTop w:val="0"/>
      <w:marBottom w:val="0"/>
      <w:divBdr>
        <w:top w:val="none" w:sz="0" w:space="0" w:color="auto"/>
        <w:left w:val="none" w:sz="0" w:space="0" w:color="auto"/>
        <w:bottom w:val="none" w:sz="0" w:space="0" w:color="auto"/>
        <w:right w:val="none" w:sz="0" w:space="0" w:color="auto"/>
      </w:divBdr>
    </w:div>
    <w:div w:id="711617684">
      <w:bodyDiv w:val="1"/>
      <w:marLeft w:val="0"/>
      <w:marRight w:val="0"/>
      <w:marTop w:val="0"/>
      <w:marBottom w:val="0"/>
      <w:divBdr>
        <w:top w:val="none" w:sz="0" w:space="0" w:color="auto"/>
        <w:left w:val="none" w:sz="0" w:space="0" w:color="auto"/>
        <w:bottom w:val="none" w:sz="0" w:space="0" w:color="auto"/>
        <w:right w:val="none" w:sz="0" w:space="0" w:color="auto"/>
      </w:divBdr>
    </w:div>
    <w:div w:id="838426227">
      <w:bodyDiv w:val="1"/>
      <w:marLeft w:val="0"/>
      <w:marRight w:val="0"/>
      <w:marTop w:val="0"/>
      <w:marBottom w:val="0"/>
      <w:divBdr>
        <w:top w:val="none" w:sz="0" w:space="0" w:color="auto"/>
        <w:left w:val="none" w:sz="0" w:space="0" w:color="auto"/>
        <w:bottom w:val="none" w:sz="0" w:space="0" w:color="auto"/>
        <w:right w:val="none" w:sz="0" w:space="0" w:color="auto"/>
      </w:divBdr>
    </w:div>
    <w:div w:id="853693520">
      <w:bodyDiv w:val="1"/>
      <w:marLeft w:val="0"/>
      <w:marRight w:val="0"/>
      <w:marTop w:val="0"/>
      <w:marBottom w:val="0"/>
      <w:divBdr>
        <w:top w:val="none" w:sz="0" w:space="0" w:color="auto"/>
        <w:left w:val="none" w:sz="0" w:space="0" w:color="auto"/>
        <w:bottom w:val="none" w:sz="0" w:space="0" w:color="auto"/>
        <w:right w:val="none" w:sz="0" w:space="0" w:color="auto"/>
      </w:divBdr>
    </w:div>
    <w:div w:id="988361885">
      <w:bodyDiv w:val="1"/>
      <w:marLeft w:val="0"/>
      <w:marRight w:val="0"/>
      <w:marTop w:val="0"/>
      <w:marBottom w:val="0"/>
      <w:divBdr>
        <w:top w:val="none" w:sz="0" w:space="0" w:color="auto"/>
        <w:left w:val="none" w:sz="0" w:space="0" w:color="auto"/>
        <w:bottom w:val="none" w:sz="0" w:space="0" w:color="auto"/>
        <w:right w:val="none" w:sz="0" w:space="0" w:color="auto"/>
      </w:divBdr>
    </w:div>
    <w:div w:id="1040083084">
      <w:bodyDiv w:val="1"/>
      <w:marLeft w:val="0"/>
      <w:marRight w:val="0"/>
      <w:marTop w:val="0"/>
      <w:marBottom w:val="0"/>
      <w:divBdr>
        <w:top w:val="none" w:sz="0" w:space="0" w:color="auto"/>
        <w:left w:val="none" w:sz="0" w:space="0" w:color="auto"/>
        <w:bottom w:val="none" w:sz="0" w:space="0" w:color="auto"/>
        <w:right w:val="none" w:sz="0" w:space="0" w:color="auto"/>
      </w:divBdr>
    </w:div>
    <w:div w:id="1428423315">
      <w:bodyDiv w:val="1"/>
      <w:marLeft w:val="0"/>
      <w:marRight w:val="0"/>
      <w:marTop w:val="0"/>
      <w:marBottom w:val="0"/>
      <w:divBdr>
        <w:top w:val="none" w:sz="0" w:space="0" w:color="auto"/>
        <w:left w:val="none" w:sz="0" w:space="0" w:color="auto"/>
        <w:bottom w:val="none" w:sz="0" w:space="0" w:color="auto"/>
        <w:right w:val="none" w:sz="0" w:space="0" w:color="auto"/>
      </w:divBdr>
    </w:div>
    <w:div w:id="1492060690">
      <w:bodyDiv w:val="1"/>
      <w:marLeft w:val="0"/>
      <w:marRight w:val="0"/>
      <w:marTop w:val="0"/>
      <w:marBottom w:val="0"/>
      <w:divBdr>
        <w:top w:val="none" w:sz="0" w:space="0" w:color="auto"/>
        <w:left w:val="none" w:sz="0" w:space="0" w:color="auto"/>
        <w:bottom w:val="none" w:sz="0" w:space="0" w:color="auto"/>
        <w:right w:val="none" w:sz="0" w:space="0" w:color="auto"/>
      </w:divBdr>
    </w:div>
    <w:div w:id="1802261231">
      <w:bodyDiv w:val="1"/>
      <w:marLeft w:val="0"/>
      <w:marRight w:val="0"/>
      <w:marTop w:val="0"/>
      <w:marBottom w:val="0"/>
      <w:divBdr>
        <w:top w:val="none" w:sz="0" w:space="0" w:color="auto"/>
        <w:left w:val="none" w:sz="0" w:space="0" w:color="auto"/>
        <w:bottom w:val="none" w:sz="0" w:space="0" w:color="auto"/>
        <w:right w:val="none" w:sz="0" w:space="0" w:color="auto"/>
      </w:divBdr>
    </w:div>
    <w:div w:id="197810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tbbad/bankacilik/payl.%20belgeler/Ara&#351;t&#305;rma%20raporlar&#305;/Ucayl&#305;k/&#304;MKB%20Eyl&#252;l%2020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401879565091601"/>
          <c:y val="0.10280405107346145"/>
          <c:w val="0.8168231754008245"/>
          <c:h val="0.68847561476469643"/>
        </c:manualLayout>
      </c:layout>
      <c:barChart>
        <c:barDir val="col"/>
        <c:grouping val="clustered"/>
        <c:varyColors val="0"/>
        <c:ser>
          <c:idx val="1"/>
          <c:order val="0"/>
          <c:tx>
            <c:strRef>
              <c:f>müsvedde!$G$38</c:f>
              <c:strCache>
                <c:ptCount val="1"/>
                <c:pt idx="0">
                  <c:v>Net Kar</c:v>
                </c:pt>
              </c:strCache>
            </c:strRef>
          </c:tx>
          <c:spPr>
            <a:solidFill>
              <a:srgbClr val="0000FF"/>
            </a:solidFill>
            <a:ln w="12700">
              <a:solidFill>
                <a:srgbClr val="0000FF"/>
              </a:solidFill>
              <a:prstDash val="solid"/>
            </a:ln>
          </c:spPr>
          <c:invertIfNegative val="0"/>
          <c:cat>
            <c:strRef>
              <c:f>müsvedde!$F$39:$F$68</c:f>
              <c:strCache>
                <c:ptCount val="30"/>
                <c:pt idx="0">
                  <c:v>04</c:v>
                </c:pt>
                <c:pt idx="1">
                  <c:v>05/1</c:v>
                </c:pt>
                <c:pt idx="2">
                  <c:v>05/2</c:v>
                </c:pt>
                <c:pt idx="3">
                  <c:v>05/3</c:v>
                </c:pt>
                <c:pt idx="4">
                  <c:v>05</c:v>
                </c:pt>
                <c:pt idx="5">
                  <c:v>06/1</c:v>
                </c:pt>
                <c:pt idx="6">
                  <c:v>06/2</c:v>
                </c:pt>
                <c:pt idx="7">
                  <c:v>06/3</c:v>
                </c:pt>
                <c:pt idx="8">
                  <c:v>06/4</c:v>
                </c:pt>
                <c:pt idx="9">
                  <c:v>07/1</c:v>
                </c:pt>
                <c:pt idx="10">
                  <c:v>07/2</c:v>
                </c:pt>
                <c:pt idx="11">
                  <c:v>07/3</c:v>
                </c:pt>
                <c:pt idx="12">
                  <c:v>07/4</c:v>
                </c:pt>
                <c:pt idx="13">
                  <c:v>08/1</c:v>
                </c:pt>
                <c:pt idx="14">
                  <c:v>08/2</c:v>
                </c:pt>
                <c:pt idx="15">
                  <c:v>08/3</c:v>
                </c:pt>
                <c:pt idx="16">
                  <c:v>08/4</c:v>
                </c:pt>
                <c:pt idx="17">
                  <c:v>09/1</c:v>
                </c:pt>
                <c:pt idx="18">
                  <c:v>09/2</c:v>
                </c:pt>
                <c:pt idx="19">
                  <c:v>09/3</c:v>
                </c:pt>
                <c:pt idx="20">
                  <c:v>09/4</c:v>
                </c:pt>
                <c:pt idx="21">
                  <c:v>10/3</c:v>
                </c:pt>
                <c:pt idx="22">
                  <c:v>10/6</c:v>
                </c:pt>
                <c:pt idx="23">
                  <c:v>10/9</c:v>
                </c:pt>
                <c:pt idx="24">
                  <c:v>10/12</c:v>
                </c:pt>
                <c:pt idx="25">
                  <c:v>11/3</c:v>
                </c:pt>
                <c:pt idx="26">
                  <c:v>11/6</c:v>
                </c:pt>
                <c:pt idx="27">
                  <c:v>11/9</c:v>
                </c:pt>
                <c:pt idx="28">
                  <c:v>11/12</c:v>
                </c:pt>
                <c:pt idx="29">
                  <c:v>12/3</c:v>
                </c:pt>
              </c:strCache>
            </c:strRef>
          </c:cat>
          <c:val>
            <c:numRef>
              <c:f>müsvedde!$G$39:$G$68</c:f>
              <c:numCache>
                <c:formatCode>#,##0</c:formatCode>
                <c:ptCount val="30"/>
                <c:pt idx="0">
                  <c:v>3746.3380000000002</c:v>
                </c:pt>
                <c:pt idx="1">
                  <c:v>4250.2470000000003</c:v>
                </c:pt>
                <c:pt idx="2">
                  <c:v>4446.1510343999998</c:v>
                </c:pt>
                <c:pt idx="3">
                  <c:v>2112.527</c:v>
                </c:pt>
                <c:pt idx="4">
                  <c:v>1951.645</c:v>
                </c:pt>
                <c:pt idx="5">
                  <c:v>2514.4519999999993</c:v>
                </c:pt>
                <c:pt idx="6">
                  <c:v>2977.2419656000002</c:v>
                </c:pt>
                <c:pt idx="7">
                  <c:v>6177.549</c:v>
                </c:pt>
                <c:pt idx="8">
                  <c:v>7213.6917386999994</c:v>
                </c:pt>
                <c:pt idx="9">
                  <c:v>7611.2577387000001</c:v>
                </c:pt>
                <c:pt idx="10">
                  <c:v>9540.4547386999984</c:v>
                </c:pt>
                <c:pt idx="11">
                  <c:v>9937</c:v>
                </c:pt>
                <c:pt idx="12">
                  <c:v>10155</c:v>
                </c:pt>
                <c:pt idx="13">
                  <c:v>10828.718000000001</c:v>
                </c:pt>
                <c:pt idx="14">
                  <c:v>10408.827000000001</c:v>
                </c:pt>
                <c:pt idx="15">
                  <c:v>9622</c:v>
                </c:pt>
                <c:pt idx="16">
                  <c:v>8938</c:v>
                </c:pt>
                <c:pt idx="17">
                  <c:v>9612</c:v>
                </c:pt>
                <c:pt idx="18">
                  <c:v>10664</c:v>
                </c:pt>
                <c:pt idx="19">
                  <c:v>12053</c:v>
                </c:pt>
                <c:pt idx="20">
                  <c:v>14028</c:v>
                </c:pt>
                <c:pt idx="21">
                  <c:v>15194</c:v>
                </c:pt>
                <c:pt idx="22">
                  <c:v>15498</c:v>
                </c:pt>
                <c:pt idx="23">
                  <c:v>15569</c:v>
                </c:pt>
                <c:pt idx="24">
                  <c:v>16119</c:v>
                </c:pt>
                <c:pt idx="25">
                  <c:v>15623.207</c:v>
                </c:pt>
                <c:pt idx="26">
                  <c:v>15258</c:v>
                </c:pt>
                <c:pt idx="27">
                  <c:v>15159</c:v>
                </c:pt>
                <c:pt idx="28">
                  <c:v>15359</c:v>
                </c:pt>
                <c:pt idx="29">
                  <c:v>15509.793</c:v>
                </c:pt>
              </c:numCache>
            </c:numRef>
          </c:val>
        </c:ser>
        <c:dLbls>
          <c:showLegendKey val="0"/>
          <c:showVal val="0"/>
          <c:showCatName val="0"/>
          <c:showSerName val="0"/>
          <c:showPercent val="0"/>
          <c:showBubbleSize val="0"/>
        </c:dLbls>
        <c:gapWidth val="150"/>
        <c:axId val="137347456"/>
        <c:axId val="137348992"/>
      </c:barChart>
      <c:lineChart>
        <c:grouping val="standard"/>
        <c:varyColors val="0"/>
        <c:ser>
          <c:idx val="0"/>
          <c:order val="1"/>
          <c:tx>
            <c:strRef>
              <c:f>müsvedde!$H$38</c:f>
              <c:strCache>
                <c:ptCount val="1"/>
                <c:pt idx="0">
                  <c:v>Özkaynak Karlılığı</c:v>
                </c:pt>
              </c:strCache>
            </c:strRef>
          </c:tx>
          <c:spPr>
            <a:ln w="38100">
              <a:solidFill>
                <a:srgbClr val="FF0000"/>
              </a:solidFill>
              <a:prstDash val="solid"/>
            </a:ln>
          </c:spPr>
          <c:marker>
            <c:symbol val="none"/>
          </c:marker>
          <c:cat>
            <c:strRef>
              <c:f>müsvedde!$F$39:$F$68</c:f>
              <c:strCache>
                <c:ptCount val="30"/>
                <c:pt idx="0">
                  <c:v>04</c:v>
                </c:pt>
                <c:pt idx="1">
                  <c:v>05/1</c:v>
                </c:pt>
                <c:pt idx="2">
                  <c:v>05/2</c:v>
                </c:pt>
                <c:pt idx="3">
                  <c:v>05/3</c:v>
                </c:pt>
                <c:pt idx="4">
                  <c:v>05</c:v>
                </c:pt>
                <c:pt idx="5">
                  <c:v>06/1</c:v>
                </c:pt>
                <c:pt idx="6">
                  <c:v>06/2</c:v>
                </c:pt>
                <c:pt idx="7">
                  <c:v>06/3</c:v>
                </c:pt>
                <c:pt idx="8">
                  <c:v>06/4</c:v>
                </c:pt>
                <c:pt idx="9">
                  <c:v>07/1</c:v>
                </c:pt>
                <c:pt idx="10">
                  <c:v>07/2</c:v>
                </c:pt>
                <c:pt idx="11">
                  <c:v>07/3</c:v>
                </c:pt>
                <c:pt idx="12">
                  <c:v>07/4</c:v>
                </c:pt>
                <c:pt idx="13">
                  <c:v>08/1</c:v>
                </c:pt>
                <c:pt idx="14">
                  <c:v>08/2</c:v>
                </c:pt>
                <c:pt idx="15">
                  <c:v>08/3</c:v>
                </c:pt>
                <c:pt idx="16">
                  <c:v>08/4</c:v>
                </c:pt>
                <c:pt idx="17">
                  <c:v>09/1</c:v>
                </c:pt>
                <c:pt idx="18">
                  <c:v>09/2</c:v>
                </c:pt>
                <c:pt idx="19">
                  <c:v>09/3</c:v>
                </c:pt>
                <c:pt idx="20">
                  <c:v>09/4</c:v>
                </c:pt>
                <c:pt idx="21">
                  <c:v>10/3</c:v>
                </c:pt>
                <c:pt idx="22">
                  <c:v>10/6</c:v>
                </c:pt>
                <c:pt idx="23">
                  <c:v>10/9</c:v>
                </c:pt>
                <c:pt idx="24">
                  <c:v>10/12</c:v>
                </c:pt>
                <c:pt idx="25">
                  <c:v>11/3</c:v>
                </c:pt>
                <c:pt idx="26">
                  <c:v>11/6</c:v>
                </c:pt>
                <c:pt idx="27">
                  <c:v>11/9</c:v>
                </c:pt>
                <c:pt idx="28">
                  <c:v>11/12</c:v>
                </c:pt>
                <c:pt idx="29">
                  <c:v>12/3</c:v>
                </c:pt>
              </c:strCache>
            </c:strRef>
          </c:cat>
          <c:val>
            <c:numRef>
              <c:f>müsvedde!$H$39:$H$68</c:f>
              <c:numCache>
                <c:formatCode>#,##0.0</c:formatCode>
                <c:ptCount val="30"/>
                <c:pt idx="0">
                  <c:v>12.264979538385989</c:v>
                </c:pt>
                <c:pt idx="1">
                  <c:v>13.633510825982359</c:v>
                </c:pt>
                <c:pt idx="2">
                  <c:v>14.424315580067478</c:v>
                </c:pt>
                <c:pt idx="3">
                  <c:v>6.9472737437516443</c:v>
                </c:pt>
                <c:pt idx="4">
                  <c:v>5.7888266002254252</c:v>
                </c:pt>
                <c:pt idx="5">
                  <c:v>7.1876397107166312</c:v>
                </c:pt>
                <c:pt idx="6">
                  <c:v>9.3700571712721104</c:v>
                </c:pt>
                <c:pt idx="7">
                  <c:v>17.432482997996441</c:v>
                </c:pt>
                <c:pt idx="8">
                  <c:v>18.608295255378422</c:v>
                </c:pt>
                <c:pt idx="9">
                  <c:v>18.092319139271197</c:v>
                </c:pt>
                <c:pt idx="10">
                  <c:v>21.311355995934502</c:v>
                </c:pt>
                <c:pt idx="11">
                  <c:v>20.638448118301902</c:v>
                </c:pt>
                <c:pt idx="12">
                  <c:v>20.01734639569494</c:v>
                </c:pt>
                <c:pt idx="13">
                  <c:v>21.730014247586944</c:v>
                </c:pt>
                <c:pt idx="14">
                  <c:v>20.321008551013239</c:v>
                </c:pt>
                <c:pt idx="15">
                  <c:v>17.439057544177615</c:v>
                </c:pt>
                <c:pt idx="16">
                  <c:v>15.724288378311812</c:v>
                </c:pt>
                <c:pt idx="17">
                  <c:v>16.026945009504118</c:v>
                </c:pt>
                <c:pt idx="18">
                  <c:v>16.37868804619945</c:v>
                </c:pt>
                <c:pt idx="19">
                  <c:v>17.056292983896075</c:v>
                </c:pt>
                <c:pt idx="20">
                  <c:v>18.847745472134143</c:v>
                </c:pt>
                <c:pt idx="21">
                  <c:v>19.34801986501974</c:v>
                </c:pt>
                <c:pt idx="22">
                  <c:v>19.188054823013783</c:v>
                </c:pt>
                <c:pt idx="23">
                  <c:v>17.99801165264034</c:v>
                </c:pt>
                <c:pt idx="24">
                  <c:v>17.554972144455455</c:v>
                </c:pt>
                <c:pt idx="25">
                  <c:v>16.890528521884494</c:v>
                </c:pt>
                <c:pt idx="26">
                  <c:v>15.963617599314015</c:v>
                </c:pt>
                <c:pt idx="27">
                  <c:v>15.634319587068319</c:v>
                </c:pt>
                <c:pt idx="28">
                  <c:v>15.512104471130053</c:v>
                </c:pt>
                <c:pt idx="29">
                  <c:v>14.719921986219465</c:v>
                </c:pt>
              </c:numCache>
            </c:numRef>
          </c:val>
          <c:smooth val="0"/>
        </c:ser>
        <c:dLbls>
          <c:showLegendKey val="0"/>
          <c:showVal val="0"/>
          <c:showCatName val="0"/>
          <c:showSerName val="0"/>
          <c:showPercent val="0"/>
          <c:showBubbleSize val="0"/>
        </c:dLbls>
        <c:marker val="1"/>
        <c:smooth val="0"/>
        <c:axId val="137355264"/>
        <c:axId val="137356800"/>
      </c:lineChart>
      <c:catAx>
        <c:axId val="137347456"/>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137348992"/>
        <c:crosses val="autoZero"/>
        <c:auto val="0"/>
        <c:lblAlgn val="ctr"/>
        <c:lblOffset val="100"/>
        <c:tickLblSkip val="3"/>
        <c:tickMarkSkip val="1"/>
        <c:noMultiLvlLbl val="0"/>
      </c:catAx>
      <c:valAx>
        <c:axId val="137348992"/>
        <c:scaling>
          <c:orientation val="minMax"/>
        </c:scaling>
        <c:delete val="0"/>
        <c:axPos val="l"/>
        <c:majorGridlines>
          <c:spPr>
            <a:ln w="3175">
              <a:solidFill>
                <a:srgbClr val="000000"/>
              </a:solidFill>
              <a:prstDash val="sysDash"/>
            </a:ln>
          </c:spPr>
        </c:majorGridlines>
        <c:title>
          <c:tx>
            <c:rich>
              <a:bodyPr rot="0" vert="horz"/>
              <a:lstStyle/>
              <a:p>
                <a:pPr algn="ctr">
                  <a:defRPr sz="900" b="0" i="0" u="none" strike="noStrike" baseline="0">
                    <a:solidFill>
                      <a:srgbClr val="000000"/>
                    </a:solidFill>
                    <a:latin typeface="Arial"/>
                    <a:ea typeface="Arial"/>
                    <a:cs typeface="Arial"/>
                  </a:defRPr>
                </a:pPr>
                <a:r>
                  <a:rPr lang="tr-TR"/>
                  <a:t>Milyon TL</a:t>
                </a:r>
              </a:p>
            </c:rich>
          </c:tx>
          <c:layout>
            <c:manualLayout>
              <c:xMode val="edge"/>
              <c:yMode val="edge"/>
              <c:x val="4.1121495327102804E-2"/>
              <c:y val="1.5576323987538941E-2"/>
            </c:manualLayout>
          </c:layout>
          <c:overlay val="0"/>
          <c:spPr>
            <a:noFill/>
            <a:ln w="25400">
              <a:noFill/>
            </a:ln>
          </c:spPr>
        </c:title>
        <c:numFmt formatCode="#,##0"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137347456"/>
        <c:crosses val="autoZero"/>
        <c:crossBetween val="between"/>
      </c:valAx>
      <c:catAx>
        <c:axId val="137355264"/>
        <c:scaling>
          <c:orientation val="minMax"/>
        </c:scaling>
        <c:delete val="1"/>
        <c:axPos val="b"/>
        <c:majorTickMark val="out"/>
        <c:minorTickMark val="none"/>
        <c:tickLblPos val="nextTo"/>
        <c:crossAx val="137356800"/>
        <c:crosses val="autoZero"/>
        <c:auto val="0"/>
        <c:lblAlgn val="ctr"/>
        <c:lblOffset val="100"/>
        <c:noMultiLvlLbl val="0"/>
      </c:catAx>
      <c:valAx>
        <c:axId val="137356800"/>
        <c:scaling>
          <c:orientation val="minMax"/>
        </c:scaling>
        <c:delete val="0"/>
        <c:axPos val="r"/>
        <c:title>
          <c:tx>
            <c:rich>
              <a:bodyPr rot="0" vert="horz"/>
              <a:lstStyle/>
              <a:p>
                <a:pPr algn="ctr">
                  <a:defRPr sz="900" b="0" i="0" u="none" strike="noStrike" baseline="0">
                    <a:solidFill>
                      <a:srgbClr val="000000"/>
                    </a:solidFill>
                    <a:latin typeface="Arial"/>
                    <a:ea typeface="Arial"/>
                    <a:cs typeface="Arial"/>
                  </a:defRPr>
                </a:pPr>
                <a:r>
                  <a:rPr lang="tr-TR"/>
                  <a:t>yüzde</a:t>
                </a:r>
              </a:p>
            </c:rich>
          </c:tx>
          <c:layout>
            <c:manualLayout>
              <c:xMode val="edge"/>
              <c:yMode val="edge"/>
              <c:x val="0.91215031765889076"/>
              <c:y val="1.5576323987538941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137355264"/>
        <c:crosses val="max"/>
        <c:crossBetween val="between"/>
      </c:valAx>
      <c:spPr>
        <a:solidFill>
          <a:srgbClr val="FFFFFF"/>
        </a:solidFill>
        <a:ln w="12700">
          <a:solidFill>
            <a:srgbClr val="808080"/>
          </a:solidFill>
          <a:prstDash val="solid"/>
        </a:ln>
      </c:spPr>
    </c:plotArea>
    <c:legend>
      <c:legendPos val="b"/>
      <c:layout>
        <c:manualLayout>
          <c:xMode val="edge"/>
          <c:yMode val="edge"/>
          <c:x val="0.23177589717173203"/>
          <c:y val="0.9003141429751188"/>
          <c:w val="0.5962622709544485"/>
          <c:h val="6.2305623012076761E-2"/>
        </c:manualLayout>
      </c:layout>
      <c:overlay val="0"/>
      <c:spPr>
        <a:solidFill>
          <a:srgbClr val="FFFFFF"/>
        </a:solidFill>
        <a:ln w="3175">
          <a:noFill/>
          <a:prstDash val="solid"/>
        </a:ln>
      </c:spPr>
      <c:txPr>
        <a:bodyPr/>
        <a:lstStyle/>
        <a:p>
          <a:pPr>
            <a:defRPr sz="825" b="0" i="0" u="none" strike="noStrike" baseline="0">
              <a:solidFill>
                <a:srgbClr val="000000"/>
              </a:solidFill>
              <a:latin typeface="Arial"/>
              <a:ea typeface="Arial"/>
              <a:cs typeface="Arial"/>
            </a:defRPr>
          </a:pPr>
          <a:endParaRPr lang="tr-TR"/>
        </a:p>
      </c:txPr>
    </c:legend>
    <c:plotVisOnly val="1"/>
    <c:dispBlanksAs val="gap"/>
    <c:showDLblsOverMax val="0"/>
  </c:chart>
  <c:txPr>
    <a:bodyPr/>
    <a:lstStyle/>
    <a:p>
      <a:pPr>
        <a:defRPr sz="1000" b="0" i="0" u="none" strike="noStrike" baseline="0">
          <a:solidFill>
            <a:srgbClr val="000000"/>
          </a:solidFill>
          <a:latin typeface="Arial"/>
          <a:ea typeface="Arial"/>
          <a:cs typeface="Arial"/>
        </a:defRPr>
      </a:pPr>
      <a:endParaRPr lang="tr-T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7EE0E-CC99-448B-8216-FD6874971D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5892A2-4DF7-4398-AE5B-1F1573C50BA1}">
  <ds:schemaRefs>
    <ds:schemaRef ds:uri="http://schemas.microsoft.com/sharepoint/v3/contenttype/forms"/>
  </ds:schemaRefs>
</ds:datastoreItem>
</file>

<file path=customXml/itemProps3.xml><?xml version="1.0" encoding="utf-8"?>
<ds:datastoreItem xmlns:ds="http://schemas.openxmlformats.org/officeDocument/2006/customXml" ds:itemID="{88080A7A-C042-470D-B646-5CE1B81C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EC1906-F72F-489E-91EB-656506145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712</Words>
  <Characters>4360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İMKB’de İşlem Gören Ticaret Bankaları</vt:lpstr>
    </vt:vector>
  </TitlesOfParts>
  <Company>A</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İMKB’de İşlem Gören Ticaret Bankaları</dc:title>
  <dc:creator>gKilinc</dc:creator>
  <cp:lastModifiedBy>gkilinc</cp:lastModifiedBy>
  <cp:revision>3</cp:revision>
  <cp:lastPrinted>2012-05-22T08:24:00Z</cp:lastPrinted>
  <dcterms:created xsi:type="dcterms:W3CDTF">2012-05-22T11:27:00Z</dcterms:created>
  <dcterms:modified xsi:type="dcterms:W3CDTF">2012-05-22T13:51:00Z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