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6B4" w:rsidRPr="00F63E83" w:rsidRDefault="007176B4" w:rsidP="00D416CA">
      <w:pPr>
        <w:pStyle w:val="Title"/>
        <w:jc w:val="left"/>
        <w:rPr>
          <w:rFonts w:ascii="Arial" w:hAnsi="Arial" w:cs="Arial"/>
          <w:sz w:val="26"/>
          <w:szCs w:val="26"/>
        </w:rPr>
      </w:pPr>
      <w:bookmarkStart w:id="0" w:name="_GoBack"/>
      <w:bookmarkEnd w:id="0"/>
    </w:p>
    <w:p w:rsidR="004723E4" w:rsidRPr="00F63E83" w:rsidRDefault="004723E4" w:rsidP="00D34B4A">
      <w:pPr>
        <w:pStyle w:val="Title"/>
        <w:rPr>
          <w:rFonts w:ascii="Arial" w:hAnsi="Arial" w:cs="Arial"/>
          <w:sz w:val="26"/>
          <w:szCs w:val="26"/>
        </w:rPr>
      </w:pPr>
    </w:p>
    <w:p w:rsidR="004723E4" w:rsidRPr="00F63E83" w:rsidRDefault="004723E4" w:rsidP="00D34B4A">
      <w:pPr>
        <w:pStyle w:val="Title"/>
        <w:rPr>
          <w:rFonts w:ascii="Arial" w:hAnsi="Arial" w:cs="Arial"/>
          <w:sz w:val="26"/>
          <w:szCs w:val="26"/>
        </w:rPr>
      </w:pPr>
    </w:p>
    <w:p w:rsidR="00544DFA" w:rsidRPr="00F63E83" w:rsidRDefault="00D734D4" w:rsidP="00D34B4A">
      <w:pPr>
        <w:pStyle w:val="Title"/>
        <w:rPr>
          <w:rFonts w:ascii="Arial" w:hAnsi="Arial" w:cs="Arial"/>
          <w:sz w:val="26"/>
          <w:szCs w:val="26"/>
        </w:rPr>
      </w:pPr>
      <w:r w:rsidRPr="00F63E83">
        <w:rPr>
          <w:rFonts w:ascii="Arial" w:hAnsi="Arial" w:cs="Arial"/>
          <w:sz w:val="26"/>
          <w:szCs w:val="26"/>
        </w:rPr>
        <w:t>İstanbul Menkul Kıymetler Borsası’nda (İMKB)</w:t>
      </w:r>
      <w:r w:rsidR="007060EC" w:rsidRPr="00F63E83">
        <w:rPr>
          <w:rFonts w:ascii="Arial" w:hAnsi="Arial" w:cs="Arial"/>
          <w:sz w:val="26"/>
          <w:szCs w:val="26"/>
        </w:rPr>
        <w:t xml:space="preserve"> İşlem Gören Mevduat Bankaları, </w:t>
      </w:r>
      <w:r w:rsidR="00E00554" w:rsidRPr="00F63E83">
        <w:rPr>
          <w:rFonts w:ascii="Arial" w:hAnsi="Arial" w:cs="Arial"/>
          <w:sz w:val="26"/>
          <w:szCs w:val="26"/>
        </w:rPr>
        <w:t>Haziran</w:t>
      </w:r>
      <w:r w:rsidR="007060EC" w:rsidRPr="00F63E83">
        <w:rPr>
          <w:rFonts w:ascii="Arial" w:hAnsi="Arial" w:cs="Arial"/>
          <w:sz w:val="26"/>
          <w:szCs w:val="26"/>
        </w:rPr>
        <w:t xml:space="preserve"> 20</w:t>
      </w:r>
      <w:r w:rsidR="00290CE8" w:rsidRPr="00F63E83">
        <w:rPr>
          <w:rFonts w:ascii="Arial" w:hAnsi="Arial" w:cs="Arial"/>
          <w:sz w:val="26"/>
          <w:szCs w:val="26"/>
        </w:rPr>
        <w:t>1</w:t>
      </w:r>
      <w:r w:rsidR="00B67849" w:rsidRPr="00F63E83">
        <w:rPr>
          <w:rFonts w:ascii="Arial" w:hAnsi="Arial" w:cs="Arial"/>
          <w:sz w:val="26"/>
          <w:szCs w:val="26"/>
        </w:rPr>
        <w:t>2</w:t>
      </w:r>
      <w:r w:rsidR="00932962" w:rsidRPr="00F63E83">
        <w:rPr>
          <w:rStyle w:val="FootnoteReference"/>
          <w:rFonts w:ascii="Arial" w:hAnsi="Arial" w:cs="Arial"/>
          <w:sz w:val="26"/>
          <w:szCs w:val="26"/>
        </w:rPr>
        <w:footnoteReference w:id="1"/>
      </w:r>
    </w:p>
    <w:p w:rsidR="004440D6" w:rsidRPr="00F63E83" w:rsidRDefault="004440D6" w:rsidP="00544DFA">
      <w:pPr>
        <w:pStyle w:val="Subtitle"/>
        <w:rPr>
          <w:rFonts w:ascii="Arial" w:hAnsi="Arial" w:cs="Arial"/>
          <w:szCs w:val="24"/>
        </w:rPr>
      </w:pPr>
      <w:bookmarkStart w:id="1" w:name="OLE_LINK3"/>
      <w:bookmarkStart w:id="2" w:name="OLE_LINK4"/>
    </w:p>
    <w:p w:rsidR="00544DFA" w:rsidRPr="00F63E83" w:rsidRDefault="00D34B4A" w:rsidP="00544DFA">
      <w:pPr>
        <w:pStyle w:val="Subtitle"/>
        <w:rPr>
          <w:rFonts w:ascii="Arial" w:hAnsi="Arial" w:cs="Arial"/>
          <w:szCs w:val="24"/>
        </w:rPr>
      </w:pPr>
      <w:r w:rsidRPr="00F63E83">
        <w:rPr>
          <w:rFonts w:ascii="Arial" w:hAnsi="Arial" w:cs="Arial"/>
          <w:szCs w:val="24"/>
        </w:rPr>
        <w:t>1</w:t>
      </w:r>
      <w:r w:rsidR="00A97252" w:rsidRPr="00F63E83">
        <w:rPr>
          <w:rFonts w:ascii="Arial" w:hAnsi="Arial" w:cs="Arial"/>
          <w:szCs w:val="24"/>
        </w:rPr>
        <w:t xml:space="preserve">. </w:t>
      </w:r>
      <w:r w:rsidR="00544DFA" w:rsidRPr="00F63E83">
        <w:rPr>
          <w:rFonts w:ascii="Arial" w:hAnsi="Arial" w:cs="Arial"/>
          <w:szCs w:val="24"/>
        </w:rPr>
        <w:t>İMKB’de İşlem Gören Mevduat Bankalarının, Mevduat Bankaları Grubu ve Bankacılık Sektörü İçindeki Yeri</w:t>
      </w:r>
    </w:p>
    <w:p w:rsidR="00544DFA" w:rsidRPr="00F63E83" w:rsidRDefault="00544DFA" w:rsidP="00544DFA">
      <w:pPr>
        <w:pStyle w:val="Subtitle"/>
        <w:rPr>
          <w:rFonts w:ascii="Arial" w:hAnsi="Arial" w:cs="Arial"/>
          <w:sz w:val="22"/>
          <w:szCs w:val="22"/>
        </w:rPr>
      </w:pPr>
    </w:p>
    <w:p w:rsidR="00544DFA" w:rsidRPr="00F63E83" w:rsidRDefault="00E00554" w:rsidP="00544DFA">
      <w:pPr>
        <w:pStyle w:val="Subtitle"/>
        <w:rPr>
          <w:rFonts w:ascii="Arial" w:hAnsi="Arial" w:cs="Arial"/>
          <w:b w:val="0"/>
          <w:sz w:val="22"/>
          <w:szCs w:val="22"/>
        </w:rPr>
      </w:pPr>
      <w:r w:rsidRPr="00F63E83">
        <w:rPr>
          <w:rFonts w:ascii="Arial" w:hAnsi="Arial" w:cs="Arial"/>
          <w:b w:val="0"/>
          <w:sz w:val="22"/>
          <w:szCs w:val="22"/>
        </w:rPr>
        <w:t>Haziran</w:t>
      </w:r>
      <w:r w:rsidR="00D2086F" w:rsidRPr="00F63E83">
        <w:rPr>
          <w:rFonts w:ascii="Arial" w:hAnsi="Arial" w:cs="Arial"/>
          <w:b w:val="0"/>
          <w:sz w:val="22"/>
          <w:szCs w:val="22"/>
        </w:rPr>
        <w:t xml:space="preserve"> 2012</w:t>
      </w:r>
      <w:r w:rsidR="00544DFA" w:rsidRPr="00F63E83">
        <w:rPr>
          <w:rFonts w:ascii="Arial" w:hAnsi="Arial" w:cs="Arial"/>
          <w:b w:val="0"/>
          <w:sz w:val="22"/>
          <w:szCs w:val="22"/>
        </w:rPr>
        <w:t xml:space="preserve"> itibariyle, İMKB’de işlem gören mevduat banka</w:t>
      </w:r>
      <w:r w:rsidR="009F29D7" w:rsidRPr="00F63E83">
        <w:rPr>
          <w:rFonts w:ascii="Arial" w:hAnsi="Arial" w:cs="Arial"/>
          <w:b w:val="0"/>
          <w:sz w:val="22"/>
          <w:szCs w:val="22"/>
        </w:rPr>
        <w:t>sı sayısı 12</w:t>
      </w:r>
      <w:r w:rsidRPr="00F63E83">
        <w:rPr>
          <w:rFonts w:ascii="Arial" w:hAnsi="Arial" w:cs="Arial"/>
          <w:b w:val="0"/>
          <w:sz w:val="22"/>
          <w:szCs w:val="22"/>
        </w:rPr>
        <w:t>’dir</w:t>
      </w:r>
      <w:r w:rsidR="00544DFA" w:rsidRPr="00F63E83">
        <w:rPr>
          <w:rFonts w:ascii="Arial" w:hAnsi="Arial" w:cs="Arial"/>
          <w:b w:val="0"/>
          <w:sz w:val="22"/>
          <w:szCs w:val="22"/>
        </w:rPr>
        <w:t>.</w:t>
      </w:r>
      <w:r w:rsidR="00DF1B81" w:rsidRPr="00F63E83">
        <w:rPr>
          <w:rFonts w:ascii="Arial" w:hAnsi="Arial" w:cs="Arial"/>
          <w:b w:val="0"/>
          <w:sz w:val="22"/>
          <w:szCs w:val="22"/>
        </w:rPr>
        <w:t xml:space="preserve"> Bu bankalar,</w:t>
      </w:r>
      <w:r w:rsidR="004D17D7" w:rsidRPr="00F63E83">
        <w:rPr>
          <w:rFonts w:ascii="Arial" w:hAnsi="Arial" w:cs="Arial"/>
          <w:b w:val="0"/>
          <w:sz w:val="22"/>
          <w:szCs w:val="22"/>
        </w:rPr>
        <w:t xml:space="preserve"> </w:t>
      </w:r>
      <w:r w:rsidR="00201F8F" w:rsidRPr="00F63E83">
        <w:rPr>
          <w:rFonts w:ascii="Arial" w:hAnsi="Arial" w:cs="Arial"/>
          <w:b w:val="0"/>
          <w:sz w:val="22"/>
          <w:szCs w:val="22"/>
        </w:rPr>
        <w:t>7.494</w:t>
      </w:r>
      <w:r w:rsidR="00AD1B45" w:rsidRPr="00F63E83">
        <w:rPr>
          <w:rFonts w:ascii="Arial" w:hAnsi="Arial" w:cs="Arial"/>
          <w:b w:val="0"/>
          <w:sz w:val="22"/>
          <w:szCs w:val="22"/>
        </w:rPr>
        <w:t xml:space="preserve"> şube </w:t>
      </w:r>
      <w:r w:rsidR="00B67849" w:rsidRPr="00F63E83">
        <w:rPr>
          <w:rFonts w:ascii="Arial" w:hAnsi="Arial" w:cs="Arial"/>
          <w:b w:val="0"/>
          <w:sz w:val="22"/>
          <w:szCs w:val="22"/>
        </w:rPr>
        <w:t>ve 13</w:t>
      </w:r>
      <w:r w:rsidR="00201F8F" w:rsidRPr="00F63E83">
        <w:rPr>
          <w:rFonts w:ascii="Arial" w:hAnsi="Arial" w:cs="Arial"/>
          <w:b w:val="0"/>
          <w:sz w:val="22"/>
          <w:szCs w:val="22"/>
        </w:rPr>
        <w:t>5</w:t>
      </w:r>
      <w:r w:rsidR="00B67849" w:rsidRPr="00F63E83">
        <w:rPr>
          <w:rFonts w:ascii="Arial" w:hAnsi="Arial" w:cs="Arial"/>
          <w:b w:val="0"/>
          <w:sz w:val="22"/>
          <w:szCs w:val="22"/>
        </w:rPr>
        <w:t>.</w:t>
      </w:r>
      <w:r w:rsidR="00201F8F" w:rsidRPr="00F63E83">
        <w:rPr>
          <w:rFonts w:ascii="Arial" w:hAnsi="Arial" w:cs="Arial"/>
          <w:b w:val="0"/>
          <w:sz w:val="22"/>
          <w:szCs w:val="22"/>
        </w:rPr>
        <w:t>650</w:t>
      </w:r>
      <w:r w:rsidR="00544DFA" w:rsidRPr="00F63E83">
        <w:rPr>
          <w:rFonts w:ascii="Arial" w:hAnsi="Arial" w:cs="Arial"/>
          <w:b w:val="0"/>
          <w:sz w:val="22"/>
          <w:szCs w:val="22"/>
        </w:rPr>
        <w:t xml:space="preserve"> personel ile sektördeki </w:t>
      </w:r>
      <w:r w:rsidR="006D04A6" w:rsidRPr="00F63E83">
        <w:rPr>
          <w:rFonts w:ascii="Arial" w:hAnsi="Arial" w:cs="Arial"/>
          <w:b w:val="0"/>
          <w:sz w:val="22"/>
          <w:szCs w:val="22"/>
        </w:rPr>
        <w:t xml:space="preserve">şubelerin </w:t>
      </w:r>
      <w:r w:rsidR="00AE117C" w:rsidRPr="00F63E83">
        <w:rPr>
          <w:rFonts w:ascii="Arial" w:hAnsi="Arial" w:cs="Arial"/>
          <w:b w:val="0"/>
          <w:sz w:val="22"/>
          <w:szCs w:val="22"/>
        </w:rPr>
        <w:t>yüzde 7</w:t>
      </w:r>
      <w:r w:rsidR="00201F8F" w:rsidRPr="00F63E83">
        <w:rPr>
          <w:rFonts w:ascii="Arial" w:hAnsi="Arial" w:cs="Arial"/>
          <w:b w:val="0"/>
          <w:sz w:val="22"/>
          <w:szCs w:val="22"/>
        </w:rPr>
        <w:t>0</w:t>
      </w:r>
      <w:r w:rsidR="00AE117C" w:rsidRPr="00F63E83">
        <w:rPr>
          <w:rFonts w:ascii="Arial" w:hAnsi="Arial" w:cs="Arial"/>
          <w:b w:val="0"/>
          <w:sz w:val="22"/>
          <w:szCs w:val="22"/>
        </w:rPr>
        <w:t>’i</w:t>
      </w:r>
      <w:r w:rsidR="00BF033E" w:rsidRPr="00F63E83">
        <w:rPr>
          <w:rFonts w:ascii="Arial" w:hAnsi="Arial" w:cs="Arial"/>
          <w:b w:val="0"/>
          <w:sz w:val="22"/>
          <w:szCs w:val="22"/>
        </w:rPr>
        <w:t xml:space="preserve">ne </w:t>
      </w:r>
      <w:r w:rsidR="0072685A" w:rsidRPr="00F63E83">
        <w:rPr>
          <w:rFonts w:ascii="Arial" w:hAnsi="Arial" w:cs="Arial"/>
          <w:b w:val="0"/>
          <w:sz w:val="22"/>
          <w:szCs w:val="22"/>
        </w:rPr>
        <w:t>sahipti</w:t>
      </w:r>
      <w:r w:rsidR="00005663" w:rsidRPr="00F63E83">
        <w:rPr>
          <w:rFonts w:ascii="Arial" w:hAnsi="Arial" w:cs="Arial"/>
          <w:b w:val="0"/>
          <w:sz w:val="22"/>
          <w:szCs w:val="22"/>
        </w:rPr>
        <w:t>r</w:t>
      </w:r>
      <w:r w:rsidR="0072685A" w:rsidRPr="00F63E83">
        <w:rPr>
          <w:rFonts w:ascii="Arial" w:hAnsi="Arial" w:cs="Arial"/>
          <w:b w:val="0"/>
          <w:sz w:val="22"/>
          <w:szCs w:val="22"/>
        </w:rPr>
        <w:t xml:space="preserve">ler ve </w:t>
      </w:r>
      <w:r w:rsidR="006D04A6" w:rsidRPr="00F63E83">
        <w:rPr>
          <w:rFonts w:ascii="Arial" w:hAnsi="Arial" w:cs="Arial"/>
          <w:b w:val="0"/>
          <w:sz w:val="22"/>
          <w:szCs w:val="22"/>
        </w:rPr>
        <w:t xml:space="preserve">personelin yüzde </w:t>
      </w:r>
      <w:r w:rsidR="00201F8F" w:rsidRPr="00F63E83">
        <w:rPr>
          <w:rFonts w:ascii="Arial" w:hAnsi="Arial" w:cs="Arial"/>
          <w:b w:val="0"/>
          <w:sz w:val="22"/>
          <w:szCs w:val="22"/>
        </w:rPr>
        <w:t>69’unu</w:t>
      </w:r>
      <w:r w:rsidR="0072685A" w:rsidRPr="00F63E83">
        <w:rPr>
          <w:rFonts w:ascii="Arial" w:hAnsi="Arial" w:cs="Arial"/>
          <w:b w:val="0"/>
          <w:sz w:val="22"/>
          <w:szCs w:val="22"/>
        </w:rPr>
        <w:t xml:space="preserve"> istihdam etmektedirler.</w:t>
      </w:r>
      <w:r w:rsidR="00544DFA" w:rsidRPr="00F63E83">
        <w:rPr>
          <w:rFonts w:ascii="Arial" w:hAnsi="Arial" w:cs="Arial"/>
          <w:b w:val="0"/>
          <w:sz w:val="22"/>
          <w:szCs w:val="22"/>
        </w:rPr>
        <w:t xml:space="preserve"> </w:t>
      </w:r>
    </w:p>
    <w:p w:rsidR="0072685A" w:rsidRPr="00F63E83" w:rsidRDefault="0072685A" w:rsidP="00544DFA">
      <w:pPr>
        <w:pStyle w:val="Subtitle"/>
        <w:rPr>
          <w:rFonts w:ascii="Arial" w:hAnsi="Arial" w:cs="Arial"/>
          <w:b w:val="0"/>
          <w:sz w:val="22"/>
          <w:szCs w:val="22"/>
        </w:rPr>
      </w:pPr>
    </w:p>
    <w:p w:rsidR="00544DFA" w:rsidRPr="00F63E83" w:rsidRDefault="00544DFA" w:rsidP="00544DFA">
      <w:pPr>
        <w:pStyle w:val="Subtitle"/>
        <w:rPr>
          <w:rFonts w:ascii="Arial" w:hAnsi="Arial" w:cs="Arial"/>
          <w:b w:val="0"/>
          <w:sz w:val="22"/>
          <w:szCs w:val="22"/>
        </w:rPr>
      </w:pPr>
      <w:r w:rsidRPr="00F63E83">
        <w:rPr>
          <w:rFonts w:ascii="Arial" w:hAnsi="Arial" w:cs="Arial"/>
          <w:b w:val="0"/>
          <w:sz w:val="22"/>
          <w:szCs w:val="22"/>
        </w:rPr>
        <w:t xml:space="preserve">İMKB’de işlem gören mevduat bankalarının, </w:t>
      </w:r>
      <w:r w:rsidR="00201F8F" w:rsidRPr="00F63E83">
        <w:rPr>
          <w:rFonts w:ascii="Arial" w:hAnsi="Arial" w:cs="Arial"/>
          <w:b w:val="0"/>
          <w:sz w:val="22"/>
          <w:szCs w:val="22"/>
        </w:rPr>
        <w:t>Haziran</w:t>
      </w:r>
      <w:r w:rsidR="00D2086F" w:rsidRPr="00F63E83">
        <w:rPr>
          <w:rFonts w:ascii="Arial" w:hAnsi="Arial" w:cs="Arial"/>
          <w:b w:val="0"/>
          <w:sz w:val="22"/>
          <w:szCs w:val="22"/>
        </w:rPr>
        <w:t xml:space="preserve"> 2012</w:t>
      </w:r>
      <w:r w:rsidRPr="00F63E83">
        <w:rPr>
          <w:rFonts w:ascii="Arial" w:hAnsi="Arial" w:cs="Arial"/>
          <w:b w:val="0"/>
          <w:sz w:val="22"/>
          <w:szCs w:val="22"/>
        </w:rPr>
        <w:t xml:space="preserve"> itibariyle, sektör toplam </w:t>
      </w:r>
      <w:r w:rsidR="008A4022" w:rsidRPr="00F63E83">
        <w:rPr>
          <w:rFonts w:ascii="Arial" w:hAnsi="Arial" w:cs="Arial"/>
          <w:b w:val="0"/>
          <w:sz w:val="22"/>
          <w:szCs w:val="22"/>
        </w:rPr>
        <w:t>aktifleri içindeki payı yüzde</w:t>
      </w:r>
      <w:r w:rsidR="00110161" w:rsidRPr="00F63E83">
        <w:rPr>
          <w:rFonts w:ascii="Arial" w:hAnsi="Arial" w:cs="Arial"/>
          <w:b w:val="0"/>
          <w:sz w:val="22"/>
          <w:szCs w:val="22"/>
        </w:rPr>
        <w:t xml:space="preserve"> 7</w:t>
      </w:r>
      <w:r w:rsidR="00201F8F" w:rsidRPr="00F63E83">
        <w:rPr>
          <w:rFonts w:ascii="Arial" w:hAnsi="Arial" w:cs="Arial"/>
          <w:b w:val="0"/>
          <w:sz w:val="22"/>
          <w:szCs w:val="22"/>
        </w:rPr>
        <w:t>2</w:t>
      </w:r>
      <w:r w:rsidRPr="00F63E83">
        <w:rPr>
          <w:rFonts w:ascii="Arial" w:hAnsi="Arial" w:cs="Arial"/>
          <w:b w:val="0"/>
          <w:sz w:val="22"/>
          <w:szCs w:val="22"/>
        </w:rPr>
        <w:t>, toplam</w:t>
      </w:r>
      <w:r w:rsidR="00601214" w:rsidRPr="00F63E83">
        <w:rPr>
          <w:rFonts w:ascii="Arial" w:hAnsi="Arial" w:cs="Arial"/>
          <w:b w:val="0"/>
          <w:sz w:val="22"/>
          <w:szCs w:val="22"/>
        </w:rPr>
        <w:t xml:space="preserve"> kredil</w:t>
      </w:r>
      <w:r w:rsidR="00694C70" w:rsidRPr="00F63E83">
        <w:rPr>
          <w:rFonts w:ascii="Arial" w:hAnsi="Arial" w:cs="Arial"/>
          <w:b w:val="0"/>
          <w:sz w:val="22"/>
          <w:szCs w:val="22"/>
        </w:rPr>
        <w:t xml:space="preserve">er içindeki payı yüzde </w:t>
      </w:r>
      <w:r w:rsidR="003E51E1" w:rsidRPr="00F63E83">
        <w:rPr>
          <w:rFonts w:ascii="Arial" w:hAnsi="Arial" w:cs="Arial"/>
          <w:b w:val="0"/>
          <w:sz w:val="22"/>
          <w:szCs w:val="22"/>
        </w:rPr>
        <w:t>76</w:t>
      </w:r>
      <w:r w:rsidRPr="00F63E83">
        <w:rPr>
          <w:rFonts w:ascii="Arial" w:hAnsi="Arial" w:cs="Arial"/>
          <w:b w:val="0"/>
          <w:sz w:val="22"/>
          <w:szCs w:val="22"/>
        </w:rPr>
        <w:t xml:space="preserve"> ve topla</w:t>
      </w:r>
      <w:r w:rsidR="00710A75" w:rsidRPr="00F63E83">
        <w:rPr>
          <w:rFonts w:ascii="Arial" w:hAnsi="Arial" w:cs="Arial"/>
          <w:b w:val="0"/>
          <w:sz w:val="22"/>
          <w:szCs w:val="22"/>
        </w:rPr>
        <w:t xml:space="preserve">m mevduat içindeki payı yüzde </w:t>
      </w:r>
      <w:r w:rsidR="003E51E1" w:rsidRPr="00F63E83">
        <w:rPr>
          <w:rFonts w:ascii="Arial" w:hAnsi="Arial" w:cs="Arial"/>
          <w:b w:val="0"/>
          <w:sz w:val="22"/>
          <w:szCs w:val="22"/>
        </w:rPr>
        <w:t>79</w:t>
      </w:r>
      <w:r w:rsidRPr="00F63E83">
        <w:rPr>
          <w:rFonts w:ascii="Arial" w:hAnsi="Arial" w:cs="Arial"/>
          <w:b w:val="0"/>
          <w:sz w:val="22"/>
          <w:szCs w:val="22"/>
        </w:rPr>
        <w:t xml:space="preserve"> olmuştur.</w:t>
      </w:r>
    </w:p>
    <w:p w:rsidR="00544DFA" w:rsidRPr="00F63E83" w:rsidRDefault="00544DFA" w:rsidP="00544DFA">
      <w:pPr>
        <w:rPr>
          <w:rFonts w:ascii="Arial" w:hAnsi="Arial" w:cs="Arial"/>
          <w:b/>
          <w:sz w:val="22"/>
          <w:szCs w:val="22"/>
        </w:rPr>
      </w:pPr>
    </w:p>
    <w:p w:rsidR="00373BB1" w:rsidRPr="00F63E83" w:rsidRDefault="005839EF" w:rsidP="00373BB1">
      <w:pPr>
        <w:pStyle w:val="Subtitle"/>
        <w:rPr>
          <w:rFonts w:ascii="Arial" w:hAnsi="Arial" w:cs="Arial"/>
          <w:szCs w:val="24"/>
        </w:rPr>
      </w:pPr>
      <w:r w:rsidRPr="00F63E83">
        <w:rPr>
          <w:rFonts w:ascii="Arial" w:hAnsi="Arial" w:cs="Arial"/>
          <w:szCs w:val="24"/>
        </w:rPr>
        <w:t>2</w:t>
      </w:r>
      <w:r w:rsidR="00A97252" w:rsidRPr="00F63E83">
        <w:rPr>
          <w:rFonts w:ascii="Arial" w:hAnsi="Arial" w:cs="Arial"/>
          <w:szCs w:val="24"/>
        </w:rPr>
        <w:t xml:space="preserve">. </w:t>
      </w:r>
      <w:r w:rsidR="00373BB1" w:rsidRPr="00F63E83">
        <w:rPr>
          <w:rFonts w:ascii="Arial" w:hAnsi="Arial" w:cs="Arial"/>
          <w:szCs w:val="24"/>
        </w:rPr>
        <w:t>İMKB’de İşlem Gören Mevduat Bankalarındaki Gelişmeler</w:t>
      </w:r>
    </w:p>
    <w:p w:rsidR="00373BB1" w:rsidRPr="00F63E83" w:rsidRDefault="00373BB1" w:rsidP="00373BB1">
      <w:pPr>
        <w:pStyle w:val="Subtitle"/>
        <w:rPr>
          <w:rFonts w:ascii="Arial" w:hAnsi="Arial" w:cs="Arial"/>
          <w:sz w:val="22"/>
          <w:szCs w:val="22"/>
        </w:rPr>
      </w:pPr>
    </w:p>
    <w:p w:rsidR="00373BB1" w:rsidRPr="00F63E83" w:rsidRDefault="00373BB1" w:rsidP="00373BB1">
      <w:pPr>
        <w:pStyle w:val="Subtitle"/>
        <w:rPr>
          <w:rFonts w:ascii="Arial" w:hAnsi="Arial" w:cs="Arial"/>
          <w:b w:val="0"/>
          <w:sz w:val="22"/>
          <w:szCs w:val="22"/>
        </w:rPr>
      </w:pPr>
      <w:r w:rsidRPr="00F63E83">
        <w:rPr>
          <w:rFonts w:ascii="Arial" w:hAnsi="Arial" w:cs="Arial"/>
          <w:b w:val="0"/>
          <w:sz w:val="22"/>
          <w:szCs w:val="22"/>
        </w:rPr>
        <w:t>İMKB’de işlem gören mevduat bankalarının toplam aktifleri</w:t>
      </w:r>
      <w:r w:rsidR="00583A9A" w:rsidRPr="00F63E83">
        <w:rPr>
          <w:rFonts w:ascii="Arial" w:hAnsi="Arial" w:cs="Arial"/>
          <w:b w:val="0"/>
          <w:sz w:val="22"/>
          <w:szCs w:val="22"/>
        </w:rPr>
        <w:t>,</w:t>
      </w:r>
      <w:r w:rsidRPr="00F63E83">
        <w:rPr>
          <w:rFonts w:ascii="Arial" w:hAnsi="Arial" w:cs="Arial"/>
          <w:b w:val="0"/>
          <w:sz w:val="22"/>
          <w:szCs w:val="22"/>
        </w:rPr>
        <w:t xml:space="preserve"> </w:t>
      </w:r>
      <w:r w:rsidR="003E51E1" w:rsidRPr="00F63E83">
        <w:rPr>
          <w:rFonts w:ascii="Arial" w:hAnsi="Arial" w:cs="Arial"/>
          <w:b w:val="0"/>
          <w:sz w:val="22"/>
          <w:szCs w:val="22"/>
        </w:rPr>
        <w:t>Haziran</w:t>
      </w:r>
      <w:r w:rsidR="00AC226D" w:rsidRPr="00F63E83">
        <w:rPr>
          <w:rFonts w:ascii="Arial" w:hAnsi="Arial" w:cs="Arial"/>
          <w:b w:val="0"/>
          <w:sz w:val="22"/>
          <w:szCs w:val="22"/>
        </w:rPr>
        <w:t xml:space="preserve"> </w:t>
      </w:r>
      <w:r w:rsidR="0087259E" w:rsidRPr="00F63E83">
        <w:rPr>
          <w:rFonts w:ascii="Arial" w:hAnsi="Arial" w:cs="Arial"/>
          <w:b w:val="0"/>
          <w:sz w:val="22"/>
          <w:szCs w:val="22"/>
        </w:rPr>
        <w:t>2012</w:t>
      </w:r>
      <w:r w:rsidR="00583A9A" w:rsidRPr="00F63E83">
        <w:rPr>
          <w:rFonts w:ascii="Arial" w:hAnsi="Arial" w:cs="Arial"/>
          <w:b w:val="0"/>
          <w:sz w:val="22"/>
          <w:szCs w:val="22"/>
        </w:rPr>
        <w:t xml:space="preserve"> itibariyle</w:t>
      </w:r>
      <w:r w:rsidRPr="00F63E83">
        <w:rPr>
          <w:rFonts w:ascii="Arial" w:hAnsi="Arial" w:cs="Arial"/>
          <w:b w:val="0"/>
          <w:sz w:val="22"/>
          <w:szCs w:val="22"/>
        </w:rPr>
        <w:t xml:space="preserve"> bir yıl önceye göre yüzde </w:t>
      </w:r>
      <w:r w:rsidR="003E51E1" w:rsidRPr="00F63E83">
        <w:rPr>
          <w:rFonts w:ascii="Arial" w:hAnsi="Arial" w:cs="Arial"/>
          <w:b w:val="0"/>
          <w:sz w:val="22"/>
          <w:szCs w:val="22"/>
        </w:rPr>
        <w:t>13</w:t>
      </w:r>
      <w:r w:rsidR="00694405" w:rsidRPr="00F63E83">
        <w:rPr>
          <w:rFonts w:ascii="Arial" w:hAnsi="Arial" w:cs="Arial"/>
          <w:b w:val="0"/>
          <w:sz w:val="22"/>
          <w:szCs w:val="22"/>
        </w:rPr>
        <w:t xml:space="preserve"> artarak, </w:t>
      </w:r>
      <w:r w:rsidR="003E51E1" w:rsidRPr="00F63E83">
        <w:rPr>
          <w:rFonts w:ascii="Arial" w:hAnsi="Arial" w:cs="Arial"/>
          <w:b w:val="0"/>
          <w:sz w:val="22"/>
          <w:szCs w:val="22"/>
        </w:rPr>
        <w:t>922</w:t>
      </w:r>
      <w:r w:rsidRPr="00F63E83">
        <w:rPr>
          <w:rFonts w:ascii="Arial" w:hAnsi="Arial" w:cs="Arial"/>
          <w:b w:val="0"/>
          <w:sz w:val="22"/>
          <w:szCs w:val="22"/>
        </w:rPr>
        <w:t xml:space="preserve"> milyar TL’ye yükselmiştir. </w:t>
      </w:r>
    </w:p>
    <w:p w:rsidR="00373BB1" w:rsidRPr="00F63E83" w:rsidRDefault="00373BB1" w:rsidP="00373BB1">
      <w:pPr>
        <w:pStyle w:val="Subtitle"/>
        <w:rPr>
          <w:rFonts w:ascii="Arial" w:hAnsi="Arial" w:cs="Arial"/>
          <w:b w:val="0"/>
          <w:sz w:val="22"/>
          <w:szCs w:val="22"/>
        </w:rPr>
      </w:pPr>
    </w:p>
    <w:p w:rsidR="00373BB1" w:rsidRPr="00F63E83" w:rsidRDefault="00373BB1" w:rsidP="00373BB1">
      <w:pPr>
        <w:pStyle w:val="Subtitle"/>
        <w:jc w:val="center"/>
        <w:rPr>
          <w:rFonts w:ascii="Arial" w:hAnsi="Arial" w:cs="Arial"/>
          <w:szCs w:val="24"/>
        </w:rPr>
      </w:pPr>
      <w:r w:rsidRPr="00F63E83">
        <w:rPr>
          <w:rFonts w:ascii="Arial" w:hAnsi="Arial" w:cs="Arial"/>
          <w:szCs w:val="24"/>
        </w:rPr>
        <w:t>Aktif Kalemlerdeki Gelişmeler (Milyon TL)</w:t>
      </w:r>
    </w:p>
    <w:p w:rsidR="00315335" w:rsidRPr="00F63E83" w:rsidRDefault="00315335" w:rsidP="00373BB1">
      <w:pPr>
        <w:pStyle w:val="Subtitle"/>
        <w:jc w:val="center"/>
        <w:rPr>
          <w:rFonts w:ascii="Arial" w:hAnsi="Arial" w:cs="Arial"/>
          <w:szCs w:val="24"/>
        </w:rPr>
      </w:pPr>
    </w:p>
    <w:tbl>
      <w:tblPr>
        <w:tblW w:w="8420" w:type="dxa"/>
        <w:tblInd w:w="55" w:type="dxa"/>
        <w:tblCellMar>
          <w:left w:w="70" w:type="dxa"/>
          <w:right w:w="70" w:type="dxa"/>
        </w:tblCellMar>
        <w:tblLook w:val="04A0" w:firstRow="1" w:lastRow="0" w:firstColumn="1" w:lastColumn="0" w:noHBand="0" w:noVBand="1"/>
      </w:tblPr>
      <w:tblGrid>
        <w:gridCol w:w="2520"/>
        <w:gridCol w:w="960"/>
        <w:gridCol w:w="960"/>
        <w:gridCol w:w="960"/>
        <w:gridCol w:w="1500"/>
        <w:gridCol w:w="1520"/>
      </w:tblGrid>
      <w:tr w:rsidR="00F63E83" w:rsidRPr="00F63E83" w:rsidTr="00315335">
        <w:trPr>
          <w:trHeight w:val="255"/>
        </w:trPr>
        <w:tc>
          <w:tcPr>
            <w:tcW w:w="2520" w:type="dxa"/>
            <w:tcBorders>
              <w:top w:val="nil"/>
              <w:left w:val="nil"/>
              <w:bottom w:val="nil"/>
              <w:right w:val="nil"/>
            </w:tcBorders>
            <w:shd w:val="clear" w:color="000000" w:fill="FFFFFF"/>
            <w:noWrap/>
            <w:vAlign w:val="center"/>
            <w:hideMark/>
          </w:tcPr>
          <w:p w:rsidR="00315335" w:rsidRPr="00F63E83" w:rsidRDefault="00315335" w:rsidP="00315335">
            <w:pPr>
              <w:rPr>
                <w:rFonts w:ascii="Arial" w:hAnsi="Arial" w:cs="Arial"/>
                <w:sz w:val="20"/>
                <w:lang w:eastAsia="tr-TR"/>
              </w:rPr>
            </w:pPr>
            <w:r w:rsidRPr="00F63E83">
              <w:rPr>
                <w:rFonts w:ascii="Arial" w:hAnsi="Arial" w:cs="Arial"/>
                <w:sz w:val="20"/>
                <w:lang w:eastAsia="tr-TR"/>
              </w:rPr>
              <w:t> </w:t>
            </w:r>
          </w:p>
        </w:tc>
        <w:tc>
          <w:tcPr>
            <w:tcW w:w="960" w:type="dxa"/>
            <w:tcBorders>
              <w:top w:val="nil"/>
              <w:left w:val="nil"/>
              <w:bottom w:val="nil"/>
              <w:right w:val="nil"/>
            </w:tcBorders>
            <w:shd w:val="clear" w:color="000000" w:fill="FFFFFF"/>
            <w:noWrap/>
            <w:vAlign w:val="center"/>
            <w:hideMark/>
          </w:tcPr>
          <w:p w:rsidR="00315335" w:rsidRPr="00F63E83" w:rsidRDefault="00531D86" w:rsidP="00315335">
            <w:pPr>
              <w:jc w:val="right"/>
              <w:rPr>
                <w:rFonts w:ascii="Arial" w:hAnsi="Arial" w:cs="Arial"/>
                <w:b/>
                <w:bCs/>
                <w:sz w:val="20"/>
                <w:lang w:eastAsia="tr-TR"/>
              </w:rPr>
            </w:pPr>
            <w:r w:rsidRPr="00F63E83">
              <w:rPr>
                <w:rFonts w:ascii="Arial" w:hAnsi="Arial" w:cs="Arial"/>
                <w:b/>
                <w:bCs/>
                <w:sz w:val="20"/>
                <w:lang w:eastAsia="tr-TR"/>
              </w:rPr>
              <w:t>Haziran</w:t>
            </w:r>
          </w:p>
        </w:tc>
        <w:tc>
          <w:tcPr>
            <w:tcW w:w="960" w:type="dxa"/>
            <w:tcBorders>
              <w:top w:val="nil"/>
              <w:left w:val="nil"/>
              <w:bottom w:val="nil"/>
              <w:right w:val="nil"/>
            </w:tcBorders>
            <w:shd w:val="clear" w:color="000000" w:fill="FFFFFF"/>
            <w:noWrap/>
            <w:vAlign w:val="center"/>
            <w:hideMark/>
          </w:tcPr>
          <w:p w:rsidR="00315335" w:rsidRPr="00F63E83" w:rsidRDefault="00531D86" w:rsidP="00315335">
            <w:pPr>
              <w:jc w:val="right"/>
              <w:rPr>
                <w:rFonts w:ascii="Arial" w:hAnsi="Arial" w:cs="Arial"/>
                <w:b/>
                <w:bCs/>
                <w:sz w:val="20"/>
                <w:lang w:eastAsia="tr-TR"/>
              </w:rPr>
            </w:pPr>
            <w:r w:rsidRPr="00F63E83">
              <w:rPr>
                <w:rFonts w:ascii="Arial" w:hAnsi="Arial" w:cs="Arial"/>
                <w:b/>
                <w:bCs/>
                <w:sz w:val="20"/>
                <w:lang w:eastAsia="tr-TR"/>
              </w:rPr>
              <w:t>Haziran</w:t>
            </w:r>
          </w:p>
        </w:tc>
        <w:tc>
          <w:tcPr>
            <w:tcW w:w="960" w:type="dxa"/>
            <w:tcBorders>
              <w:top w:val="nil"/>
              <w:left w:val="nil"/>
              <w:bottom w:val="nil"/>
              <w:right w:val="nil"/>
            </w:tcBorders>
            <w:shd w:val="clear" w:color="000000" w:fill="FFFFFF"/>
            <w:noWrap/>
            <w:vAlign w:val="center"/>
            <w:hideMark/>
          </w:tcPr>
          <w:p w:rsidR="00315335" w:rsidRPr="00F63E83" w:rsidRDefault="00315335" w:rsidP="00315335">
            <w:pPr>
              <w:rPr>
                <w:rFonts w:ascii="Arial" w:hAnsi="Arial" w:cs="Arial"/>
                <w:b/>
                <w:bCs/>
                <w:sz w:val="20"/>
                <w:lang w:eastAsia="tr-TR"/>
              </w:rPr>
            </w:pPr>
            <w:r w:rsidRPr="00F63E83">
              <w:rPr>
                <w:rFonts w:ascii="Arial" w:hAnsi="Arial" w:cs="Arial"/>
                <w:b/>
                <w:bCs/>
                <w:sz w:val="20"/>
                <w:lang w:eastAsia="tr-TR"/>
              </w:rPr>
              <w:t> </w:t>
            </w:r>
          </w:p>
        </w:tc>
        <w:tc>
          <w:tcPr>
            <w:tcW w:w="1500" w:type="dxa"/>
            <w:tcBorders>
              <w:top w:val="nil"/>
              <w:left w:val="nil"/>
              <w:bottom w:val="nil"/>
              <w:right w:val="nil"/>
            </w:tcBorders>
            <w:shd w:val="clear" w:color="000000" w:fill="FFFFFF"/>
            <w:noWrap/>
            <w:vAlign w:val="center"/>
            <w:hideMark/>
          </w:tcPr>
          <w:p w:rsidR="00315335" w:rsidRPr="00F63E83" w:rsidRDefault="00315335" w:rsidP="00315335">
            <w:pPr>
              <w:jc w:val="center"/>
              <w:rPr>
                <w:rFonts w:ascii="Arial" w:hAnsi="Arial" w:cs="Arial"/>
                <w:b/>
                <w:bCs/>
                <w:sz w:val="20"/>
                <w:lang w:eastAsia="tr-TR"/>
              </w:rPr>
            </w:pPr>
            <w:r w:rsidRPr="00F63E83">
              <w:rPr>
                <w:rFonts w:ascii="Arial" w:hAnsi="Arial" w:cs="Arial"/>
                <w:b/>
                <w:bCs/>
                <w:sz w:val="20"/>
                <w:lang w:eastAsia="tr-TR"/>
              </w:rPr>
              <w:t>Yıllık yüzde</w:t>
            </w:r>
          </w:p>
        </w:tc>
        <w:tc>
          <w:tcPr>
            <w:tcW w:w="1520" w:type="dxa"/>
            <w:tcBorders>
              <w:top w:val="nil"/>
              <w:left w:val="nil"/>
              <w:bottom w:val="nil"/>
              <w:right w:val="nil"/>
            </w:tcBorders>
            <w:shd w:val="clear" w:color="000000" w:fill="FFFFFF"/>
            <w:noWrap/>
            <w:vAlign w:val="center"/>
            <w:hideMark/>
          </w:tcPr>
          <w:p w:rsidR="00315335" w:rsidRPr="00F63E83" w:rsidRDefault="00315335" w:rsidP="00315335">
            <w:pPr>
              <w:jc w:val="center"/>
              <w:rPr>
                <w:rFonts w:ascii="Arial" w:hAnsi="Arial" w:cs="Arial"/>
                <w:b/>
                <w:bCs/>
                <w:sz w:val="20"/>
                <w:lang w:eastAsia="tr-TR"/>
              </w:rPr>
            </w:pPr>
            <w:r w:rsidRPr="00F63E83">
              <w:rPr>
                <w:rFonts w:ascii="Arial" w:hAnsi="Arial" w:cs="Arial"/>
                <w:b/>
                <w:bCs/>
                <w:sz w:val="20"/>
                <w:lang w:eastAsia="tr-TR"/>
              </w:rPr>
              <w:t>Yüzde pay</w:t>
            </w:r>
          </w:p>
        </w:tc>
      </w:tr>
      <w:tr w:rsidR="00F63E83" w:rsidRPr="00F63E83" w:rsidTr="00315335">
        <w:trPr>
          <w:trHeight w:val="270"/>
        </w:trPr>
        <w:tc>
          <w:tcPr>
            <w:tcW w:w="2520" w:type="dxa"/>
            <w:tcBorders>
              <w:top w:val="nil"/>
              <w:left w:val="nil"/>
              <w:bottom w:val="single" w:sz="8" w:space="0" w:color="auto"/>
              <w:right w:val="nil"/>
            </w:tcBorders>
            <w:shd w:val="clear" w:color="000000" w:fill="FFFFFF"/>
            <w:noWrap/>
            <w:vAlign w:val="center"/>
            <w:hideMark/>
          </w:tcPr>
          <w:p w:rsidR="00315335" w:rsidRPr="00F63E83" w:rsidRDefault="00315335" w:rsidP="00315335">
            <w:pPr>
              <w:rPr>
                <w:rFonts w:ascii="Arial" w:hAnsi="Arial" w:cs="Arial"/>
                <w:sz w:val="20"/>
                <w:lang w:eastAsia="tr-TR"/>
              </w:rPr>
            </w:pPr>
            <w:r w:rsidRPr="00F63E83">
              <w:rPr>
                <w:rFonts w:ascii="Arial" w:hAnsi="Arial" w:cs="Arial"/>
                <w:sz w:val="20"/>
                <w:lang w:eastAsia="tr-TR"/>
              </w:rPr>
              <w:t> </w:t>
            </w:r>
          </w:p>
        </w:tc>
        <w:tc>
          <w:tcPr>
            <w:tcW w:w="960" w:type="dxa"/>
            <w:tcBorders>
              <w:top w:val="nil"/>
              <w:left w:val="nil"/>
              <w:bottom w:val="single" w:sz="8" w:space="0" w:color="auto"/>
              <w:right w:val="nil"/>
            </w:tcBorders>
            <w:shd w:val="clear" w:color="000000" w:fill="FFFFFF"/>
            <w:noWrap/>
            <w:vAlign w:val="center"/>
            <w:hideMark/>
          </w:tcPr>
          <w:p w:rsidR="00315335" w:rsidRPr="00F63E83" w:rsidRDefault="00315335" w:rsidP="00315335">
            <w:pPr>
              <w:jc w:val="right"/>
              <w:rPr>
                <w:rFonts w:ascii="Arial" w:hAnsi="Arial" w:cs="Arial"/>
                <w:b/>
                <w:bCs/>
                <w:sz w:val="20"/>
                <w:lang w:eastAsia="tr-TR"/>
              </w:rPr>
            </w:pPr>
            <w:r w:rsidRPr="00F63E83">
              <w:rPr>
                <w:rFonts w:ascii="Arial" w:hAnsi="Arial" w:cs="Arial"/>
                <w:b/>
                <w:bCs/>
                <w:sz w:val="20"/>
                <w:lang w:eastAsia="tr-TR"/>
              </w:rPr>
              <w:t>201</w:t>
            </w:r>
            <w:r w:rsidR="00F97F87" w:rsidRPr="00F63E83">
              <w:rPr>
                <w:rFonts w:ascii="Arial" w:hAnsi="Arial" w:cs="Arial"/>
                <w:b/>
                <w:bCs/>
                <w:sz w:val="20"/>
                <w:lang w:eastAsia="tr-TR"/>
              </w:rPr>
              <w:t>2</w:t>
            </w:r>
          </w:p>
        </w:tc>
        <w:tc>
          <w:tcPr>
            <w:tcW w:w="960" w:type="dxa"/>
            <w:tcBorders>
              <w:top w:val="nil"/>
              <w:left w:val="nil"/>
              <w:bottom w:val="single" w:sz="8" w:space="0" w:color="auto"/>
              <w:right w:val="nil"/>
            </w:tcBorders>
            <w:shd w:val="clear" w:color="000000" w:fill="FFFFFF"/>
            <w:noWrap/>
            <w:vAlign w:val="center"/>
            <w:hideMark/>
          </w:tcPr>
          <w:p w:rsidR="00315335" w:rsidRPr="00F63E83" w:rsidRDefault="00315335" w:rsidP="00315335">
            <w:pPr>
              <w:jc w:val="right"/>
              <w:rPr>
                <w:rFonts w:ascii="Arial" w:hAnsi="Arial" w:cs="Arial"/>
                <w:b/>
                <w:bCs/>
                <w:sz w:val="20"/>
                <w:lang w:eastAsia="tr-TR"/>
              </w:rPr>
            </w:pPr>
            <w:r w:rsidRPr="00F63E83">
              <w:rPr>
                <w:rFonts w:ascii="Arial" w:hAnsi="Arial" w:cs="Arial"/>
                <w:b/>
                <w:bCs/>
                <w:sz w:val="20"/>
                <w:lang w:eastAsia="tr-TR"/>
              </w:rPr>
              <w:t>201</w:t>
            </w:r>
            <w:r w:rsidR="00F97F87" w:rsidRPr="00F63E83">
              <w:rPr>
                <w:rFonts w:ascii="Arial" w:hAnsi="Arial" w:cs="Arial"/>
                <w:b/>
                <w:bCs/>
                <w:sz w:val="20"/>
                <w:lang w:eastAsia="tr-TR"/>
              </w:rPr>
              <w:t>1</w:t>
            </w:r>
          </w:p>
        </w:tc>
        <w:tc>
          <w:tcPr>
            <w:tcW w:w="960" w:type="dxa"/>
            <w:tcBorders>
              <w:top w:val="nil"/>
              <w:left w:val="nil"/>
              <w:bottom w:val="single" w:sz="8" w:space="0" w:color="auto"/>
              <w:right w:val="nil"/>
            </w:tcBorders>
            <w:shd w:val="clear" w:color="000000" w:fill="FFFFFF"/>
            <w:noWrap/>
            <w:vAlign w:val="center"/>
            <w:hideMark/>
          </w:tcPr>
          <w:p w:rsidR="00315335" w:rsidRPr="00F63E83" w:rsidRDefault="00315335" w:rsidP="00315335">
            <w:pPr>
              <w:rPr>
                <w:rFonts w:ascii="Arial" w:hAnsi="Arial" w:cs="Arial"/>
                <w:b/>
                <w:bCs/>
                <w:sz w:val="20"/>
                <w:lang w:eastAsia="tr-TR"/>
              </w:rPr>
            </w:pPr>
            <w:r w:rsidRPr="00F63E83">
              <w:rPr>
                <w:rFonts w:ascii="Arial" w:hAnsi="Arial" w:cs="Arial"/>
                <w:b/>
                <w:bCs/>
                <w:sz w:val="20"/>
                <w:lang w:eastAsia="tr-TR"/>
              </w:rPr>
              <w:t> </w:t>
            </w:r>
          </w:p>
        </w:tc>
        <w:tc>
          <w:tcPr>
            <w:tcW w:w="1500" w:type="dxa"/>
            <w:tcBorders>
              <w:top w:val="nil"/>
              <w:left w:val="nil"/>
              <w:bottom w:val="single" w:sz="8" w:space="0" w:color="auto"/>
              <w:right w:val="nil"/>
            </w:tcBorders>
            <w:shd w:val="clear" w:color="000000" w:fill="FFFFFF"/>
            <w:noWrap/>
            <w:vAlign w:val="center"/>
            <w:hideMark/>
          </w:tcPr>
          <w:p w:rsidR="00315335" w:rsidRPr="00F63E83" w:rsidRDefault="00315335" w:rsidP="00315335">
            <w:pPr>
              <w:jc w:val="center"/>
              <w:rPr>
                <w:rFonts w:ascii="Arial" w:hAnsi="Arial" w:cs="Arial"/>
                <w:b/>
                <w:bCs/>
                <w:sz w:val="20"/>
                <w:lang w:eastAsia="tr-TR"/>
              </w:rPr>
            </w:pPr>
            <w:r w:rsidRPr="00F63E83">
              <w:rPr>
                <w:rFonts w:ascii="Arial" w:hAnsi="Arial" w:cs="Arial"/>
                <w:b/>
                <w:bCs/>
                <w:sz w:val="20"/>
                <w:lang w:eastAsia="tr-TR"/>
              </w:rPr>
              <w:t>değişme</w:t>
            </w:r>
          </w:p>
        </w:tc>
        <w:tc>
          <w:tcPr>
            <w:tcW w:w="1520" w:type="dxa"/>
            <w:tcBorders>
              <w:top w:val="nil"/>
              <w:left w:val="nil"/>
              <w:bottom w:val="single" w:sz="8" w:space="0" w:color="auto"/>
              <w:right w:val="nil"/>
            </w:tcBorders>
            <w:shd w:val="clear" w:color="000000" w:fill="FFFFFF"/>
            <w:noWrap/>
            <w:vAlign w:val="center"/>
            <w:hideMark/>
          </w:tcPr>
          <w:p w:rsidR="00315335" w:rsidRPr="00F63E83" w:rsidRDefault="00B4476A" w:rsidP="00315335">
            <w:pPr>
              <w:jc w:val="center"/>
              <w:rPr>
                <w:rFonts w:ascii="Arial" w:hAnsi="Arial" w:cs="Arial"/>
                <w:b/>
                <w:bCs/>
                <w:sz w:val="20"/>
                <w:lang w:eastAsia="tr-TR"/>
              </w:rPr>
            </w:pPr>
            <w:r w:rsidRPr="00F63E83">
              <w:rPr>
                <w:rFonts w:ascii="Arial" w:hAnsi="Arial" w:cs="Arial"/>
                <w:b/>
                <w:bCs/>
                <w:sz w:val="20"/>
                <w:lang w:eastAsia="tr-TR"/>
              </w:rPr>
              <w:t xml:space="preserve">Haziran </w:t>
            </w:r>
            <w:r w:rsidR="00F97F87" w:rsidRPr="00F63E83">
              <w:rPr>
                <w:rFonts w:ascii="Arial" w:hAnsi="Arial" w:cs="Arial"/>
                <w:b/>
                <w:bCs/>
                <w:sz w:val="20"/>
                <w:lang w:eastAsia="tr-TR"/>
              </w:rPr>
              <w:t>2012</w:t>
            </w:r>
          </w:p>
        </w:tc>
      </w:tr>
      <w:tr w:rsidR="00F63E83" w:rsidRPr="00F63E83" w:rsidTr="00B0070E">
        <w:trPr>
          <w:trHeight w:val="255"/>
        </w:trPr>
        <w:tc>
          <w:tcPr>
            <w:tcW w:w="2520" w:type="dxa"/>
            <w:tcBorders>
              <w:top w:val="nil"/>
              <w:left w:val="nil"/>
              <w:bottom w:val="nil"/>
              <w:right w:val="nil"/>
            </w:tcBorders>
            <w:shd w:val="clear" w:color="000000" w:fill="FFFFFF"/>
            <w:noWrap/>
            <w:vAlign w:val="center"/>
            <w:hideMark/>
          </w:tcPr>
          <w:p w:rsidR="00531D86" w:rsidRPr="00F63E83" w:rsidRDefault="00531D86" w:rsidP="00315335">
            <w:pPr>
              <w:rPr>
                <w:rFonts w:ascii="Arial" w:hAnsi="Arial" w:cs="Arial"/>
                <w:b/>
                <w:bCs/>
                <w:sz w:val="20"/>
                <w:lang w:eastAsia="tr-TR"/>
              </w:rPr>
            </w:pPr>
            <w:r w:rsidRPr="00F63E83">
              <w:rPr>
                <w:rFonts w:ascii="Arial" w:hAnsi="Arial" w:cs="Arial"/>
                <w:b/>
                <w:bCs/>
                <w:sz w:val="20"/>
                <w:lang w:eastAsia="tr-TR"/>
              </w:rPr>
              <w:t>Likit aktifler</w:t>
            </w:r>
          </w:p>
        </w:tc>
        <w:tc>
          <w:tcPr>
            <w:tcW w:w="960" w:type="dxa"/>
            <w:tcBorders>
              <w:top w:val="nil"/>
              <w:left w:val="nil"/>
              <w:bottom w:val="nil"/>
              <w:right w:val="nil"/>
            </w:tcBorders>
            <w:shd w:val="clear" w:color="000000" w:fill="FFFFFF"/>
            <w:noWrap/>
            <w:vAlign w:val="bottom"/>
            <w:hideMark/>
          </w:tcPr>
          <w:p w:rsidR="00531D86" w:rsidRPr="00F63E83" w:rsidRDefault="00531D86">
            <w:pPr>
              <w:jc w:val="right"/>
              <w:rPr>
                <w:rFonts w:ascii="Arial" w:hAnsi="Arial" w:cs="Arial"/>
                <w:sz w:val="20"/>
              </w:rPr>
            </w:pPr>
            <w:r w:rsidRPr="00F63E83">
              <w:rPr>
                <w:rFonts w:ascii="Arial" w:hAnsi="Arial" w:cs="Arial"/>
                <w:sz w:val="20"/>
              </w:rPr>
              <w:t>105.485</w:t>
            </w:r>
          </w:p>
        </w:tc>
        <w:tc>
          <w:tcPr>
            <w:tcW w:w="960" w:type="dxa"/>
            <w:tcBorders>
              <w:top w:val="nil"/>
              <w:left w:val="nil"/>
              <w:bottom w:val="nil"/>
              <w:right w:val="nil"/>
            </w:tcBorders>
            <w:shd w:val="clear" w:color="000000" w:fill="FFFFFF"/>
            <w:noWrap/>
            <w:vAlign w:val="bottom"/>
            <w:hideMark/>
          </w:tcPr>
          <w:p w:rsidR="00531D86" w:rsidRPr="00F63E83" w:rsidRDefault="00531D86">
            <w:pPr>
              <w:jc w:val="right"/>
              <w:rPr>
                <w:rFonts w:ascii="Arial" w:hAnsi="Arial" w:cs="Arial"/>
                <w:sz w:val="20"/>
              </w:rPr>
            </w:pPr>
            <w:r w:rsidRPr="00F63E83">
              <w:rPr>
                <w:rFonts w:ascii="Arial" w:hAnsi="Arial" w:cs="Arial"/>
                <w:sz w:val="20"/>
              </w:rPr>
              <w:t>104.749</w:t>
            </w:r>
          </w:p>
        </w:tc>
        <w:tc>
          <w:tcPr>
            <w:tcW w:w="960" w:type="dxa"/>
            <w:tcBorders>
              <w:top w:val="nil"/>
              <w:left w:val="nil"/>
              <w:bottom w:val="nil"/>
              <w:right w:val="nil"/>
            </w:tcBorders>
            <w:shd w:val="clear" w:color="000000" w:fill="FFFFFF"/>
            <w:noWrap/>
            <w:vAlign w:val="center"/>
            <w:hideMark/>
          </w:tcPr>
          <w:p w:rsidR="00531D86" w:rsidRPr="00F63E83" w:rsidRDefault="00531D86" w:rsidP="00315335">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531D86" w:rsidRPr="00F63E83" w:rsidRDefault="00531D86" w:rsidP="00531D86">
            <w:pPr>
              <w:jc w:val="center"/>
              <w:rPr>
                <w:rFonts w:ascii="Arial" w:hAnsi="Arial" w:cs="Arial"/>
                <w:sz w:val="20"/>
                <w:lang w:eastAsia="tr-TR"/>
              </w:rPr>
            </w:pPr>
            <w:r w:rsidRPr="00F63E83">
              <w:rPr>
                <w:rFonts w:ascii="Arial" w:hAnsi="Arial" w:cs="Arial"/>
                <w:sz w:val="20"/>
                <w:lang w:eastAsia="tr-TR"/>
              </w:rPr>
              <w:t>1</w:t>
            </w:r>
          </w:p>
        </w:tc>
        <w:tc>
          <w:tcPr>
            <w:tcW w:w="1520" w:type="dxa"/>
            <w:tcBorders>
              <w:top w:val="nil"/>
              <w:left w:val="nil"/>
              <w:bottom w:val="nil"/>
              <w:right w:val="nil"/>
            </w:tcBorders>
            <w:shd w:val="clear" w:color="000000" w:fill="FFFFFF"/>
            <w:noWrap/>
            <w:vAlign w:val="bottom"/>
            <w:hideMark/>
          </w:tcPr>
          <w:p w:rsidR="00531D86" w:rsidRPr="00F63E83" w:rsidRDefault="00531D86" w:rsidP="00531D86">
            <w:pPr>
              <w:jc w:val="center"/>
              <w:rPr>
                <w:rFonts w:ascii="Arial" w:hAnsi="Arial" w:cs="Arial"/>
                <w:sz w:val="20"/>
                <w:lang w:eastAsia="tr-TR"/>
              </w:rPr>
            </w:pPr>
            <w:r w:rsidRPr="00F63E83">
              <w:rPr>
                <w:rFonts w:ascii="Arial" w:hAnsi="Arial" w:cs="Arial"/>
                <w:sz w:val="20"/>
                <w:lang w:eastAsia="tr-TR"/>
              </w:rPr>
              <w:t>11</w:t>
            </w:r>
          </w:p>
        </w:tc>
      </w:tr>
      <w:tr w:rsidR="00F63E83" w:rsidRPr="00F63E83" w:rsidTr="00C47B70">
        <w:trPr>
          <w:trHeight w:val="255"/>
        </w:trPr>
        <w:tc>
          <w:tcPr>
            <w:tcW w:w="2520" w:type="dxa"/>
            <w:tcBorders>
              <w:top w:val="nil"/>
              <w:left w:val="nil"/>
              <w:bottom w:val="nil"/>
              <w:right w:val="nil"/>
            </w:tcBorders>
            <w:shd w:val="clear" w:color="000000" w:fill="FFFFFF"/>
            <w:noWrap/>
            <w:vAlign w:val="center"/>
            <w:hideMark/>
          </w:tcPr>
          <w:p w:rsidR="00531D86" w:rsidRPr="00F63E83" w:rsidRDefault="00531D86" w:rsidP="00315335">
            <w:pPr>
              <w:rPr>
                <w:rFonts w:ascii="Arial" w:hAnsi="Arial" w:cs="Arial"/>
                <w:b/>
                <w:bCs/>
                <w:sz w:val="20"/>
                <w:lang w:eastAsia="tr-TR"/>
              </w:rPr>
            </w:pPr>
            <w:r w:rsidRPr="00F63E83">
              <w:rPr>
                <w:rFonts w:ascii="Arial" w:hAnsi="Arial" w:cs="Arial"/>
                <w:b/>
                <w:bCs/>
                <w:sz w:val="20"/>
                <w:lang w:eastAsia="tr-TR"/>
              </w:rPr>
              <w:t>Menkul değerler cüzdanı</w:t>
            </w:r>
          </w:p>
        </w:tc>
        <w:tc>
          <w:tcPr>
            <w:tcW w:w="960" w:type="dxa"/>
            <w:tcBorders>
              <w:top w:val="nil"/>
              <w:left w:val="nil"/>
              <w:bottom w:val="nil"/>
              <w:right w:val="nil"/>
            </w:tcBorders>
            <w:shd w:val="clear" w:color="000000" w:fill="FFFFFF"/>
            <w:noWrap/>
            <w:vAlign w:val="bottom"/>
            <w:hideMark/>
          </w:tcPr>
          <w:p w:rsidR="00531D86" w:rsidRPr="00F63E83" w:rsidRDefault="00531D86">
            <w:pPr>
              <w:jc w:val="right"/>
              <w:rPr>
                <w:rFonts w:ascii="Arial" w:hAnsi="Arial" w:cs="Arial"/>
                <w:sz w:val="20"/>
              </w:rPr>
            </w:pPr>
            <w:r w:rsidRPr="00F63E83">
              <w:rPr>
                <w:rFonts w:ascii="Arial" w:hAnsi="Arial" w:cs="Arial"/>
                <w:sz w:val="20"/>
              </w:rPr>
              <w:t>215.695</w:t>
            </w:r>
          </w:p>
        </w:tc>
        <w:tc>
          <w:tcPr>
            <w:tcW w:w="960" w:type="dxa"/>
            <w:tcBorders>
              <w:top w:val="nil"/>
              <w:left w:val="nil"/>
              <w:bottom w:val="nil"/>
              <w:right w:val="nil"/>
            </w:tcBorders>
            <w:shd w:val="clear" w:color="000000" w:fill="FFFFFF"/>
            <w:noWrap/>
            <w:vAlign w:val="bottom"/>
            <w:hideMark/>
          </w:tcPr>
          <w:p w:rsidR="00531D86" w:rsidRPr="00F63E83" w:rsidRDefault="00531D86">
            <w:pPr>
              <w:jc w:val="right"/>
              <w:rPr>
                <w:rFonts w:ascii="Arial" w:hAnsi="Arial" w:cs="Arial"/>
                <w:sz w:val="20"/>
              </w:rPr>
            </w:pPr>
            <w:r w:rsidRPr="00F63E83">
              <w:rPr>
                <w:rFonts w:ascii="Arial" w:hAnsi="Arial" w:cs="Arial"/>
                <w:sz w:val="20"/>
              </w:rPr>
              <w:t>202.979</w:t>
            </w:r>
          </w:p>
        </w:tc>
        <w:tc>
          <w:tcPr>
            <w:tcW w:w="960" w:type="dxa"/>
            <w:tcBorders>
              <w:top w:val="nil"/>
              <w:left w:val="nil"/>
              <w:bottom w:val="nil"/>
              <w:right w:val="nil"/>
            </w:tcBorders>
            <w:shd w:val="clear" w:color="000000" w:fill="FFFFFF"/>
            <w:noWrap/>
            <w:vAlign w:val="center"/>
            <w:hideMark/>
          </w:tcPr>
          <w:p w:rsidR="00531D86" w:rsidRPr="00F63E83" w:rsidRDefault="00531D86" w:rsidP="00315335">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531D86" w:rsidRPr="00F63E83" w:rsidRDefault="00531D86" w:rsidP="00531D86">
            <w:pPr>
              <w:jc w:val="center"/>
              <w:rPr>
                <w:rFonts w:ascii="Arial" w:hAnsi="Arial" w:cs="Arial"/>
                <w:sz w:val="20"/>
                <w:lang w:eastAsia="tr-TR"/>
              </w:rPr>
            </w:pPr>
            <w:r w:rsidRPr="00F63E83">
              <w:rPr>
                <w:rFonts w:ascii="Arial" w:hAnsi="Arial" w:cs="Arial"/>
                <w:sz w:val="20"/>
                <w:lang w:eastAsia="tr-TR"/>
              </w:rPr>
              <w:t>6</w:t>
            </w:r>
          </w:p>
        </w:tc>
        <w:tc>
          <w:tcPr>
            <w:tcW w:w="1520" w:type="dxa"/>
            <w:tcBorders>
              <w:top w:val="nil"/>
              <w:left w:val="nil"/>
              <w:bottom w:val="nil"/>
              <w:right w:val="nil"/>
            </w:tcBorders>
            <w:shd w:val="clear" w:color="000000" w:fill="FFFFFF"/>
            <w:noWrap/>
            <w:vAlign w:val="bottom"/>
            <w:hideMark/>
          </w:tcPr>
          <w:p w:rsidR="00531D86" w:rsidRPr="00F63E83" w:rsidRDefault="00531D86" w:rsidP="00531D86">
            <w:pPr>
              <w:jc w:val="center"/>
              <w:rPr>
                <w:rFonts w:ascii="Arial" w:hAnsi="Arial" w:cs="Arial"/>
                <w:sz w:val="20"/>
                <w:lang w:eastAsia="tr-TR"/>
              </w:rPr>
            </w:pPr>
            <w:r w:rsidRPr="00F63E83">
              <w:rPr>
                <w:rFonts w:ascii="Arial" w:hAnsi="Arial" w:cs="Arial"/>
                <w:sz w:val="20"/>
                <w:lang w:eastAsia="tr-TR"/>
              </w:rPr>
              <w:t>23</w:t>
            </w:r>
          </w:p>
        </w:tc>
      </w:tr>
      <w:tr w:rsidR="00F63E83" w:rsidRPr="00F63E83" w:rsidTr="00E521C6">
        <w:trPr>
          <w:trHeight w:val="255"/>
        </w:trPr>
        <w:tc>
          <w:tcPr>
            <w:tcW w:w="2520" w:type="dxa"/>
            <w:tcBorders>
              <w:top w:val="nil"/>
              <w:left w:val="nil"/>
              <w:bottom w:val="nil"/>
              <w:right w:val="nil"/>
            </w:tcBorders>
            <w:shd w:val="clear" w:color="000000" w:fill="FFFFFF"/>
            <w:noWrap/>
            <w:vAlign w:val="center"/>
            <w:hideMark/>
          </w:tcPr>
          <w:p w:rsidR="00531D86" w:rsidRPr="00F63E83" w:rsidRDefault="00531D86" w:rsidP="00315335">
            <w:pPr>
              <w:rPr>
                <w:rFonts w:ascii="Arial" w:hAnsi="Arial" w:cs="Arial"/>
                <w:b/>
                <w:bCs/>
                <w:sz w:val="20"/>
                <w:lang w:eastAsia="tr-TR"/>
              </w:rPr>
            </w:pPr>
            <w:r w:rsidRPr="00F63E83">
              <w:rPr>
                <w:rFonts w:ascii="Arial" w:hAnsi="Arial" w:cs="Arial"/>
                <w:b/>
                <w:bCs/>
                <w:sz w:val="20"/>
                <w:lang w:eastAsia="tr-TR"/>
              </w:rPr>
              <w:t>Krediler</w:t>
            </w:r>
          </w:p>
        </w:tc>
        <w:tc>
          <w:tcPr>
            <w:tcW w:w="960" w:type="dxa"/>
            <w:tcBorders>
              <w:top w:val="nil"/>
              <w:left w:val="nil"/>
              <w:bottom w:val="nil"/>
              <w:right w:val="nil"/>
            </w:tcBorders>
            <w:shd w:val="clear" w:color="000000" w:fill="FFFFFF"/>
            <w:noWrap/>
            <w:vAlign w:val="bottom"/>
            <w:hideMark/>
          </w:tcPr>
          <w:p w:rsidR="00531D86" w:rsidRPr="00F63E83" w:rsidRDefault="00531D86">
            <w:pPr>
              <w:jc w:val="right"/>
              <w:rPr>
                <w:rFonts w:ascii="Arial" w:hAnsi="Arial" w:cs="Arial"/>
                <w:sz w:val="20"/>
              </w:rPr>
            </w:pPr>
            <w:r w:rsidRPr="00F63E83">
              <w:rPr>
                <w:rFonts w:ascii="Arial" w:hAnsi="Arial" w:cs="Arial"/>
                <w:sz w:val="20"/>
              </w:rPr>
              <w:t>562.120</w:t>
            </w:r>
          </w:p>
        </w:tc>
        <w:tc>
          <w:tcPr>
            <w:tcW w:w="960" w:type="dxa"/>
            <w:tcBorders>
              <w:top w:val="nil"/>
              <w:left w:val="nil"/>
              <w:bottom w:val="nil"/>
              <w:right w:val="nil"/>
            </w:tcBorders>
            <w:shd w:val="clear" w:color="000000" w:fill="FFFFFF"/>
            <w:noWrap/>
            <w:vAlign w:val="bottom"/>
            <w:hideMark/>
          </w:tcPr>
          <w:p w:rsidR="00531D86" w:rsidRPr="00F63E83" w:rsidRDefault="00531D86">
            <w:pPr>
              <w:jc w:val="right"/>
              <w:rPr>
                <w:rFonts w:ascii="Arial" w:hAnsi="Arial" w:cs="Arial"/>
                <w:sz w:val="20"/>
              </w:rPr>
            </w:pPr>
            <w:r w:rsidRPr="00F63E83">
              <w:rPr>
                <w:rFonts w:ascii="Arial" w:hAnsi="Arial" w:cs="Arial"/>
                <w:sz w:val="20"/>
              </w:rPr>
              <w:t>470.756</w:t>
            </w:r>
          </w:p>
        </w:tc>
        <w:tc>
          <w:tcPr>
            <w:tcW w:w="960" w:type="dxa"/>
            <w:tcBorders>
              <w:top w:val="nil"/>
              <w:left w:val="nil"/>
              <w:bottom w:val="nil"/>
              <w:right w:val="nil"/>
            </w:tcBorders>
            <w:shd w:val="clear" w:color="000000" w:fill="FFFFFF"/>
            <w:noWrap/>
            <w:vAlign w:val="center"/>
            <w:hideMark/>
          </w:tcPr>
          <w:p w:rsidR="00531D86" w:rsidRPr="00F63E83" w:rsidRDefault="00531D86" w:rsidP="00315335">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531D86" w:rsidRPr="00F63E83" w:rsidRDefault="00531D86" w:rsidP="00531D86">
            <w:pPr>
              <w:jc w:val="center"/>
              <w:rPr>
                <w:rFonts w:ascii="Arial" w:hAnsi="Arial" w:cs="Arial"/>
                <w:sz w:val="20"/>
                <w:lang w:eastAsia="tr-TR"/>
              </w:rPr>
            </w:pPr>
            <w:r w:rsidRPr="00F63E83">
              <w:rPr>
                <w:rFonts w:ascii="Arial" w:hAnsi="Arial" w:cs="Arial"/>
                <w:sz w:val="20"/>
                <w:lang w:eastAsia="tr-TR"/>
              </w:rPr>
              <w:t>19</w:t>
            </w:r>
          </w:p>
        </w:tc>
        <w:tc>
          <w:tcPr>
            <w:tcW w:w="1520" w:type="dxa"/>
            <w:tcBorders>
              <w:top w:val="nil"/>
              <w:left w:val="nil"/>
              <w:bottom w:val="nil"/>
              <w:right w:val="nil"/>
            </w:tcBorders>
            <w:shd w:val="clear" w:color="000000" w:fill="FFFFFF"/>
            <w:noWrap/>
            <w:vAlign w:val="bottom"/>
            <w:hideMark/>
          </w:tcPr>
          <w:p w:rsidR="00531D86" w:rsidRPr="00F63E83" w:rsidRDefault="00531D86" w:rsidP="00531D86">
            <w:pPr>
              <w:jc w:val="center"/>
              <w:rPr>
                <w:rFonts w:ascii="Arial" w:hAnsi="Arial" w:cs="Arial"/>
                <w:sz w:val="20"/>
                <w:lang w:eastAsia="tr-TR"/>
              </w:rPr>
            </w:pPr>
            <w:r w:rsidRPr="00F63E83">
              <w:rPr>
                <w:rFonts w:ascii="Arial" w:hAnsi="Arial" w:cs="Arial"/>
                <w:sz w:val="20"/>
                <w:lang w:eastAsia="tr-TR"/>
              </w:rPr>
              <w:t>61</w:t>
            </w:r>
          </w:p>
        </w:tc>
      </w:tr>
      <w:tr w:rsidR="00F63E83" w:rsidRPr="00F63E83" w:rsidTr="00E521C6">
        <w:trPr>
          <w:trHeight w:val="270"/>
        </w:trPr>
        <w:tc>
          <w:tcPr>
            <w:tcW w:w="2520" w:type="dxa"/>
            <w:tcBorders>
              <w:top w:val="nil"/>
              <w:left w:val="nil"/>
              <w:bottom w:val="nil"/>
              <w:right w:val="nil"/>
            </w:tcBorders>
            <w:shd w:val="clear" w:color="000000" w:fill="FFFFFF"/>
            <w:noWrap/>
            <w:vAlign w:val="center"/>
            <w:hideMark/>
          </w:tcPr>
          <w:p w:rsidR="00531D86" w:rsidRPr="00F63E83" w:rsidRDefault="00531D86" w:rsidP="00315335">
            <w:pPr>
              <w:rPr>
                <w:rFonts w:ascii="Arial" w:hAnsi="Arial" w:cs="Arial"/>
                <w:b/>
                <w:bCs/>
                <w:sz w:val="20"/>
                <w:lang w:eastAsia="tr-TR"/>
              </w:rPr>
            </w:pPr>
            <w:r w:rsidRPr="00F63E83">
              <w:rPr>
                <w:rFonts w:ascii="Arial" w:hAnsi="Arial" w:cs="Arial"/>
                <w:b/>
                <w:bCs/>
                <w:sz w:val="20"/>
                <w:lang w:eastAsia="tr-TR"/>
              </w:rPr>
              <w:t xml:space="preserve"> -Takipteki krediler</w:t>
            </w:r>
          </w:p>
        </w:tc>
        <w:tc>
          <w:tcPr>
            <w:tcW w:w="960" w:type="dxa"/>
            <w:tcBorders>
              <w:top w:val="nil"/>
              <w:left w:val="nil"/>
              <w:bottom w:val="nil"/>
              <w:right w:val="nil"/>
            </w:tcBorders>
            <w:shd w:val="clear" w:color="000000" w:fill="FFFFFF"/>
            <w:noWrap/>
            <w:vAlign w:val="bottom"/>
            <w:hideMark/>
          </w:tcPr>
          <w:p w:rsidR="00531D86" w:rsidRPr="00F63E83" w:rsidRDefault="00531D86">
            <w:pPr>
              <w:jc w:val="right"/>
              <w:rPr>
                <w:rFonts w:ascii="Arial" w:hAnsi="Arial" w:cs="Arial"/>
                <w:sz w:val="20"/>
              </w:rPr>
            </w:pPr>
            <w:r w:rsidRPr="00F63E83">
              <w:rPr>
                <w:rFonts w:ascii="Arial" w:hAnsi="Arial" w:cs="Arial"/>
                <w:sz w:val="20"/>
              </w:rPr>
              <w:t>15.698</w:t>
            </w:r>
          </w:p>
        </w:tc>
        <w:tc>
          <w:tcPr>
            <w:tcW w:w="960" w:type="dxa"/>
            <w:tcBorders>
              <w:top w:val="nil"/>
              <w:left w:val="nil"/>
              <w:bottom w:val="nil"/>
              <w:right w:val="nil"/>
            </w:tcBorders>
            <w:shd w:val="clear" w:color="000000" w:fill="FFFFFF"/>
            <w:noWrap/>
            <w:vAlign w:val="bottom"/>
            <w:hideMark/>
          </w:tcPr>
          <w:p w:rsidR="00531D86" w:rsidRPr="00F63E83" w:rsidRDefault="00531D86">
            <w:pPr>
              <w:jc w:val="right"/>
              <w:rPr>
                <w:rFonts w:ascii="Arial" w:hAnsi="Arial" w:cs="Arial"/>
                <w:sz w:val="20"/>
              </w:rPr>
            </w:pPr>
            <w:r w:rsidRPr="00F63E83">
              <w:rPr>
                <w:rFonts w:ascii="Arial" w:hAnsi="Arial" w:cs="Arial"/>
                <w:sz w:val="20"/>
              </w:rPr>
              <w:t>14.441</w:t>
            </w:r>
          </w:p>
        </w:tc>
        <w:tc>
          <w:tcPr>
            <w:tcW w:w="960" w:type="dxa"/>
            <w:tcBorders>
              <w:top w:val="nil"/>
              <w:left w:val="nil"/>
              <w:bottom w:val="nil"/>
              <w:right w:val="nil"/>
            </w:tcBorders>
            <w:shd w:val="clear" w:color="000000" w:fill="FFFFFF"/>
            <w:noWrap/>
            <w:vAlign w:val="center"/>
            <w:hideMark/>
          </w:tcPr>
          <w:p w:rsidR="00531D86" w:rsidRPr="00F63E83" w:rsidRDefault="00531D86" w:rsidP="00315335">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531D86" w:rsidRPr="00F63E83" w:rsidRDefault="00531D86" w:rsidP="00531D86">
            <w:pPr>
              <w:jc w:val="center"/>
              <w:rPr>
                <w:rFonts w:ascii="Arial" w:hAnsi="Arial" w:cs="Arial"/>
                <w:sz w:val="20"/>
                <w:lang w:eastAsia="tr-TR"/>
              </w:rPr>
            </w:pPr>
            <w:r w:rsidRPr="00F63E83">
              <w:rPr>
                <w:rFonts w:ascii="Arial" w:hAnsi="Arial" w:cs="Arial"/>
                <w:sz w:val="20"/>
                <w:lang w:eastAsia="tr-TR"/>
              </w:rPr>
              <w:t>9</w:t>
            </w:r>
          </w:p>
        </w:tc>
        <w:tc>
          <w:tcPr>
            <w:tcW w:w="1520" w:type="dxa"/>
            <w:tcBorders>
              <w:top w:val="nil"/>
              <w:left w:val="nil"/>
              <w:bottom w:val="nil"/>
              <w:right w:val="nil"/>
            </w:tcBorders>
            <w:shd w:val="clear" w:color="000000" w:fill="FFFFFF"/>
            <w:noWrap/>
            <w:vAlign w:val="bottom"/>
            <w:hideMark/>
          </w:tcPr>
          <w:p w:rsidR="00531D86" w:rsidRPr="00F63E83" w:rsidRDefault="00531D86" w:rsidP="00531D86">
            <w:pPr>
              <w:jc w:val="center"/>
              <w:rPr>
                <w:rFonts w:ascii="Arial" w:hAnsi="Arial" w:cs="Arial"/>
                <w:sz w:val="20"/>
                <w:lang w:eastAsia="tr-TR"/>
              </w:rPr>
            </w:pPr>
            <w:r w:rsidRPr="00F63E83">
              <w:rPr>
                <w:rFonts w:ascii="Arial" w:hAnsi="Arial" w:cs="Arial"/>
                <w:sz w:val="20"/>
                <w:lang w:eastAsia="tr-TR"/>
              </w:rPr>
              <w:t>2</w:t>
            </w:r>
          </w:p>
        </w:tc>
      </w:tr>
      <w:tr w:rsidR="00F63E83" w:rsidRPr="00F63E83" w:rsidTr="00E521C6">
        <w:trPr>
          <w:trHeight w:val="255"/>
        </w:trPr>
        <w:tc>
          <w:tcPr>
            <w:tcW w:w="2520" w:type="dxa"/>
            <w:tcBorders>
              <w:top w:val="nil"/>
              <w:left w:val="nil"/>
              <w:bottom w:val="nil"/>
              <w:right w:val="nil"/>
            </w:tcBorders>
            <w:shd w:val="clear" w:color="000000" w:fill="FFFFFF"/>
            <w:noWrap/>
            <w:vAlign w:val="center"/>
            <w:hideMark/>
          </w:tcPr>
          <w:p w:rsidR="00531D86" w:rsidRPr="00F63E83" w:rsidRDefault="00531D86" w:rsidP="00315335">
            <w:pPr>
              <w:rPr>
                <w:rFonts w:ascii="Arial" w:hAnsi="Arial" w:cs="Arial"/>
                <w:b/>
                <w:bCs/>
                <w:sz w:val="20"/>
                <w:lang w:eastAsia="tr-TR"/>
              </w:rPr>
            </w:pPr>
            <w:r w:rsidRPr="00F63E83">
              <w:rPr>
                <w:rFonts w:ascii="Arial" w:hAnsi="Arial" w:cs="Arial"/>
                <w:b/>
                <w:bCs/>
                <w:sz w:val="20"/>
                <w:lang w:eastAsia="tr-TR"/>
              </w:rPr>
              <w:t xml:space="preserve"> -Özel karşılıklar (-)</w:t>
            </w:r>
          </w:p>
        </w:tc>
        <w:tc>
          <w:tcPr>
            <w:tcW w:w="960" w:type="dxa"/>
            <w:tcBorders>
              <w:top w:val="nil"/>
              <w:left w:val="nil"/>
              <w:bottom w:val="nil"/>
              <w:right w:val="nil"/>
            </w:tcBorders>
            <w:shd w:val="clear" w:color="000000" w:fill="FFFFFF"/>
            <w:noWrap/>
            <w:vAlign w:val="bottom"/>
            <w:hideMark/>
          </w:tcPr>
          <w:p w:rsidR="00531D86" w:rsidRPr="00F63E83" w:rsidRDefault="00531D86">
            <w:pPr>
              <w:jc w:val="right"/>
              <w:rPr>
                <w:rFonts w:ascii="Arial" w:hAnsi="Arial" w:cs="Arial"/>
                <w:sz w:val="20"/>
              </w:rPr>
            </w:pPr>
            <w:r w:rsidRPr="00F63E83">
              <w:rPr>
                <w:rFonts w:ascii="Arial" w:hAnsi="Arial" w:cs="Arial"/>
                <w:sz w:val="20"/>
              </w:rPr>
              <w:t>12.749</w:t>
            </w:r>
          </w:p>
        </w:tc>
        <w:tc>
          <w:tcPr>
            <w:tcW w:w="960" w:type="dxa"/>
            <w:tcBorders>
              <w:top w:val="nil"/>
              <w:left w:val="nil"/>
              <w:bottom w:val="nil"/>
              <w:right w:val="nil"/>
            </w:tcBorders>
            <w:shd w:val="clear" w:color="000000" w:fill="FFFFFF"/>
            <w:noWrap/>
            <w:vAlign w:val="bottom"/>
            <w:hideMark/>
          </w:tcPr>
          <w:p w:rsidR="00531D86" w:rsidRPr="00F63E83" w:rsidRDefault="00531D86">
            <w:pPr>
              <w:jc w:val="right"/>
              <w:rPr>
                <w:rFonts w:ascii="Arial" w:hAnsi="Arial" w:cs="Arial"/>
                <w:sz w:val="20"/>
              </w:rPr>
            </w:pPr>
            <w:r w:rsidRPr="00F63E83">
              <w:rPr>
                <w:rFonts w:ascii="Arial" w:hAnsi="Arial" w:cs="Arial"/>
                <w:sz w:val="20"/>
              </w:rPr>
              <w:t>12.523</w:t>
            </w:r>
          </w:p>
        </w:tc>
        <w:tc>
          <w:tcPr>
            <w:tcW w:w="960" w:type="dxa"/>
            <w:tcBorders>
              <w:top w:val="nil"/>
              <w:left w:val="nil"/>
              <w:bottom w:val="nil"/>
              <w:right w:val="nil"/>
            </w:tcBorders>
            <w:shd w:val="clear" w:color="000000" w:fill="FFFFFF"/>
            <w:noWrap/>
            <w:vAlign w:val="center"/>
            <w:hideMark/>
          </w:tcPr>
          <w:p w:rsidR="00531D86" w:rsidRPr="00F63E83" w:rsidRDefault="00531D86" w:rsidP="00315335">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531D86" w:rsidRPr="00F63E83" w:rsidRDefault="00531D86" w:rsidP="00531D86">
            <w:pPr>
              <w:jc w:val="center"/>
              <w:rPr>
                <w:rFonts w:ascii="Arial" w:hAnsi="Arial" w:cs="Arial"/>
                <w:sz w:val="20"/>
                <w:lang w:eastAsia="tr-TR"/>
              </w:rPr>
            </w:pPr>
            <w:r w:rsidRPr="00F63E83">
              <w:rPr>
                <w:rFonts w:ascii="Arial" w:hAnsi="Arial" w:cs="Arial"/>
                <w:sz w:val="20"/>
                <w:lang w:eastAsia="tr-TR"/>
              </w:rPr>
              <w:t>2</w:t>
            </w:r>
          </w:p>
        </w:tc>
        <w:tc>
          <w:tcPr>
            <w:tcW w:w="1520" w:type="dxa"/>
            <w:tcBorders>
              <w:top w:val="nil"/>
              <w:left w:val="nil"/>
              <w:bottom w:val="nil"/>
              <w:right w:val="nil"/>
            </w:tcBorders>
            <w:shd w:val="clear" w:color="000000" w:fill="FFFFFF"/>
            <w:noWrap/>
            <w:vAlign w:val="bottom"/>
            <w:hideMark/>
          </w:tcPr>
          <w:p w:rsidR="00531D86" w:rsidRPr="00F63E83" w:rsidRDefault="00531D86" w:rsidP="00531D86">
            <w:pPr>
              <w:jc w:val="center"/>
              <w:rPr>
                <w:rFonts w:ascii="Arial" w:hAnsi="Arial" w:cs="Arial"/>
                <w:sz w:val="20"/>
                <w:lang w:eastAsia="tr-TR"/>
              </w:rPr>
            </w:pPr>
            <w:r w:rsidRPr="00F63E83">
              <w:rPr>
                <w:rFonts w:ascii="Arial" w:hAnsi="Arial" w:cs="Arial"/>
                <w:sz w:val="20"/>
                <w:lang w:eastAsia="tr-TR"/>
              </w:rPr>
              <w:t>1</w:t>
            </w:r>
          </w:p>
        </w:tc>
      </w:tr>
      <w:tr w:rsidR="00F63E83" w:rsidRPr="00F63E83" w:rsidTr="001E06BA">
        <w:trPr>
          <w:trHeight w:val="255"/>
        </w:trPr>
        <w:tc>
          <w:tcPr>
            <w:tcW w:w="2520" w:type="dxa"/>
            <w:tcBorders>
              <w:top w:val="nil"/>
              <w:left w:val="nil"/>
              <w:bottom w:val="nil"/>
              <w:right w:val="nil"/>
            </w:tcBorders>
            <w:shd w:val="clear" w:color="000000" w:fill="FFFFFF"/>
            <w:noWrap/>
            <w:vAlign w:val="center"/>
            <w:hideMark/>
          </w:tcPr>
          <w:p w:rsidR="00B4476A" w:rsidRPr="00F63E83" w:rsidRDefault="00B4476A" w:rsidP="00315335">
            <w:pPr>
              <w:rPr>
                <w:rFonts w:ascii="Arial" w:hAnsi="Arial" w:cs="Arial"/>
                <w:b/>
                <w:sz w:val="20"/>
                <w:lang w:eastAsia="tr-TR"/>
              </w:rPr>
            </w:pPr>
            <w:r w:rsidRPr="00F63E83">
              <w:rPr>
                <w:rFonts w:ascii="Arial" w:hAnsi="Arial" w:cs="Arial"/>
                <w:b/>
                <w:sz w:val="20"/>
                <w:lang w:eastAsia="tr-TR"/>
              </w:rPr>
              <w:t>Duran aktifler</w:t>
            </w:r>
          </w:p>
        </w:tc>
        <w:tc>
          <w:tcPr>
            <w:tcW w:w="960" w:type="dxa"/>
            <w:tcBorders>
              <w:top w:val="nil"/>
              <w:left w:val="nil"/>
              <w:bottom w:val="nil"/>
              <w:right w:val="nil"/>
            </w:tcBorders>
            <w:shd w:val="clear" w:color="000000" w:fill="FFFFFF"/>
            <w:noWrap/>
            <w:vAlign w:val="bottom"/>
            <w:hideMark/>
          </w:tcPr>
          <w:p w:rsidR="00B4476A" w:rsidRPr="00F63E83" w:rsidRDefault="00B4476A">
            <w:pPr>
              <w:jc w:val="right"/>
              <w:rPr>
                <w:rFonts w:ascii="Arial" w:hAnsi="Arial" w:cs="Arial"/>
                <w:sz w:val="20"/>
              </w:rPr>
            </w:pPr>
            <w:r w:rsidRPr="00F63E83">
              <w:rPr>
                <w:rFonts w:ascii="Arial" w:hAnsi="Arial" w:cs="Arial"/>
                <w:sz w:val="20"/>
              </w:rPr>
              <w:t>27.711</w:t>
            </w:r>
          </w:p>
        </w:tc>
        <w:tc>
          <w:tcPr>
            <w:tcW w:w="960" w:type="dxa"/>
            <w:tcBorders>
              <w:top w:val="nil"/>
              <w:left w:val="nil"/>
              <w:bottom w:val="nil"/>
              <w:right w:val="nil"/>
            </w:tcBorders>
            <w:shd w:val="clear" w:color="000000" w:fill="FFFFFF"/>
            <w:noWrap/>
            <w:vAlign w:val="bottom"/>
            <w:hideMark/>
          </w:tcPr>
          <w:p w:rsidR="00B4476A" w:rsidRPr="00F63E83" w:rsidRDefault="00B4476A">
            <w:pPr>
              <w:jc w:val="right"/>
              <w:rPr>
                <w:rFonts w:ascii="Arial" w:hAnsi="Arial" w:cs="Arial"/>
                <w:sz w:val="20"/>
              </w:rPr>
            </w:pPr>
            <w:r w:rsidRPr="00F63E83">
              <w:rPr>
                <w:rFonts w:ascii="Arial" w:hAnsi="Arial" w:cs="Arial"/>
                <w:sz w:val="20"/>
              </w:rPr>
              <w:t>25.337</w:t>
            </w:r>
          </w:p>
        </w:tc>
        <w:tc>
          <w:tcPr>
            <w:tcW w:w="960" w:type="dxa"/>
            <w:tcBorders>
              <w:top w:val="nil"/>
              <w:left w:val="nil"/>
              <w:bottom w:val="nil"/>
              <w:right w:val="nil"/>
            </w:tcBorders>
            <w:shd w:val="clear" w:color="000000" w:fill="FFFFFF"/>
            <w:noWrap/>
            <w:vAlign w:val="center"/>
            <w:hideMark/>
          </w:tcPr>
          <w:p w:rsidR="00B4476A" w:rsidRPr="00F63E83" w:rsidRDefault="00B4476A" w:rsidP="00315335">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4476A" w:rsidRPr="00F63E83" w:rsidRDefault="00B4476A" w:rsidP="00B4476A">
            <w:pPr>
              <w:jc w:val="center"/>
              <w:rPr>
                <w:rFonts w:ascii="Arial" w:hAnsi="Arial" w:cs="Arial"/>
                <w:sz w:val="20"/>
                <w:lang w:eastAsia="tr-TR"/>
              </w:rPr>
            </w:pPr>
            <w:r w:rsidRPr="00F63E83">
              <w:rPr>
                <w:rFonts w:ascii="Arial" w:hAnsi="Arial" w:cs="Arial"/>
                <w:sz w:val="20"/>
                <w:lang w:eastAsia="tr-TR"/>
              </w:rPr>
              <w:t>9</w:t>
            </w:r>
          </w:p>
        </w:tc>
        <w:tc>
          <w:tcPr>
            <w:tcW w:w="1520" w:type="dxa"/>
            <w:tcBorders>
              <w:top w:val="nil"/>
              <w:left w:val="nil"/>
              <w:bottom w:val="nil"/>
              <w:right w:val="nil"/>
            </w:tcBorders>
            <w:shd w:val="clear" w:color="000000" w:fill="FFFFFF"/>
            <w:noWrap/>
            <w:vAlign w:val="bottom"/>
            <w:hideMark/>
          </w:tcPr>
          <w:p w:rsidR="00B4476A" w:rsidRPr="00F63E83" w:rsidRDefault="00B4476A" w:rsidP="00B4476A">
            <w:pPr>
              <w:jc w:val="center"/>
              <w:rPr>
                <w:rFonts w:ascii="Arial" w:hAnsi="Arial" w:cs="Arial"/>
                <w:sz w:val="20"/>
                <w:lang w:eastAsia="tr-TR"/>
              </w:rPr>
            </w:pPr>
            <w:r w:rsidRPr="00F63E83">
              <w:rPr>
                <w:rFonts w:ascii="Arial" w:hAnsi="Arial" w:cs="Arial"/>
                <w:sz w:val="20"/>
                <w:lang w:eastAsia="tr-TR"/>
              </w:rPr>
              <w:t>3</w:t>
            </w:r>
          </w:p>
        </w:tc>
      </w:tr>
      <w:tr w:rsidR="00F63E83" w:rsidRPr="00F63E83" w:rsidTr="003D65A6">
        <w:trPr>
          <w:trHeight w:val="270"/>
        </w:trPr>
        <w:tc>
          <w:tcPr>
            <w:tcW w:w="2520" w:type="dxa"/>
            <w:tcBorders>
              <w:top w:val="nil"/>
              <w:left w:val="nil"/>
              <w:bottom w:val="nil"/>
              <w:right w:val="nil"/>
            </w:tcBorders>
            <w:shd w:val="clear" w:color="000000" w:fill="FFFFFF"/>
            <w:noWrap/>
            <w:vAlign w:val="center"/>
            <w:hideMark/>
          </w:tcPr>
          <w:p w:rsidR="00B4476A" w:rsidRPr="00F63E83" w:rsidRDefault="00B4476A" w:rsidP="00315335">
            <w:pPr>
              <w:rPr>
                <w:rFonts w:ascii="Arial" w:hAnsi="Arial" w:cs="Arial"/>
                <w:b/>
                <w:bCs/>
                <w:sz w:val="20"/>
                <w:lang w:eastAsia="tr-TR"/>
              </w:rPr>
            </w:pPr>
            <w:r w:rsidRPr="00F63E83">
              <w:rPr>
                <w:rFonts w:ascii="Arial" w:hAnsi="Arial" w:cs="Arial"/>
                <w:b/>
                <w:bCs/>
                <w:sz w:val="20"/>
                <w:lang w:eastAsia="tr-TR"/>
              </w:rPr>
              <w:t>Diğer aktifler</w:t>
            </w:r>
          </w:p>
        </w:tc>
        <w:tc>
          <w:tcPr>
            <w:tcW w:w="960" w:type="dxa"/>
            <w:tcBorders>
              <w:top w:val="nil"/>
              <w:left w:val="nil"/>
              <w:bottom w:val="nil"/>
              <w:right w:val="nil"/>
            </w:tcBorders>
            <w:shd w:val="clear" w:color="000000" w:fill="FFFFFF"/>
            <w:noWrap/>
            <w:vAlign w:val="bottom"/>
            <w:hideMark/>
          </w:tcPr>
          <w:p w:rsidR="00B4476A" w:rsidRPr="00F63E83" w:rsidRDefault="00B4476A">
            <w:pPr>
              <w:jc w:val="right"/>
              <w:rPr>
                <w:rFonts w:ascii="Arial" w:hAnsi="Arial" w:cs="Arial"/>
                <w:sz w:val="20"/>
              </w:rPr>
            </w:pPr>
            <w:r w:rsidRPr="00F63E83">
              <w:rPr>
                <w:rFonts w:ascii="Arial" w:hAnsi="Arial" w:cs="Arial"/>
                <w:sz w:val="20"/>
              </w:rPr>
              <w:t>8.470</w:t>
            </w:r>
          </w:p>
        </w:tc>
        <w:tc>
          <w:tcPr>
            <w:tcW w:w="960" w:type="dxa"/>
            <w:tcBorders>
              <w:top w:val="nil"/>
              <w:left w:val="nil"/>
              <w:bottom w:val="nil"/>
              <w:right w:val="nil"/>
            </w:tcBorders>
            <w:shd w:val="clear" w:color="000000" w:fill="FFFFFF"/>
            <w:noWrap/>
            <w:vAlign w:val="bottom"/>
            <w:hideMark/>
          </w:tcPr>
          <w:p w:rsidR="00B4476A" w:rsidRPr="00F63E83" w:rsidRDefault="00B4476A">
            <w:pPr>
              <w:jc w:val="right"/>
              <w:rPr>
                <w:rFonts w:ascii="Arial" w:hAnsi="Arial" w:cs="Arial"/>
                <w:sz w:val="20"/>
              </w:rPr>
            </w:pPr>
            <w:r w:rsidRPr="00F63E83">
              <w:rPr>
                <w:rFonts w:ascii="Arial" w:hAnsi="Arial" w:cs="Arial"/>
                <w:sz w:val="20"/>
              </w:rPr>
              <w:t>10.443</w:t>
            </w:r>
          </w:p>
        </w:tc>
        <w:tc>
          <w:tcPr>
            <w:tcW w:w="960" w:type="dxa"/>
            <w:tcBorders>
              <w:top w:val="nil"/>
              <w:left w:val="nil"/>
              <w:bottom w:val="nil"/>
              <w:right w:val="nil"/>
            </w:tcBorders>
            <w:shd w:val="clear" w:color="000000" w:fill="FFFFFF"/>
            <w:noWrap/>
            <w:vAlign w:val="center"/>
            <w:hideMark/>
          </w:tcPr>
          <w:p w:rsidR="00B4476A" w:rsidRPr="00F63E83" w:rsidRDefault="00B4476A" w:rsidP="00315335">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4476A" w:rsidRPr="00F63E83" w:rsidRDefault="00B4476A" w:rsidP="00B4476A">
            <w:pPr>
              <w:jc w:val="center"/>
              <w:rPr>
                <w:rFonts w:ascii="Arial" w:hAnsi="Arial" w:cs="Arial"/>
                <w:sz w:val="20"/>
                <w:lang w:eastAsia="tr-TR"/>
              </w:rPr>
            </w:pPr>
            <w:r w:rsidRPr="00F63E83">
              <w:rPr>
                <w:rFonts w:ascii="Arial" w:hAnsi="Arial" w:cs="Arial"/>
                <w:sz w:val="20"/>
                <w:lang w:eastAsia="tr-TR"/>
              </w:rPr>
              <w:t>-19</w:t>
            </w:r>
          </w:p>
        </w:tc>
        <w:tc>
          <w:tcPr>
            <w:tcW w:w="1520" w:type="dxa"/>
            <w:tcBorders>
              <w:top w:val="nil"/>
              <w:left w:val="nil"/>
              <w:bottom w:val="nil"/>
              <w:right w:val="nil"/>
            </w:tcBorders>
            <w:shd w:val="clear" w:color="000000" w:fill="FFFFFF"/>
            <w:noWrap/>
            <w:vAlign w:val="bottom"/>
            <w:hideMark/>
          </w:tcPr>
          <w:p w:rsidR="00B4476A" w:rsidRPr="00F63E83" w:rsidRDefault="00B4476A" w:rsidP="00B4476A">
            <w:pPr>
              <w:jc w:val="center"/>
              <w:rPr>
                <w:rFonts w:ascii="Arial" w:hAnsi="Arial" w:cs="Arial"/>
                <w:sz w:val="20"/>
                <w:lang w:eastAsia="tr-TR"/>
              </w:rPr>
            </w:pPr>
            <w:r w:rsidRPr="00F63E83">
              <w:rPr>
                <w:rFonts w:ascii="Arial" w:hAnsi="Arial" w:cs="Arial"/>
                <w:sz w:val="20"/>
                <w:lang w:eastAsia="tr-TR"/>
              </w:rPr>
              <w:t>1</w:t>
            </w:r>
          </w:p>
        </w:tc>
      </w:tr>
      <w:tr w:rsidR="00F63E83" w:rsidRPr="00F63E83" w:rsidTr="00775E0C">
        <w:trPr>
          <w:trHeight w:val="255"/>
        </w:trPr>
        <w:tc>
          <w:tcPr>
            <w:tcW w:w="2520" w:type="dxa"/>
            <w:tcBorders>
              <w:top w:val="nil"/>
              <w:left w:val="nil"/>
              <w:bottom w:val="nil"/>
              <w:right w:val="nil"/>
            </w:tcBorders>
            <w:shd w:val="clear" w:color="000000" w:fill="FFFFFF"/>
            <w:noWrap/>
            <w:vAlign w:val="center"/>
            <w:hideMark/>
          </w:tcPr>
          <w:p w:rsidR="00B4476A" w:rsidRPr="00F63E83" w:rsidRDefault="00B4476A" w:rsidP="00315335">
            <w:pPr>
              <w:rPr>
                <w:rFonts w:ascii="Arial" w:hAnsi="Arial" w:cs="Arial"/>
                <w:b/>
                <w:bCs/>
                <w:sz w:val="20"/>
                <w:lang w:eastAsia="tr-TR"/>
              </w:rPr>
            </w:pPr>
            <w:r w:rsidRPr="00F63E83">
              <w:rPr>
                <w:rFonts w:ascii="Arial" w:hAnsi="Arial" w:cs="Arial"/>
                <w:b/>
                <w:bCs/>
                <w:sz w:val="20"/>
                <w:lang w:eastAsia="tr-TR"/>
              </w:rPr>
              <w:t>Toplam aktifler</w:t>
            </w:r>
          </w:p>
        </w:tc>
        <w:tc>
          <w:tcPr>
            <w:tcW w:w="960" w:type="dxa"/>
            <w:tcBorders>
              <w:top w:val="nil"/>
              <w:left w:val="nil"/>
              <w:bottom w:val="nil"/>
              <w:right w:val="nil"/>
            </w:tcBorders>
            <w:shd w:val="clear" w:color="000000" w:fill="FFFFFF"/>
            <w:noWrap/>
            <w:vAlign w:val="bottom"/>
            <w:hideMark/>
          </w:tcPr>
          <w:p w:rsidR="00B4476A" w:rsidRPr="00F63E83" w:rsidRDefault="00B4476A">
            <w:pPr>
              <w:jc w:val="right"/>
              <w:rPr>
                <w:rFonts w:ascii="Arial" w:hAnsi="Arial" w:cs="Arial"/>
                <w:sz w:val="20"/>
              </w:rPr>
            </w:pPr>
            <w:r w:rsidRPr="00F63E83">
              <w:rPr>
                <w:rFonts w:ascii="Arial" w:hAnsi="Arial" w:cs="Arial"/>
                <w:sz w:val="20"/>
              </w:rPr>
              <w:t>922.383</w:t>
            </w:r>
          </w:p>
        </w:tc>
        <w:tc>
          <w:tcPr>
            <w:tcW w:w="960" w:type="dxa"/>
            <w:tcBorders>
              <w:top w:val="nil"/>
              <w:left w:val="nil"/>
              <w:bottom w:val="nil"/>
              <w:right w:val="nil"/>
            </w:tcBorders>
            <w:shd w:val="clear" w:color="000000" w:fill="FFFFFF"/>
            <w:noWrap/>
            <w:vAlign w:val="bottom"/>
            <w:hideMark/>
          </w:tcPr>
          <w:p w:rsidR="00B4476A" w:rsidRPr="00F63E83" w:rsidRDefault="00B4476A">
            <w:pPr>
              <w:jc w:val="right"/>
              <w:rPr>
                <w:rFonts w:ascii="Arial" w:hAnsi="Arial" w:cs="Arial"/>
                <w:sz w:val="20"/>
              </w:rPr>
            </w:pPr>
            <w:r w:rsidRPr="00F63E83">
              <w:rPr>
                <w:rFonts w:ascii="Arial" w:hAnsi="Arial" w:cs="Arial"/>
                <w:sz w:val="20"/>
              </w:rPr>
              <w:t>816.238</w:t>
            </w:r>
          </w:p>
        </w:tc>
        <w:tc>
          <w:tcPr>
            <w:tcW w:w="960" w:type="dxa"/>
            <w:tcBorders>
              <w:top w:val="nil"/>
              <w:left w:val="nil"/>
              <w:bottom w:val="nil"/>
              <w:right w:val="nil"/>
            </w:tcBorders>
            <w:shd w:val="clear" w:color="000000" w:fill="FFFFFF"/>
            <w:noWrap/>
            <w:vAlign w:val="center"/>
            <w:hideMark/>
          </w:tcPr>
          <w:p w:rsidR="00B4476A" w:rsidRPr="00F63E83" w:rsidRDefault="00B4476A" w:rsidP="00315335">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4476A" w:rsidRPr="00F63E83" w:rsidRDefault="00B4476A" w:rsidP="00B4476A">
            <w:pPr>
              <w:jc w:val="center"/>
              <w:rPr>
                <w:rFonts w:ascii="Arial" w:hAnsi="Arial" w:cs="Arial"/>
                <w:sz w:val="20"/>
                <w:lang w:eastAsia="tr-TR"/>
              </w:rPr>
            </w:pPr>
            <w:r w:rsidRPr="00F63E83">
              <w:rPr>
                <w:rFonts w:ascii="Arial" w:hAnsi="Arial" w:cs="Arial"/>
                <w:sz w:val="20"/>
                <w:lang w:eastAsia="tr-TR"/>
              </w:rPr>
              <w:t>13</w:t>
            </w:r>
          </w:p>
        </w:tc>
        <w:tc>
          <w:tcPr>
            <w:tcW w:w="1520" w:type="dxa"/>
            <w:tcBorders>
              <w:top w:val="nil"/>
              <w:left w:val="nil"/>
              <w:bottom w:val="nil"/>
              <w:right w:val="nil"/>
            </w:tcBorders>
            <w:shd w:val="clear" w:color="000000" w:fill="FFFFFF"/>
            <w:noWrap/>
            <w:vAlign w:val="bottom"/>
            <w:hideMark/>
          </w:tcPr>
          <w:p w:rsidR="00B4476A" w:rsidRPr="00F63E83" w:rsidRDefault="00B4476A" w:rsidP="00B4476A">
            <w:pPr>
              <w:jc w:val="center"/>
              <w:rPr>
                <w:rFonts w:ascii="Arial" w:hAnsi="Arial" w:cs="Arial"/>
                <w:sz w:val="20"/>
                <w:lang w:eastAsia="tr-TR"/>
              </w:rPr>
            </w:pPr>
            <w:r w:rsidRPr="00F63E83">
              <w:rPr>
                <w:rFonts w:ascii="Arial" w:hAnsi="Arial" w:cs="Arial"/>
                <w:sz w:val="20"/>
                <w:lang w:eastAsia="tr-TR"/>
              </w:rPr>
              <w:t>100</w:t>
            </w:r>
          </w:p>
        </w:tc>
      </w:tr>
      <w:tr w:rsidR="00F63E83" w:rsidRPr="00F63E83" w:rsidTr="002E6B91">
        <w:trPr>
          <w:trHeight w:val="255"/>
        </w:trPr>
        <w:tc>
          <w:tcPr>
            <w:tcW w:w="2520" w:type="dxa"/>
            <w:tcBorders>
              <w:top w:val="nil"/>
              <w:left w:val="nil"/>
              <w:bottom w:val="nil"/>
              <w:right w:val="nil"/>
            </w:tcBorders>
            <w:shd w:val="clear" w:color="000000" w:fill="FFFFFF"/>
            <w:noWrap/>
            <w:vAlign w:val="center"/>
            <w:hideMark/>
          </w:tcPr>
          <w:p w:rsidR="00B4476A" w:rsidRPr="00F63E83" w:rsidRDefault="00B4476A" w:rsidP="00315335">
            <w:pPr>
              <w:rPr>
                <w:rFonts w:ascii="Arial" w:hAnsi="Arial" w:cs="Arial"/>
                <w:b/>
                <w:bCs/>
                <w:sz w:val="20"/>
                <w:lang w:eastAsia="tr-TR"/>
              </w:rPr>
            </w:pPr>
            <w:r w:rsidRPr="00F63E83">
              <w:rPr>
                <w:rFonts w:ascii="Arial" w:hAnsi="Arial" w:cs="Arial"/>
                <w:b/>
                <w:bCs/>
                <w:sz w:val="20"/>
                <w:lang w:eastAsia="tr-TR"/>
              </w:rPr>
              <w:t xml:space="preserve">  TL</w:t>
            </w:r>
          </w:p>
        </w:tc>
        <w:tc>
          <w:tcPr>
            <w:tcW w:w="960" w:type="dxa"/>
            <w:tcBorders>
              <w:top w:val="nil"/>
              <w:left w:val="nil"/>
              <w:bottom w:val="nil"/>
              <w:right w:val="nil"/>
            </w:tcBorders>
            <w:shd w:val="clear" w:color="000000" w:fill="FFFFFF"/>
            <w:noWrap/>
            <w:vAlign w:val="bottom"/>
            <w:hideMark/>
          </w:tcPr>
          <w:p w:rsidR="00B4476A" w:rsidRPr="00F63E83" w:rsidRDefault="00B4476A">
            <w:pPr>
              <w:jc w:val="right"/>
              <w:rPr>
                <w:rFonts w:ascii="Arial" w:hAnsi="Arial" w:cs="Arial"/>
                <w:sz w:val="20"/>
              </w:rPr>
            </w:pPr>
            <w:r w:rsidRPr="00F63E83">
              <w:rPr>
                <w:rFonts w:ascii="Arial" w:hAnsi="Arial" w:cs="Arial"/>
                <w:sz w:val="20"/>
              </w:rPr>
              <w:t>632.193</w:t>
            </w:r>
          </w:p>
        </w:tc>
        <w:tc>
          <w:tcPr>
            <w:tcW w:w="960" w:type="dxa"/>
            <w:tcBorders>
              <w:top w:val="nil"/>
              <w:left w:val="nil"/>
              <w:bottom w:val="nil"/>
              <w:right w:val="nil"/>
            </w:tcBorders>
            <w:shd w:val="clear" w:color="000000" w:fill="FFFFFF"/>
            <w:noWrap/>
            <w:vAlign w:val="bottom"/>
            <w:hideMark/>
          </w:tcPr>
          <w:p w:rsidR="00B4476A" w:rsidRPr="00F63E83" w:rsidRDefault="00B4476A">
            <w:pPr>
              <w:jc w:val="right"/>
              <w:rPr>
                <w:rFonts w:ascii="Arial" w:hAnsi="Arial" w:cs="Arial"/>
                <w:sz w:val="20"/>
              </w:rPr>
            </w:pPr>
            <w:r w:rsidRPr="00F63E83">
              <w:rPr>
                <w:rFonts w:ascii="Arial" w:hAnsi="Arial" w:cs="Arial"/>
                <w:sz w:val="20"/>
              </w:rPr>
              <w:t>571.309</w:t>
            </w:r>
          </w:p>
        </w:tc>
        <w:tc>
          <w:tcPr>
            <w:tcW w:w="960" w:type="dxa"/>
            <w:tcBorders>
              <w:top w:val="nil"/>
              <w:left w:val="nil"/>
              <w:bottom w:val="nil"/>
              <w:right w:val="nil"/>
            </w:tcBorders>
            <w:shd w:val="clear" w:color="000000" w:fill="FFFFFF"/>
            <w:noWrap/>
            <w:vAlign w:val="center"/>
            <w:hideMark/>
          </w:tcPr>
          <w:p w:rsidR="00B4476A" w:rsidRPr="00F63E83" w:rsidRDefault="00B4476A" w:rsidP="00315335">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4476A" w:rsidRPr="00F63E83" w:rsidRDefault="00B4476A" w:rsidP="00B4476A">
            <w:pPr>
              <w:jc w:val="center"/>
              <w:rPr>
                <w:rFonts w:ascii="Arial" w:hAnsi="Arial" w:cs="Arial"/>
                <w:sz w:val="20"/>
                <w:lang w:eastAsia="tr-TR"/>
              </w:rPr>
            </w:pPr>
            <w:r w:rsidRPr="00F63E83">
              <w:rPr>
                <w:rFonts w:ascii="Arial" w:hAnsi="Arial" w:cs="Arial"/>
                <w:sz w:val="20"/>
                <w:lang w:eastAsia="tr-TR"/>
              </w:rPr>
              <w:t>11</w:t>
            </w:r>
          </w:p>
        </w:tc>
        <w:tc>
          <w:tcPr>
            <w:tcW w:w="1520" w:type="dxa"/>
            <w:tcBorders>
              <w:top w:val="nil"/>
              <w:left w:val="nil"/>
              <w:bottom w:val="nil"/>
              <w:right w:val="nil"/>
            </w:tcBorders>
            <w:shd w:val="clear" w:color="000000" w:fill="FFFFFF"/>
            <w:noWrap/>
            <w:vAlign w:val="bottom"/>
            <w:hideMark/>
          </w:tcPr>
          <w:p w:rsidR="00B4476A" w:rsidRPr="00F63E83" w:rsidRDefault="00B4476A" w:rsidP="00B4476A">
            <w:pPr>
              <w:jc w:val="center"/>
              <w:rPr>
                <w:rFonts w:ascii="Arial" w:hAnsi="Arial" w:cs="Arial"/>
                <w:sz w:val="20"/>
                <w:lang w:eastAsia="tr-TR"/>
              </w:rPr>
            </w:pPr>
            <w:r w:rsidRPr="00F63E83">
              <w:rPr>
                <w:rFonts w:ascii="Arial" w:hAnsi="Arial" w:cs="Arial"/>
                <w:sz w:val="20"/>
                <w:lang w:eastAsia="tr-TR"/>
              </w:rPr>
              <w:t>69</w:t>
            </w:r>
          </w:p>
        </w:tc>
      </w:tr>
      <w:tr w:rsidR="00F63E83" w:rsidRPr="00F63E83" w:rsidTr="002E6B91">
        <w:trPr>
          <w:trHeight w:val="270"/>
        </w:trPr>
        <w:tc>
          <w:tcPr>
            <w:tcW w:w="2520" w:type="dxa"/>
            <w:tcBorders>
              <w:top w:val="nil"/>
              <w:left w:val="nil"/>
              <w:bottom w:val="single" w:sz="8" w:space="0" w:color="auto"/>
              <w:right w:val="nil"/>
            </w:tcBorders>
            <w:shd w:val="clear" w:color="000000" w:fill="FFFFFF"/>
            <w:noWrap/>
            <w:vAlign w:val="center"/>
            <w:hideMark/>
          </w:tcPr>
          <w:p w:rsidR="00B4476A" w:rsidRPr="00F63E83" w:rsidRDefault="00B4476A" w:rsidP="00315335">
            <w:pPr>
              <w:rPr>
                <w:rFonts w:ascii="Arial" w:hAnsi="Arial" w:cs="Arial"/>
                <w:b/>
                <w:bCs/>
                <w:sz w:val="20"/>
                <w:lang w:eastAsia="tr-TR"/>
              </w:rPr>
            </w:pPr>
            <w:r w:rsidRPr="00F63E83">
              <w:rPr>
                <w:rFonts w:ascii="Arial" w:hAnsi="Arial" w:cs="Arial"/>
                <w:b/>
                <w:bCs/>
                <w:sz w:val="20"/>
                <w:lang w:eastAsia="tr-TR"/>
              </w:rPr>
              <w:t xml:space="preserve">  YP</w:t>
            </w:r>
          </w:p>
        </w:tc>
        <w:tc>
          <w:tcPr>
            <w:tcW w:w="960" w:type="dxa"/>
            <w:tcBorders>
              <w:top w:val="nil"/>
              <w:left w:val="nil"/>
              <w:bottom w:val="single" w:sz="8" w:space="0" w:color="auto"/>
              <w:right w:val="nil"/>
            </w:tcBorders>
            <w:shd w:val="clear" w:color="000000" w:fill="FFFFFF"/>
            <w:noWrap/>
            <w:vAlign w:val="bottom"/>
            <w:hideMark/>
          </w:tcPr>
          <w:p w:rsidR="00B4476A" w:rsidRPr="00F63E83" w:rsidRDefault="00B4476A">
            <w:pPr>
              <w:jc w:val="right"/>
              <w:rPr>
                <w:rFonts w:ascii="Arial" w:hAnsi="Arial" w:cs="Arial"/>
                <w:sz w:val="20"/>
              </w:rPr>
            </w:pPr>
            <w:r w:rsidRPr="00F63E83">
              <w:rPr>
                <w:rFonts w:ascii="Arial" w:hAnsi="Arial" w:cs="Arial"/>
                <w:sz w:val="20"/>
              </w:rPr>
              <w:t>290.190</w:t>
            </w:r>
          </w:p>
        </w:tc>
        <w:tc>
          <w:tcPr>
            <w:tcW w:w="960" w:type="dxa"/>
            <w:tcBorders>
              <w:top w:val="nil"/>
              <w:left w:val="nil"/>
              <w:bottom w:val="single" w:sz="8" w:space="0" w:color="auto"/>
              <w:right w:val="nil"/>
            </w:tcBorders>
            <w:shd w:val="clear" w:color="000000" w:fill="FFFFFF"/>
            <w:noWrap/>
            <w:vAlign w:val="bottom"/>
            <w:hideMark/>
          </w:tcPr>
          <w:p w:rsidR="00B4476A" w:rsidRPr="00F63E83" w:rsidRDefault="00B4476A">
            <w:pPr>
              <w:jc w:val="right"/>
              <w:rPr>
                <w:rFonts w:ascii="Arial" w:hAnsi="Arial" w:cs="Arial"/>
                <w:sz w:val="20"/>
              </w:rPr>
            </w:pPr>
            <w:r w:rsidRPr="00F63E83">
              <w:rPr>
                <w:rFonts w:ascii="Arial" w:hAnsi="Arial" w:cs="Arial"/>
                <w:sz w:val="20"/>
              </w:rPr>
              <w:t>244.929</w:t>
            </w:r>
          </w:p>
        </w:tc>
        <w:tc>
          <w:tcPr>
            <w:tcW w:w="960" w:type="dxa"/>
            <w:tcBorders>
              <w:top w:val="nil"/>
              <w:left w:val="nil"/>
              <w:bottom w:val="single" w:sz="8" w:space="0" w:color="auto"/>
              <w:right w:val="nil"/>
            </w:tcBorders>
            <w:shd w:val="clear" w:color="000000" w:fill="FFFFFF"/>
            <w:noWrap/>
            <w:vAlign w:val="center"/>
            <w:hideMark/>
          </w:tcPr>
          <w:p w:rsidR="00B4476A" w:rsidRPr="00F63E83" w:rsidRDefault="00B4476A" w:rsidP="00315335">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single" w:sz="8" w:space="0" w:color="auto"/>
              <w:right w:val="nil"/>
            </w:tcBorders>
            <w:shd w:val="clear" w:color="000000" w:fill="FFFFFF"/>
            <w:noWrap/>
            <w:vAlign w:val="bottom"/>
            <w:hideMark/>
          </w:tcPr>
          <w:p w:rsidR="00B4476A" w:rsidRPr="00F63E83" w:rsidRDefault="00B4476A" w:rsidP="00B4476A">
            <w:pPr>
              <w:jc w:val="center"/>
              <w:rPr>
                <w:rFonts w:ascii="Arial" w:hAnsi="Arial" w:cs="Arial"/>
                <w:sz w:val="20"/>
                <w:lang w:eastAsia="tr-TR"/>
              </w:rPr>
            </w:pPr>
            <w:r w:rsidRPr="00F63E83">
              <w:rPr>
                <w:rFonts w:ascii="Arial" w:hAnsi="Arial" w:cs="Arial"/>
                <w:sz w:val="20"/>
                <w:lang w:eastAsia="tr-TR"/>
              </w:rPr>
              <w:t>18</w:t>
            </w:r>
          </w:p>
        </w:tc>
        <w:tc>
          <w:tcPr>
            <w:tcW w:w="1520" w:type="dxa"/>
            <w:tcBorders>
              <w:top w:val="nil"/>
              <w:left w:val="nil"/>
              <w:bottom w:val="single" w:sz="8" w:space="0" w:color="auto"/>
              <w:right w:val="nil"/>
            </w:tcBorders>
            <w:shd w:val="clear" w:color="000000" w:fill="FFFFFF"/>
            <w:noWrap/>
            <w:vAlign w:val="bottom"/>
            <w:hideMark/>
          </w:tcPr>
          <w:p w:rsidR="00B4476A" w:rsidRPr="00F63E83" w:rsidRDefault="00B4476A" w:rsidP="00B4476A">
            <w:pPr>
              <w:jc w:val="center"/>
              <w:rPr>
                <w:rFonts w:ascii="Arial" w:hAnsi="Arial" w:cs="Arial"/>
                <w:sz w:val="20"/>
                <w:lang w:eastAsia="tr-TR"/>
              </w:rPr>
            </w:pPr>
            <w:r w:rsidRPr="00F63E83">
              <w:rPr>
                <w:rFonts w:ascii="Arial" w:hAnsi="Arial" w:cs="Arial"/>
                <w:sz w:val="20"/>
                <w:lang w:eastAsia="tr-TR"/>
              </w:rPr>
              <w:t>31</w:t>
            </w:r>
          </w:p>
        </w:tc>
      </w:tr>
    </w:tbl>
    <w:p w:rsidR="00373BB1" w:rsidRPr="00F63E83" w:rsidRDefault="00373BB1" w:rsidP="00373BB1">
      <w:pPr>
        <w:pStyle w:val="Subtitle"/>
        <w:rPr>
          <w:rFonts w:ascii="Arial" w:hAnsi="Arial" w:cs="Arial"/>
          <w:b w:val="0"/>
          <w:sz w:val="22"/>
          <w:szCs w:val="22"/>
        </w:rPr>
      </w:pPr>
    </w:p>
    <w:p w:rsidR="006D7755" w:rsidRPr="00F63E83" w:rsidRDefault="00373BB1" w:rsidP="00373BB1">
      <w:pPr>
        <w:pStyle w:val="Subtitle"/>
        <w:rPr>
          <w:rFonts w:ascii="Arial" w:hAnsi="Arial" w:cs="Arial"/>
          <w:b w:val="0"/>
          <w:sz w:val="22"/>
          <w:szCs w:val="22"/>
        </w:rPr>
      </w:pPr>
      <w:r w:rsidRPr="00F63E83">
        <w:rPr>
          <w:rFonts w:ascii="Arial" w:hAnsi="Arial" w:cs="Arial"/>
          <w:b w:val="0"/>
          <w:sz w:val="22"/>
          <w:szCs w:val="22"/>
        </w:rPr>
        <w:t xml:space="preserve">Bir yıl önceye göre, </w:t>
      </w:r>
      <w:r w:rsidR="00B4476A" w:rsidRPr="00F63E83">
        <w:rPr>
          <w:rFonts w:ascii="Arial" w:hAnsi="Arial" w:cs="Arial"/>
          <w:b w:val="0"/>
          <w:sz w:val="22"/>
          <w:szCs w:val="22"/>
        </w:rPr>
        <w:t>Haziran</w:t>
      </w:r>
      <w:r w:rsidR="0087259E" w:rsidRPr="00F63E83">
        <w:rPr>
          <w:rFonts w:ascii="Arial" w:hAnsi="Arial" w:cs="Arial"/>
          <w:b w:val="0"/>
          <w:sz w:val="22"/>
          <w:szCs w:val="22"/>
        </w:rPr>
        <w:t xml:space="preserve"> 2012</w:t>
      </w:r>
      <w:r w:rsidR="00A44544" w:rsidRPr="00F63E83">
        <w:rPr>
          <w:rFonts w:ascii="Arial" w:hAnsi="Arial" w:cs="Arial"/>
          <w:b w:val="0"/>
          <w:sz w:val="22"/>
          <w:szCs w:val="22"/>
        </w:rPr>
        <w:t xml:space="preserve"> itibariyle likit aktifler</w:t>
      </w:r>
      <w:r w:rsidRPr="00F63E83">
        <w:rPr>
          <w:rFonts w:ascii="Arial" w:hAnsi="Arial" w:cs="Arial"/>
          <w:b w:val="0"/>
          <w:sz w:val="22"/>
          <w:szCs w:val="22"/>
        </w:rPr>
        <w:t xml:space="preserve"> </w:t>
      </w:r>
      <w:r w:rsidR="00567171" w:rsidRPr="00F63E83">
        <w:rPr>
          <w:rFonts w:ascii="Arial" w:hAnsi="Arial" w:cs="Arial"/>
          <w:b w:val="0"/>
          <w:sz w:val="22"/>
          <w:szCs w:val="22"/>
        </w:rPr>
        <w:t xml:space="preserve">yüzde </w:t>
      </w:r>
      <w:r w:rsidR="00B4476A" w:rsidRPr="00F63E83">
        <w:rPr>
          <w:rFonts w:ascii="Arial" w:hAnsi="Arial" w:cs="Arial"/>
          <w:b w:val="0"/>
          <w:sz w:val="22"/>
          <w:szCs w:val="22"/>
        </w:rPr>
        <w:t>1</w:t>
      </w:r>
      <w:r w:rsidR="00A44544" w:rsidRPr="00F63E83">
        <w:rPr>
          <w:rFonts w:ascii="Arial" w:hAnsi="Arial" w:cs="Arial"/>
          <w:b w:val="0"/>
          <w:sz w:val="22"/>
          <w:szCs w:val="22"/>
        </w:rPr>
        <w:t xml:space="preserve"> </w:t>
      </w:r>
      <w:r w:rsidR="001D540E" w:rsidRPr="00F63E83">
        <w:rPr>
          <w:rFonts w:ascii="Arial" w:hAnsi="Arial" w:cs="Arial"/>
          <w:b w:val="0"/>
          <w:sz w:val="22"/>
          <w:szCs w:val="22"/>
        </w:rPr>
        <w:t>büyümüştür</w:t>
      </w:r>
      <w:r w:rsidR="00A44544" w:rsidRPr="00F63E83">
        <w:rPr>
          <w:rFonts w:ascii="Arial" w:hAnsi="Arial" w:cs="Arial"/>
          <w:b w:val="0"/>
          <w:sz w:val="22"/>
          <w:szCs w:val="22"/>
        </w:rPr>
        <w:t>.</w:t>
      </w:r>
      <w:r w:rsidRPr="00F63E83">
        <w:rPr>
          <w:rFonts w:ascii="Arial" w:hAnsi="Arial" w:cs="Arial"/>
          <w:b w:val="0"/>
          <w:sz w:val="22"/>
          <w:szCs w:val="22"/>
        </w:rPr>
        <w:t xml:space="preserve"> </w:t>
      </w:r>
      <w:r w:rsidR="00315335" w:rsidRPr="00F63E83">
        <w:rPr>
          <w:rFonts w:ascii="Arial" w:hAnsi="Arial" w:cs="Arial"/>
          <w:b w:val="0"/>
          <w:sz w:val="22"/>
          <w:szCs w:val="22"/>
        </w:rPr>
        <w:t>Menkul değerler cüzdanı</w:t>
      </w:r>
      <w:r w:rsidRPr="00F63E83">
        <w:rPr>
          <w:rFonts w:ascii="Arial" w:hAnsi="Arial" w:cs="Arial"/>
          <w:b w:val="0"/>
          <w:sz w:val="22"/>
          <w:szCs w:val="22"/>
        </w:rPr>
        <w:t xml:space="preserve"> yüzde </w:t>
      </w:r>
      <w:r w:rsidR="00B4476A" w:rsidRPr="00F63E83">
        <w:rPr>
          <w:rFonts w:ascii="Arial" w:hAnsi="Arial" w:cs="Arial"/>
          <w:b w:val="0"/>
          <w:sz w:val="22"/>
          <w:szCs w:val="22"/>
        </w:rPr>
        <w:t>6</w:t>
      </w:r>
      <w:r w:rsidR="001D540E" w:rsidRPr="00F63E83">
        <w:rPr>
          <w:rFonts w:ascii="Arial" w:hAnsi="Arial" w:cs="Arial"/>
          <w:b w:val="0"/>
          <w:sz w:val="22"/>
          <w:szCs w:val="22"/>
        </w:rPr>
        <w:t xml:space="preserve">, </w:t>
      </w:r>
      <w:r w:rsidR="00CA32CB" w:rsidRPr="00F63E83">
        <w:rPr>
          <w:rFonts w:ascii="Arial" w:hAnsi="Arial" w:cs="Arial"/>
          <w:b w:val="0"/>
          <w:sz w:val="22"/>
          <w:szCs w:val="22"/>
        </w:rPr>
        <w:t>kredil</w:t>
      </w:r>
      <w:r w:rsidR="00A44544" w:rsidRPr="00F63E83">
        <w:rPr>
          <w:rFonts w:ascii="Arial" w:hAnsi="Arial" w:cs="Arial"/>
          <w:b w:val="0"/>
          <w:sz w:val="22"/>
          <w:szCs w:val="22"/>
        </w:rPr>
        <w:t xml:space="preserve">er </w:t>
      </w:r>
      <w:r w:rsidR="00F16D4F" w:rsidRPr="00F63E83">
        <w:rPr>
          <w:rFonts w:ascii="Arial" w:hAnsi="Arial" w:cs="Arial"/>
          <w:b w:val="0"/>
          <w:sz w:val="22"/>
          <w:szCs w:val="22"/>
        </w:rPr>
        <w:t xml:space="preserve">ise </w:t>
      </w:r>
      <w:r w:rsidR="00A44544" w:rsidRPr="00F63E83">
        <w:rPr>
          <w:rFonts w:ascii="Arial" w:hAnsi="Arial" w:cs="Arial"/>
          <w:b w:val="0"/>
          <w:sz w:val="22"/>
          <w:szCs w:val="22"/>
        </w:rPr>
        <w:t xml:space="preserve">yüzde </w:t>
      </w:r>
      <w:r w:rsidR="00B4476A" w:rsidRPr="00F63E83">
        <w:rPr>
          <w:rFonts w:ascii="Arial" w:hAnsi="Arial" w:cs="Arial"/>
          <w:b w:val="0"/>
          <w:sz w:val="22"/>
          <w:szCs w:val="22"/>
        </w:rPr>
        <w:t>19</w:t>
      </w:r>
      <w:r w:rsidR="00315335" w:rsidRPr="00F63E83">
        <w:rPr>
          <w:rFonts w:ascii="Arial" w:hAnsi="Arial" w:cs="Arial"/>
          <w:b w:val="0"/>
          <w:sz w:val="22"/>
          <w:szCs w:val="22"/>
        </w:rPr>
        <w:t xml:space="preserve"> </w:t>
      </w:r>
      <w:r w:rsidRPr="00F63E83">
        <w:rPr>
          <w:rFonts w:ascii="Arial" w:hAnsi="Arial" w:cs="Arial"/>
          <w:b w:val="0"/>
          <w:sz w:val="22"/>
          <w:szCs w:val="22"/>
        </w:rPr>
        <w:t>oranında artmıştır</w:t>
      </w:r>
      <w:r w:rsidR="006538FE" w:rsidRPr="00F63E83">
        <w:rPr>
          <w:rFonts w:ascii="Arial" w:hAnsi="Arial" w:cs="Arial"/>
          <w:b w:val="0"/>
          <w:sz w:val="22"/>
          <w:szCs w:val="22"/>
        </w:rPr>
        <w:t>.</w:t>
      </w:r>
      <w:r w:rsidR="001D540E" w:rsidRPr="00F63E83">
        <w:rPr>
          <w:rFonts w:ascii="Arial" w:hAnsi="Arial" w:cs="Arial"/>
          <w:b w:val="0"/>
          <w:sz w:val="22"/>
          <w:szCs w:val="22"/>
        </w:rPr>
        <w:t xml:space="preserve"> </w:t>
      </w:r>
      <w:r w:rsidR="00B4476A" w:rsidRPr="00F63E83">
        <w:rPr>
          <w:rFonts w:ascii="Arial" w:hAnsi="Arial" w:cs="Arial"/>
          <w:b w:val="0"/>
          <w:sz w:val="22"/>
          <w:szCs w:val="22"/>
        </w:rPr>
        <w:t xml:space="preserve">Haziran </w:t>
      </w:r>
      <w:r w:rsidR="0087259E" w:rsidRPr="00F63E83">
        <w:rPr>
          <w:rFonts w:ascii="Arial" w:hAnsi="Arial" w:cs="Arial"/>
          <w:b w:val="0"/>
          <w:sz w:val="22"/>
          <w:szCs w:val="22"/>
        </w:rPr>
        <w:t>2012 itibariyle,</w:t>
      </w:r>
      <w:r w:rsidR="00B4476A" w:rsidRPr="00F63E83">
        <w:rPr>
          <w:rFonts w:ascii="Arial" w:hAnsi="Arial" w:cs="Arial"/>
          <w:b w:val="0"/>
          <w:sz w:val="22"/>
          <w:szCs w:val="22"/>
        </w:rPr>
        <w:t xml:space="preserve"> k</w:t>
      </w:r>
      <w:r w:rsidR="00567171" w:rsidRPr="00F63E83">
        <w:rPr>
          <w:rFonts w:ascii="Arial" w:hAnsi="Arial" w:cs="Arial"/>
          <w:b w:val="0"/>
          <w:sz w:val="22"/>
          <w:szCs w:val="22"/>
        </w:rPr>
        <w:t xml:space="preserve">redi stoku yıllık artış hızı </w:t>
      </w:r>
      <w:r w:rsidR="00B4476A" w:rsidRPr="00F63E83">
        <w:rPr>
          <w:rFonts w:ascii="Arial" w:hAnsi="Arial" w:cs="Arial"/>
          <w:b w:val="0"/>
          <w:sz w:val="22"/>
          <w:szCs w:val="22"/>
        </w:rPr>
        <w:t xml:space="preserve">ekonomideki ılımlı yavaşlamaya paralel olarak </w:t>
      </w:r>
      <w:r w:rsidR="0087259E" w:rsidRPr="00F63E83">
        <w:rPr>
          <w:rFonts w:ascii="Arial" w:hAnsi="Arial" w:cs="Arial"/>
          <w:b w:val="0"/>
          <w:sz w:val="22"/>
          <w:szCs w:val="22"/>
        </w:rPr>
        <w:t>Aralık</w:t>
      </w:r>
      <w:r w:rsidR="001D540E" w:rsidRPr="00F63E83">
        <w:rPr>
          <w:rFonts w:ascii="Arial" w:hAnsi="Arial" w:cs="Arial"/>
          <w:b w:val="0"/>
          <w:sz w:val="22"/>
          <w:szCs w:val="22"/>
        </w:rPr>
        <w:t xml:space="preserve"> 201</w:t>
      </w:r>
      <w:r w:rsidR="00B4476A" w:rsidRPr="00F63E83">
        <w:rPr>
          <w:rFonts w:ascii="Arial" w:hAnsi="Arial" w:cs="Arial"/>
          <w:b w:val="0"/>
          <w:sz w:val="22"/>
          <w:szCs w:val="22"/>
        </w:rPr>
        <w:t>1’</w:t>
      </w:r>
      <w:r w:rsidR="0087259E" w:rsidRPr="00F63E83">
        <w:rPr>
          <w:rFonts w:ascii="Arial" w:hAnsi="Arial" w:cs="Arial"/>
          <w:b w:val="0"/>
          <w:sz w:val="22"/>
          <w:szCs w:val="22"/>
        </w:rPr>
        <w:t>e</w:t>
      </w:r>
      <w:r w:rsidR="001D540E" w:rsidRPr="00F63E83">
        <w:rPr>
          <w:rFonts w:ascii="Arial" w:hAnsi="Arial" w:cs="Arial"/>
          <w:b w:val="0"/>
          <w:sz w:val="22"/>
          <w:szCs w:val="22"/>
        </w:rPr>
        <w:t xml:space="preserve"> göre </w:t>
      </w:r>
      <w:r w:rsidR="00315335" w:rsidRPr="00F63E83">
        <w:rPr>
          <w:rFonts w:ascii="Arial" w:hAnsi="Arial" w:cs="Arial"/>
          <w:b w:val="0"/>
          <w:sz w:val="22"/>
          <w:szCs w:val="22"/>
        </w:rPr>
        <w:t>azalmış</w:t>
      </w:r>
      <w:r w:rsidR="00B4476A" w:rsidRPr="00F63E83">
        <w:rPr>
          <w:rFonts w:ascii="Arial" w:hAnsi="Arial" w:cs="Arial"/>
          <w:b w:val="0"/>
          <w:sz w:val="22"/>
          <w:szCs w:val="22"/>
        </w:rPr>
        <w:t>, takipteki krediler hafifçe artmıştır.</w:t>
      </w:r>
      <w:r w:rsidR="001D540E" w:rsidRPr="00F63E83">
        <w:rPr>
          <w:rFonts w:ascii="Arial" w:hAnsi="Arial" w:cs="Arial"/>
          <w:b w:val="0"/>
          <w:sz w:val="22"/>
          <w:szCs w:val="22"/>
        </w:rPr>
        <w:t xml:space="preserve"> </w:t>
      </w:r>
    </w:p>
    <w:p w:rsidR="001D540E" w:rsidRPr="00F63E83" w:rsidRDefault="001D540E" w:rsidP="00373BB1">
      <w:pPr>
        <w:pStyle w:val="Subtitle"/>
        <w:rPr>
          <w:rFonts w:ascii="Arial" w:hAnsi="Arial" w:cs="Arial"/>
          <w:b w:val="0"/>
          <w:sz w:val="22"/>
          <w:szCs w:val="22"/>
        </w:rPr>
      </w:pPr>
    </w:p>
    <w:p w:rsidR="00373BB1" w:rsidRPr="00F63E83" w:rsidRDefault="006538FE" w:rsidP="00373BB1">
      <w:pPr>
        <w:pStyle w:val="Subtitle"/>
        <w:rPr>
          <w:rFonts w:ascii="Arial" w:hAnsi="Arial" w:cs="Arial"/>
          <w:b w:val="0"/>
          <w:sz w:val="22"/>
          <w:szCs w:val="22"/>
        </w:rPr>
      </w:pPr>
      <w:r w:rsidRPr="00F63E83">
        <w:rPr>
          <w:rFonts w:ascii="Arial" w:hAnsi="Arial" w:cs="Arial"/>
          <w:b w:val="0"/>
          <w:sz w:val="22"/>
          <w:szCs w:val="22"/>
        </w:rPr>
        <w:t>Yıllık bazda bakıldığında, k</w:t>
      </w:r>
      <w:r w:rsidR="00373BB1" w:rsidRPr="00F63E83">
        <w:rPr>
          <w:rFonts w:ascii="Arial" w:hAnsi="Arial" w:cs="Arial"/>
          <w:b w:val="0"/>
          <w:sz w:val="22"/>
          <w:szCs w:val="22"/>
        </w:rPr>
        <w:t>redilerin toplam</w:t>
      </w:r>
      <w:r w:rsidR="001D7456" w:rsidRPr="00F63E83">
        <w:rPr>
          <w:rFonts w:ascii="Arial" w:hAnsi="Arial" w:cs="Arial"/>
          <w:b w:val="0"/>
          <w:sz w:val="22"/>
          <w:szCs w:val="22"/>
        </w:rPr>
        <w:t xml:space="preserve"> aktifler içi</w:t>
      </w:r>
      <w:r w:rsidR="007526A6" w:rsidRPr="00F63E83">
        <w:rPr>
          <w:rFonts w:ascii="Arial" w:hAnsi="Arial" w:cs="Arial"/>
          <w:b w:val="0"/>
          <w:sz w:val="22"/>
          <w:szCs w:val="22"/>
        </w:rPr>
        <w:t xml:space="preserve">ndeki payı yüzde </w:t>
      </w:r>
      <w:r w:rsidR="00C3544B" w:rsidRPr="00F63E83">
        <w:rPr>
          <w:rFonts w:ascii="Arial" w:hAnsi="Arial" w:cs="Arial"/>
          <w:b w:val="0"/>
          <w:sz w:val="22"/>
          <w:szCs w:val="22"/>
        </w:rPr>
        <w:t>61</w:t>
      </w:r>
      <w:r w:rsidR="00373BB1" w:rsidRPr="00F63E83">
        <w:rPr>
          <w:rFonts w:ascii="Arial" w:hAnsi="Arial" w:cs="Arial"/>
          <w:b w:val="0"/>
          <w:sz w:val="22"/>
          <w:szCs w:val="22"/>
        </w:rPr>
        <w:t>’</w:t>
      </w:r>
      <w:r w:rsidR="00C3544B" w:rsidRPr="00F63E83">
        <w:rPr>
          <w:rFonts w:ascii="Arial" w:hAnsi="Arial" w:cs="Arial"/>
          <w:b w:val="0"/>
          <w:sz w:val="22"/>
          <w:szCs w:val="22"/>
        </w:rPr>
        <w:t>e</w:t>
      </w:r>
      <w:r w:rsidR="00834737" w:rsidRPr="00F63E83">
        <w:rPr>
          <w:rFonts w:ascii="Arial" w:hAnsi="Arial" w:cs="Arial"/>
          <w:b w:val="0"/>
          <w:sz w:val="22"/>
          <w:szCs w:val="22"/>
        </w:rPr>
        <w:t xml:space="preserve"> </w:t>
      </w:r>
      <w:r w:rsidR="00543ABE" w:rsidRPr="00F63E83">
        <w:rPr>
          <w:rFonts w:ascii="Arial" w:hAnsi="Arial" w:cs="Arial"/>
          <w:b w:val="0"/>
          <w:sz w:val="22"/>
          <w:szCs w:val="22"/>
        </w:rPr>
        <w:t>yükselmiştir</w:t>
      </w:r>
      <w:r w:rsidR="00834737" w:rsidRPr="00F63E83">
        <w:rPr>
          <w:rFonts w:ascii="Arial" w:hAnsi="Arial" w:cs="Arial"/>
          <w:b w:val="0"/>
          <w:sz w:val="22"/>
          <w:szCs w:val="22"/>
        </w:rPr>
        <w:t xml:space="preserve">. </w:t>
      </w:r>
      <w:r w:rsidR="00373BB1" w:rsidRPr="00F63E83">
        <w:rPr>
          <w:rFonts w:ascii="Arial" w:hAnsi="Arial" w:cs="Arial"/>
          <w:b w:val="0"/>
          <w:sz w:val="22"/>
          <w:szCs w:val="22"/>
        </w:rPr>
        <w:t>Takipteki krediler</w:t>
      </w:r>
      <w:r w:rsidR="001D7456" w:rsidRPr="00F63E83">
        <w:rPr>
          <w:rFonts w:ascii="Arial" w:hAnsi="Arial" w:cs="Arial"/>
          <w:b w:val="0"/>
          <w:sz w:val="22"/>
          <w:szCs w:val="22"/>
        </w:rPr>
        <w:t xml:space="preserve"> </w:t>
      </w:r>
      <w:r w:rsidR="00315335" w:rsidRPr="00F63E83">
        <w:rPr>
          <w:rFonts w:ascii="Arial" w:hAnsi="Arial" w:cs="Arial"/>
          <w:b w:val="0"/>
          <w:sz w:val="22"/>
          <w:szCs w:val="22"/>
        </w:rPr>
        <w:t xml:space="preserve">yüzde </w:t>
      </w:r>
      <w:r w:rsidR="00C3544B" w:rsidRPr="00F63E83">
        <w:rPr>
          <w:rFonts w:ascii="Arial" w:hAnsi="Arial" w:cs="Arial"/>
          <w:b w:val="0"/>
          <w:sz w:val="22"/>
          <w:szCs w:val="22"/>
        </w:rPr>
        <w:t>9</w:t>
      </w:r>
      <w:r w:rsidR="001D540E" w:rsidRPr="00F63E83">
        <w:rPr>
          <w:rFonts w:ascii="Arial" w:hAnsi="Arial" w:cs="Arial"/>
          <w:b w:val="0"/>
          <w:sz w:val="22"/>
          <w:szCs w:val="22"/>
        </w:rPr>
        <w:t xml:space="preserve"> </w:t>
      </w:r>
      <w:r w:rsidR="00C87E78" w:rsidRPr="00F63E83">
        <w:rPr>
          <w:rFonts w:ascii="Arial" w:hAnsi="Arial" w:cs="Arial"/>
          <w:b w:val="0"/>
          <w:sz w:val="22"/>
          <w:szCs w:val="22"/>
        </w:rPr>
        <w:t>artarken,</w:t>
      </w:r>
      <w:r w:rsidR="00834737" w:rsidRPr="00F63E83">
        <w:rPr>
          <w:rFonts w:ascii="Arial" w:hAnsi="Arial" w:cs="Arial"/>
          <w:b w:val="0"/>
          <w:sz w:val="22"/>
          <w:szCs w:val="22"/>
        </w:rPr>
        <w:t xml:space="preserve"> </w:t>
      </w:r>
      <w:r w:rsidR="00373BB1" w:rsidRPr="00F63E83">
        <w:rPr>
          <w:rFonts w:ascii="Arial" w:hAnsi="Arial" w:cs="Arial"/>
          <w:b w:val="0"/>
          <w:sz w:val="22"/>
          <w:szCs w:val="22"/>
        </w:rPr>
        <w:t>özel karşılıklar</w:t>
      </w:r>
      <w:r w:rsidR="00C3544B" w:rsidRPr="00F63E83">
        <w:rPr>
          <w:rFonts w:ascii="Arial" w:hAnsi="Arial" w:cs="Arial"/>
          <w:b w:val="0"/>
          <w:sz w:val="22"/>
          <w:szCs w:val="22"/>
        </w:rPr>
        <w:t>daki artış</w:t>
      </w:r>
      <w:r w:rsidR="00373BB1" w:rsidRPr="00F63E83">
        <w:rPr>
          <w:rFonts w:ascii="Arial" w:hAnsi="Arial" w:cs="Arial"/>
          <w:b w:val="0"/>
          <w:sz w:val="22"/>
          <w:szCs w:val="22"/>
        </w:rPr>
        <w:t xml:space="preserve"> yüzde </w:t>
      </w:r>
      <w:r w:rsidR="00C3544B" w:rsidRPr="00F63E83">
        <w:rPr>
          <w:rFonts w:ascii="Arial" w:hAnsi="Arial" w:cs="Arial"/>
          <w:b w:val="0"/>
          <w:sz w:val="22"/>
          <w:szCs w:val="22"/>
        </w:rPr>
        <w:lastRenderedPageBreak/>
        <w:t>2</w:t>
      </w:r>
      <w:r w:rsidR="00373BB1" w:rsidRPr="00F63E83">
        <w:rPr>
          <w:rFonts w:ascii="Arial" w:hAnsi="Arial" w:cs="Arial"/>
          <w:b w:val="0"/>
          <w:sz w:val="22"/>
          <w:szCs w:val="22"/>
        </w:rPr>
        <w:t xml:space="preserve"> </w:t>
      </w:r>
      <w:r w:rsidR="00C3544B" w:rsidRPr="00F63E83">
        <w:rPr>
          <w:rFonts w:ascii="Arial" w:hAnsi="Arial" w:cs="Arial"/>
          <w:b w:val="0"/>
          <w:sz w:val="22"/>
          <w:szCs w:val="22"/>
        </w:rPr>
        <w:t>seviyesinde kalmıştır</w:t>
      </w:r>
      <w:r w:rsidR="00373BB1" w:rsidRPr="00F63E83">
        <w:rPr>
          <w:rFonts w:ascii="Arial" w:hAnsi="Arial" w:cs="Arial"/>
          <w:b w:val="0"/>
          <w:sz w:val="22"/>
          <w:szCs w:val="22"/>
        </w:rPr>
        <w:t>. Özel karşılıkların takipteki kr</w:t>
      </w:r>
      <w:r w:rsidR="00532BF8" w:rsidRPr="00F63E83">
        <w:rPr>
          <w:rFonts w:ascii="Arial" w:hAnsi="Arial" w:cs="Arial"/>
          <w:b w:val="0"/>
          <w:sz w:val="22"/>
          <w:szCs w:val="22"/>
        </w:rPr>
        <w:t>e</w:t>
      </w:r>
      <w:r w:rsidRPr="00F63E83">
        <w:rPr>
          <w:rFonts w:ascii="Arial" w:hAnsi="Arial" w:cs="Arial"/>
          <w:b w:val="0"/>
          <w:sz w:val="22"/>
          <w:szCs w:val="22"/>
        </w:rPr>
        <w:t>dileri k</w:t>
      </w:r>
      <w:r w:rsidR="007526A6" w:rsidRPr="00F63E83">
        <w:rPr>
          <w:rFonts w:ascii="Arial" w:hAnsi="Arial" w:cs="Arial"/>
          <w:b w:val="0"/>
          <w:sz w:val="22"/>
          <w:szCs w:val="22"/>
        </w:rPr>
        <w:t>arşılama oranı yüzde 8</w:t>
      </w:r>
      <w:r w:rsidR="00C3544B" w:rsidRPr="00F63E83">
        <w:rPr>
          <w:rFonts w:ascii="Arial" w:hAnsi="Arial" w:cs="Arial"/>
          <w:b w:val="0"/>
          <w:sz w:val="22"/>
          <w:szCs w:val="22"/>
        </w:rPr>
        <w:t>1</w:t>
      </w:r>
      <w:r w:rsidR="00373BB1" w:rsidRPr="00F63E83">
        <w:rPr>
          <w:rFonts w:ascii="Arial" w:hAnsi="Arial" w:cs="Arial"/>
          <w:b w:val="0"/>
          <w:sz w:val="22"/>
          <w:szCs w:val="22"/>
        </w:rPr>
        <w:t xml:space="preserve"> </w:t>
      </w:r>
      <w:r w:rsidR="00834737" w:rsidRPr="00F63E83">
        <w:rPr>
          <w:rFonts w:ascii="Arial" w:hAnsi="Arial" w:cs="Arial"/>
          <w:b w:val="0"/>
          <w:sz w:val="22"/>
          <w:szCs w:val="22"/>
        </w:rPr>
        <w:t xml:space="preserve">olmuştur. </w:t>
      </w:r>
      <w:r w:rsidR="00BF0D5E" w:rsidRPr="00F63E83">
        <w:rPr>
          <w:rFonts w:ascii="Arial" w:hAnsi="Arial" w:cs="Arial"/>
          <w:b w:val="0"/>
          <w:sz w:val="22"/>
          <w:szCs w:val="22"/>
        </w:rPr>
        <w:t>Tahsili gecikmiş alacakların kredilere oranı</w:t>
      </w:r>
      <w:r w:rsidR="00301D46" w:rsidRPr="00F63E83">
        <w:rPr>
          <w:rFonts w:ascii="Arial" w:hAnsi="Arial" w:cs="Arial"/>
          <w:b w:val="0"/>
          <w:sz w:val="22"/>
          <w:szCs w:val="22"/>
        </w:rPr>
        <w:t xml:space="preserve"> (brüt)</w:t>
      </w:r>
      <w:r w:rsidR="00BF0D5E" w:rsidRPr="00F63E83">
        <w:rPr>
          <w:rFonts w:ascii="Arial" w:hAnsi="Arial" w:cs="Arial"/>
          <w:b w:val="0"/>
          <w:sz w:val="22"/>
          <w:szCs w:val="22"/>
        </w:rPr>
        <w:t xml:space="preserve"> </w:t>
      </w:r>
      <w:r w:rsidR="00C3544B" w:rsidRPr="00F63E83">
        <w:rPr>
          <w:rFonts w:ascii="Arial" w:hAnsi="Arial" w:cs="Arial"/>
          <w:b w:val="0"/>
          <w:sz w:val="22"/>
          <w:szCs w:val="22"/>
        </w:rPr>
        <w:t>Haziran</w:t>
      </w:r>
      <w:r w:rsidR="00C87E78" w:rsidRPr="00F63E83">
        <w:rPr>
          <w:rFonts w:ascii="Arial" w:hAnsi="Arial" w:cs="Arial"/>
          <w:b w:val="0"/>
          <w:sz w:val="22"/>
          <w:szCs w:val="22"/>
        </w:rPr>
        <w:t xml:space="preserve"> 2011</w:t>
      </w:r>
      <w:r w:rsidR="005C39DE" w:rsidRPr="00F63E83">
        <w:rPr>
          <w:rFonts w:ascii="Arial" w:hAnsi="Arial" w:cs="Arial"/>
          <w:b w:val="0"/>
          <w:sz w:val="22"/>
          <w:szCs w:val="22"/>
        </w:rPr>
        <w:t xml:space="preserve"> itibariyle</w:t>
      </w:r>
      <w:r w:rsidR="00BF0D5E" w:rsidRPr="00F63E83">
        <w:rPr>
          <w:rFonts w:ascii="Arial" w:hAnsi="Arial" w:cs="Arial"/>
          <w:b w:val="0"/>
          <w:sz w:val="22"/>
          <w:szCs w:val="22"/>
        </w:rPr>
        <w:t xml:space="preserve"> </w:t>
      </w:r>
      <w:r w:rsidR="001953FE" w:rsidRPr="00F63E83">
        <w:rPr>
          <w:rFonts w:ascii="Arial" w:hAnsi="Arial" w:cs="Arial"/>
          <w:b w:val="0"/>
          <w:sz w:val="22"/>
          <w:szCs w:val="22"/>
        </w:rPr>
        <w:t>yüzde</w:t>
      </w:r>
      <w:r w:rsidR="00C87E78" w:rsidRPr="00F63E83">
        <w:rPr>
          <w:rFonts w:ascii="Arial" w:hAnsi="Arial" w:cs="Arial"/>
          <w:b w:val="0"/>
          <w:sz w:val="22"/>
          <w:szCs w:val="22"/>
        </w:rPr>
        <w:t xml:space="preserve"> 3</w:t>
      </w:r>
      <w:r w:rsidR="00C3544B" w:rsidRPr="00F63E83">
        <w:rPr>
          <w:rFonts w:ascii="Arial" w:hAnsi="Arial" w:cs="Arial"/>
          <w:b w:val="0"/>
          <w:sz w:val="22"/>
          <w:szCs w:val="22"/>
        </w:rPr>
        <w:t xml:space="preserve"> </w:t>
      </w:r>
      <w:r w:rsidR="00BF0D5E" w:rsidRPr="00F63E83">
        <w:rPr>
          <w:rFonts w:ascii="Arial" w:hAnsi="Arial" w:cs="Arial"/>
          <w:b w:val="0"/>
          <w:sz w:val="22"/>
          <w:szCs w:val="22"/>
        </w:rPr>
        <w:t>iken</w:t>
      </w:r>
      <w:r w:rsidR="000D45AA" w:rsidRPr="00F63E83">
        <w:rPr>
          <w:rFonts w:ascii="Arial" w:hAnsi="Arial" w:cs="Arial"/>
          <w:b w:val="0"/>
          <w:sz w:val="22"/>
          <w:szCs w:val="22"/>
        </w:rPr>
        <w:t>,</w:t>
      </w:r>
      <w:r w:rsidR="007329C2" w:rsidRPr="00F63E83">
        <w:rPr>
          <w:rFonts w:ascii="Arial" w:hAnsi="Arial" w:cs="Arial"/>
          <w:b w:val="0"/>
          <w:sz w:val="22"/>
          <w:szCs w:val="22"/>
        </w:rPr>
        <w:t xml:space="preserve"> </w:t>
      </w:r>
      <w:r w:rsidR="00C3544B" w:rsidRPr="00F63E83">
        <w:rPr>
          <w:rFonts w:ascii="Arial" w:hAnsi="Arial" w:cs="Arial"/>
          <w:b w:val="0"/>
          <w:sz w:val="22"/>
          <w:szCs w:val="22"/>
        </w:rPr>
        <w:t>Haziran</w:t>
      </w:r>
      <w:r w:rsidR="007526A6" w:rsidRPr="00F63E83">
        <w:rPr>
          <w:rFonts w:ascii="Arial" w:hAnsi="Arial" w:cs="Arial"/>
          <w:b w:val="0"/>
          <w:sz w:val="22"/>
          <w:szCs w:val="22"/>
        </w:rPr>
        <w:t xml:space="preserve"> </w:t>
      </w:r>
      <w:r w:rsidR="00C87E78" w:rsidRPr="00F63E83">
        <w:rPr>
          <w:rFonts w:ascii="Arial" w:hAnsi="Arial" w:cs="Arial"/>
          <w:b w:val="0"/>
          <w:sz w:val="22"/>
          <w:szCs w:val="22"/>
        </w:rPr>
        <w:t>2012</w:t>
      </w:r>
      <w:r w:rsidR="001D540E" w:rsidRPr="00F63E83">
        <w:rPr>
          <w:rFonts w:ascii="Arial" w:hAnsi="Arial" w:cs="Arial"/>
          <w:b w:val="0"/>
          <w:sz w:val="22"/>
          <w:szCs w:val="22"/>
        </w:rPr>
        <w:t xml:space="preserve"> itibariyle</w:t>
      </w:r>
      <w:r w:rsidR="00BF0D5E" w:rsidRPr="00F63E83">
        <w:rPr>
          <w:rFonts w:ascii="Arial" w:hAnsi="Arial" w:cs="Arial"/>
          <w:b w:val="0"/>
          <w:sz w:val="22"/>
          <w:szCs w:val="22"/>
        </w:rPr>
        <w:t xml:space="preserve"> </w:t>
      </w:r>
      <w:r w:rsidR="00161692" w:rsidRPr="00F63E83">
        <w:rPr>
          <w:rFonts w:ascii="Arial" w:hAnsi="Arial" w:cs="Arial"/>
          <w:b w:val="0"/>
          <w:sz w:val="22"/>
          <w:szCs w:val="22"/>
        </w:rPr>
        <w:t>yüzde 2,</w:t>
      </w:r>
      <w:r w:rsidR="00C3544B" w:rsidRPr="00F63E83">
        <w:rPr>
          <w:rFonts w:ascii="Arial" w:hAnsi="Arial" w:cs="Arial"/>
          <w:b w:val="0"/>
          <w:sz w:val="22"/>
          <w:szCs w:val="22"/>
        </w:rPr>
        <w:t>8</w:t>
      </w:r>
      <w:r w:rsidR="00C87E78" w:rsidRPr="00F63E83">
        <w:rPr>
          <w:rFonts w:ascii="Arial" w:hAnsi="Arial" w:cs="Arial"/>
          <w:b w:val="0"/>
          <w:sz w:val="22"/>
          <w:szCs w:val="22"/>
        </w:rPr>
        <w:t>’</w:t>
      </w:r>
      <w:r w:rsidR="00C3544B" w:rsidRPr="00F63E83">
        <w:rPr>
          <w:rFonts w:ascii="Arial" w:hAnsi="Arial" w:cs="Arial"/>
          <w:b w:val="0"/>
          <w:sz w:val="22"/>
          <w:szCs w:val="22"/>
        </w:rPr>
        <w:t>e</w:t>
      </w:r>
      <w:r w:rsidR="00BF0D5E" w:rsidRPr="00F63E83">
        <w:rPr>
          <w:rFonts w:ascii="Arial" w:hAnsi="Arial" w:cs="Arial"/>
          <w:b w:val="0"/>
          <w:sz w:val="22"/>
          <w:szCs w:val="22"/>
        </w:rPr>
        <w:t xml:space="preserve"> </w:t>
      </w:r>
      <w:r w:rsidR="005C39DE" w:rsidRPr="00F63E83">
        <w:rPr>
          <w:rFonts w:ascii="Arial" w:hAnsi="Arial" w:cs="Arial"/>
          <w:b w:val="0"/>
          <w:sz w:val="22"/>
          <w:szCs w:val="22"/>
        </w:rPr>
        <w:t>gerilemiştir</w:t>
      </w:r>
      <w:r w:rsidR="00BF0D5E" w:rsidRPr="00F63E83">
        <w:rPr>
          <w:rFonts w:ascii="Arial" w:hAnsi="Arial" w:cs="Arial"/>
          <w:b w:val="0"/>
          <w:sz w:val="22"/>
          <w:szCs w:val="22"/>
        </w:rPr>
        <w:t xml:space="preserve">. </w:t>
      </w:r>
      <w:r w:rsidR="005C39DE" w:rsidRPr="00F63E83">
        <w:rPr>
          <w:rFonts w:ascii="Arial" w:hAnsi="Arial" w:cs="Arial"/>
          <w:b w:val="0"/>
          <w:sz w:val="22"/>
          <w:szCs w:val="22"/>
        </w:rPr>
        <w:t>Toplam kredilerin yüzde 1</w:t>
      </w:r>
      <w:r w:rsidR="00C87E78" w:rsidRPr="00F63E83">
        <w:rPr>
          <w:rFonts w:ascii="Arial" w:hAnsi="Arial" w:cs="Arial"/>
          <w:b w:val="0"/>
          <w:sz w:val="22"/>
          <w:szCs w:val="22"/>
        </w:rPr>
        <w:t>,3</w:t>
      </w:r>
      <w:r w:rsidR="002D67D5" w:rsidRPr="00F63E83">
        <w:rPr>
          <w:rFonts w:ascii="Arial" w:hAnsi="Arial" w:cs="Arial"/>
          <w:b w:val="0"/>
          <w:sz w:val="22"/>
          <w:szCs w:val="22"/>
        </w:rPr>
        <w:t>’</w:t>
      </w:r>
      <w:r w:rsidR="00FC00BB" w:rsidRPr="00F63E83">
        <w:rPr>
          <w:rFonts w:ascii="Arial" w:hAnsi="Arial" w:cs="Arial"/>
          <w:b w:val="0"/>
          <w:sz w:val="22"/>
          <w:szCs w:val="22"/>
        </w:rPr>
        <w:t>ü (</w:t>
      </w:r>
      <w:r w:rsidR="000D69CF" w:rsidRPr="00F63E83">
        <w:rPr>
          <w:rFonts w:ascii="Arial" w:hAnsi="Arial" w:cs="Arial"/>
          <w:b w:val="0"/>
          <w:sz w:val="22"/>
          <w:szCs w:val="22"/>
        </w:rPr>
        <w:t>7</w:t>
      </w:r>
      <w:r w:rsidR="00C87E78" w:rsidRPr="00F63E83">
        <w:rPr>
          <w:rFonts w:ascii="Arial" w:hAnsi="Arial" w:cs="Arial"/>
          <w:b w:val="0"/>
          <w:sz w:val="22"/>
          <w:szCs w:val="22"/>
        </w:rPr>
        <w:t>,</w:t>
      </w:r>
      <w:r w:rsidR="00C3544B" w:rsidRPr="00F63E83">
        <w:rPr>
          <w:rFonts w:ascii="Arial" w:hAnsi="Arial" w:cs="Arial"/>
          <w:b w:val="0"/>
          <w:sz w:val="22"/>
          <w:szCs w:val="22"/>
        </w:rPr>
        <w:t>2</w:t>
      </w:r>
      <w:r w:rsidR="002D67D5" w:rsidRPr="00F63E83">
        <w:rPr>
          <w:rFonts w:ascii="Arial" w:hAnsi="Arial" w:cs="Arial"/>
          <w:b w:val="0"/>
          <w:sz w:val="22"/>
          <w:szCs w:val="22"/>
        </w:rPr>
        <w:t xml:space="preserve"> milyar TL) bankanın dahil olduğu risk grubuna aittir.  </w:t>
      </w:r>
    </w:p>
    <w:p w:rsidR="00373BB1" w:rsidRPr="00F63E83" w:rsidRDefault="00373BB1" w:rsidP="00373BB1">
      <w:pPr>
        <w:pStyle w:val="Subtitle"/>
        <w:rPr>
          <w:rFonts w:ascii="Arial" w:hAnsi="Arial" w:cs="Arial"/>
          <w:b w:val="0"/>
          <w:sz w:val="22"/>
          <w:szCs w:val="22"/>
        </w:rPr>
      </w:pPr>
    </w:p>
    <w:p w:rsidR="00373BB1" w:rsidRPr="00F63E83" w:rsidRDefault="00373BB1" w:rsidP="00373BB1">
      <w:pPr>
        <w:pStyle w:val="Subtitle"/>
        <w:rPr>
          <w:rFonts w:ascii="Arial" w:hAnsi="Arial" w:cs="Arial"/>
          <w:b w:val="0"/>
          <w:sz w:val="22"/>
          <w:szCs w:val="22"/>
        </w:rPr>
      </w:pPr>
      <w:r w:rsidRPr="00F63E83">
        <w:rPr>
          <w:rFonts w:ascii="Arial" w:hAnsi="Arial" w:cs="Arial"/>
          <w:b w:val="0"/>
          <w:sz w:val="22"/>
          <w:szCs w:val="22"/>
        </w:rPr>
        <w:t>TL mevduat, geçen y</w:t>
      </w:r>
      <w:r w:rsidR="00CA32CB" w:rsidRPr="00F63E83">
        <w:rPr>
          <w:rFonts w:ascii="Arial" w:hAnsi="Arial" w:cs="Arial"/>
          <w:b w:val="0"/>
          <w:sz w:val="22"/>
          <w:szCs w:val="22"/>
        </w:rPr>
        <w:t>ılın aynı dönemine göre yüzd</w:t>
      </w:r>
      <w:r w:rsidR="001D7456" w:rsidRPr="00F63E83">
        <w:rPr>
          <w:rFonts w:ascii="Arial" w:hAnsi="Arial" w:cs="Arial"/>
          <w:b w:val="0"/>
          <w:sz w:val="22"/>
          <w:szCs w:val="22"/>
        </w:rPr>
        <w:t xml:space="preserve">e </w:t>
      </w:r>
      <w:r w:rsidR="00D9497C" w:rsidRPr="00F63E83">
        <w:rPr>
          <w:rFonts w:ascii="Arial" w:hAnsi="Arial" w:cs="Arial"/>
          <w:b w:val="0"/>
          <w:sz w:val="22"/>
          <w:szCs w:val="22"/>
        </w:rPr>
        <w:t>1</w:t>
      </w:r>
      <w:r w:rsidR="00C87E78" w:rsidRPr="00F63E83">
        <w:rPr>
          <w:rFonts w:ascii="Arial" w:hAnsi="Arial" w:cs="Arial"/>
          <w:b w:val="0"/>
          <w:sz w:val="22"/>
          <w:szCs w:val="22"/>
        </w:rPr>
        <w:t>2</w:t>
      </w:r>
      <w:r w:rsidR="001D000A" w:rsidRPr="00F63E83">
        <w:rPr>
          <w:rFonts w:ascii="Arial" w:hAnsi="Arial" w:cs="Arial"/>
          <w:b w:val="0"/>
          <w:sz w:val="22"/>
          <w:szCs w:val="22"/>
        </w:rPr>
        <w:t xml:space="preserve"> </w:t>
      </w:r>
      <w:r w:rsidRPr="00F63E83">
        <w:rPr>
          <w:rFonts w:ascii="Arial" w:hAnsi="Arial" w:cs="Arial"/>
          <w:b w:val="0"/>
          <w:sz w:val="22"/>
          <w:szCs w:val="22"/>
        </w:rPr>
        <w:t xml:space="preserve">oranında, YP mevduatın TL karşılığı ise yüzde </w:t>
      </w:r>
      <w:r w:rsidR="00C87E78" w:rsidRPr="00F63E83">
        <w:rPr>
          <w:rFonts w:ascii="Arial" w:hAnsi="Arial" w:cs="Arial"/>
          <w:b w:val="0"/>
          <w:sz w:val="22"/>
          <w:szCs w:val="22"/>
        </w:rPr>
        <w:t>3</w:t>
      </w:r>
      <w:r w:rsidR="00140748" w:rsidRPr="00F63E83">
        <w:rPr>
          <w:rFonts w:ascii="Arial" w:hAnsi="Arial" w:cs="Arial"/>
          <w:b w:val="0"/>
          <w:sz w:val="22"/>
          <w:szCs w:val="22"/>
        </w:rPr>
        <w:t>0</w:t>
      </w:r>
      <w:r w:rsidRPr="00F63E83">
        <w:rPr>
          <w:rFonts w:ascii="Arial" w:hAnsi="Arial" w:cs="Arial"/>
          <w:b w:val="0"/>
          <w:sz w:val="22"/>
          <w:szCs w:val="22"/>
        </w:rPr>
        <w:t xml:space="preserve"> oranında artmıştır. </w:t>
      </w:r>
      <w:r w:rsidR="00C4175C" w:rsidRPr="00F63E83">
        <w:rPr>
          <w:rFonts w:ascii="Arial" w:hAnsi="Arial" w:cs="Arial"/>
          <w:b w:val="0"/>
          <w:sz w:val="22"/>
          <w:szCs w:val="22"/>
        </w:rPr>
        <w:t xml:space="preserve">Toplam </w:t>
      </w:r>
      <w:r w:rsidR="00C87E78" w:rsidRPr="00F63E83">
        <w:rPr>
          <w:rFonts w:ascii="Arial" w:hAnsi="Arial" w:cs="Arial"/>
          <w:b w:val="0"/>
          <w:sz w:val="22"/>
          <w:szCs w:val="22"/>
        </w:rPr>
        <w:t xml:space="preserve">mevduatın yüzde </w:t>
      </w:r>
      <w:r w:rsidR="00140748" w:rsidRPr="00F63E83">
        <w:rPr>
          <w:rFonts w:ascii="Arial" w:hAnsi="Arial" w:cs="Arial"/>
          <w:b w:val="0"/>
          <w:sz w:val="22"/>
          <w:szCs w:val="22"/>
        </w:rPr>
        <w:t>4’ü</w:t>
      </w:r>
      <w:r w:rsidR="00A05A4D" w:rsidRPr="00F63E83">
        <w:rPr>
          <w:rFonts w:ascii="Arial" w:hAnsi="Arial" w:cs="Arial"/>
          <w:b w:val="0"/>
          <w:sz w:val="22"/>
          <w:szCs w:val="22"/>
        </w:rPr>
        <w:t xml:space="preserve"> (</w:t>
      </w:r>
      <w:r w:rsidR="00C87E78" w:rsidRPr="00F63E83">
        <w:rPr>
          <w:rFonts w:ascii="Arial" w:hAnsi="Arial" w:cs="Arial"/>
          <w:b w:val="0"/>
          <w:sz w:val="22"/>
          <w:szCs w:val="22"/>
        </w:rPr>
        <w:t>2</w:t>
      </w:r>
      <w:r w:rsidR="00140748" w:rsidRPr="00F63E83">
        <w:rPr>
          <w:rFonts w:ascii="Arial" w:hAnsi="Arial" w:cs="Arial"/>
          <w:b w:val="0"/>
          <w:sz w:val="22"/>
          <w:szCs w:val="22"/>
        </w:rPr>
        <w:t>2</w:t>
      </w:r>
      <w:r w:rsidR="000D69CF" w:rsidRPr="00F63E83">
        <w:rPr>
          <w:rFonts w:ascii="Arial" w:hAnsi="Arial" w:cs="Arial"/>
          <w:b w:val="0"/>
          <w:sz w:val="22"/>
          <w:szCs w:val="22"/>
        </w:rPr>
        <w:t>,7</w:t>
      </w:r>
      <w:r w:rsidR="00A73280" w:rsidRPr="00F63E83">
        <w:rPr>
          <w:rFonts w:ascii="Arial" w:hAnsi="Arial" w:cs="Arial"/>
          <w:b w:val="0"/>
          <w:sz w:val="22"/>
          <w:szCs w:val="22"/>
        </w:rPr>
        <w:t xml:space="preserve"> milyar TL) bankanın dahil ol</w:t>
      </w:r>
      <w:r w:rsidR="002D67D5" w:rsidRPr="00F63E83">
        <w:rPr>
          <w:rFonts w:ascii="Arial" w:hAnsi="Arial" w:cs="Arial"/>
          <w:b w:val="0"/>
          <w:sz w:val="22"/>
          <w:szCs w:val="22"/>
        </w:rPr>
        <w:t>duğu risk grubuna aittir.</w:t>
      </w:r>
      <w:r w:rsidRPr="00F63E83">
        <w:rPr>
          <w:rFonts w:ascii="Arial" w:hAnsi="Arial" w:cs="Arial"/>
          <w:b w:val="0"/>
          <w:sz w:val="22"/>
          <w:szCs w:val="22"/>
        </w:rPr>
        <w:t xml:space="preserve"> </w:t>
      </w:r>
    </w:p>
    <w:p w:rsidR="005F72BB" w:rsidRPr="00F63E83" w:rsidRDefault="005F72BB" w:rsidP="00373BB1">
      <w:pPr>
        <w:pStyle w:val="Subtitle"/>
        <w:rPr>
          <w:rFonts w:ascii="Arial" w:hAnsi="Arial" w:cs="Arial"/>
          <w:szCs w:val="24"/>
        </w:rPr>
      </w:pPr>
    </w:p>
    <w:p w:rsidR="002D67D5" w:rsidRPr="00F63E83" w:rsidRDefault="002D67D5" w:rsidP="005E3060">
      <w:pPr>
        <w:pStyle w:val="Subtitle"/>
        <w:jc w:val="center"/>
        <w:rPr>
          <w:rFonts w:ascii="Arial" w:hAnsi="Arial" w:cs="Arial"/>
          <w:szCs w:val="24"/>
        </w:rPr>
      </w:pPr>
      <w:r w:rsidRPr="00F63E83">
        <w:rPr>
          <w:rFonts w:ascii="Arial" w:hAnsi="Arial" w:cs="Arial"/>
          <w:szCs w:val="24"/>
        </w:rPr>
        <w:t>Pasif Kalemlerdeki Gelişmeler (Milyon TL)</w:t>
      </w:r>
    </w:p>
    <w:p w:rsidR="005F72BB" w:rsidRPr="00F63E83" w:rsidRDefault="005F72BB" w:rsidP="005E3060">
      <w:pPr>
        <w:pStyle w:val="Subtitle"/>
        <w:jc w:val="center"/>
        <w:rPr>
          <w:rFonts w:ascii="Arial" w:hAnsi="Arial" w:cs="Arial"/>
          <w:szCs w:val="24"/>
        </w:rPr>
      </w:pPr>
    </w:p>
    <w:tbl>
      <w:tblPr>
        <w:tblW w:w="8420" w:type="dxa"/>
        <w:tblInd w:w="55" w:type="dxa"/>
        <w:tblCellMar>
          <w:left w:w="70" w:type="dxa"/>
          <w:right w:w="70" w:type="dxa"/>
        </w:tblCellMar>
        <w:tblLook w:val="04A0" w:firstRow="1" w:lastRow="0" w:firstColumn="1" w:lastColumn="0" w:noHBand="0" w:noVBand="1"/>
      </w:tblPr>
      <w:tblGrid>
        <w:gridCol w:w="2520"/>
        <w:gridCol w:w="960"/>
        <w:gridCol w:w="960"/>
        <w:gridCol w:w="960"/>
        <w:gridCol w:w="1500"/>
        <w:gridCol w:w="1520"/>
      </w:tblGrid>
      <w:tr w:rsidR="00F63E83" w:rsidRPr="00F63E83" w:rsidTr="000D69CF">
        <w:trPr>
          <w:trHeight w:val="255"/>
        </w:trPr>
        <w:tc>
          <w:tcPr>
            <w:tcW w:w="2520" w:type="dxa"/>
            <w:tcBorders>
              <w:top w:val="nil"/>
              <w:left w:val="nil"/>
              <w:bottom w:val="nil"/>
              <w:right w:val="nil"/>
            </w:tcBorders>
            <w:shd w:val="clear" w:color="000000" w:fill="FFFFFF"/>
            <w:noWrap/>
            <w:vAlign w:val="center"/>
            <w:hideMark/>
          </w:tcPr>
          <w:p w:rsidR="000D69CF" w:rsidRPr="00F63E83" w:rsidRDefault="000D69CF" w:rsidP="000D69CF">
            <w:pPr>
              <w:rPr>
                <w:rFonts w:ascii="Arial" w:hAnsi="Arial" w:cs="Arial"/>
                <w:b/>
                <w:bCs/>
                <w:sz w:val="20"/>
                <w:lang w:eastAsia="tr-TR"/>
              </w:rPr>
            </w:pPr>
            <w:r w:rsidRPr="00F63E83">
              <w:rPr>
                <w:rFonts w:ascii="Arial" w:hAnsi="Arial" w:cs="Arial"/>
                <w:b/>
                <w:bCs/>
                <w:sz w:val="20"/>
                <w:lang w:eastAsia="tr-TR"/>
              </w:rPr>
              <w:t> </w:t>
            </w:r>
          </w:p>
        </w:tc>
        <w:tc>
          <w:tcPr>
            <w:tcW w:w="960" w:type="dxa"/>
            <w:tcBorders>
              <w:top w:val="nil"/>
              <w:left w:val="nil"/>
              <w:bottom w:val="nil"/>
              <w:right w:val="nil"/>
            </w:tcBorders>
            <w:shd w:val="clear" w:color="000000" w:fill="FFFFFF"/>
            <w:noWrap/>
            <w:vAlign w:val="center"/>
            <w:hideMark/>
          </w:tcPr>
          <w:p w:rsidR="000D69CF" w:rsidRPr="00F63E83" w:rsidRDefault="007329C2" w:rsidP="000D69CF">
            <w:pPr>
              <w:jc w:val="right"/>
              <w:rPr>
                <w:rFonts w:ascii="Arial" w:hAnsi="Arial" w:cs="Arial"/>
                <w:b/>
                <w:bCs/>
                <w:sz w:val="20"/>
                <w:lang w:eastAsia="tr-TR"/>
              </w:rPr>
            </w:pPr>
            <w:r w:rsidRPr="00F63E83">
              <w:rPr>
                <w:rFonts w:ascii="Arial" w:hAnsi="Arial" w:cs="Arial"/>
                <w:b/>
                <w:bCs/>
                <w:sz w:val="20"/>
                <w:lang w:eastAsia="tr-TR"/>
              </w:rPr>
              <w:t>Haziran</w:t>
            </w:r>
          </w:p>
        </w:tc>
        <w:tc>
          <w:tcPr>
            <w:tcW w:w="960" w:type="dxa"/>
            <w:tcBorders>
              <w:top w:val="nil"/>
              <w:left w:val="nil"/>
              <w:bottom w:val="nil"/>
              <w:right w:val="nil"/>
            </w:tcBorders>
            <w:shd w:val="clear" w:color="000000" w:fill="FFFFFF"/>
            <w:noWrap/>
            <w:vAlign w:val="center"/>
            <w:hideMark/>
          </w:tcPr>
          <w:p w:rsidR="000D69CF" w:rsidRPr="00F63E83" w:rsidRDefault="007329C2" w:rsidP="000D69CF">
            <w:pPr>
              <w:jc w:val="right"/>
              <w:rPr>
                <w:rFonts w:ascii="Arial" w:hAnsi="Arial" w:cs="Arial"/>
                <w:b/>
                <w:bCs/>
                <w:sz w:val="20"/>
                <w:lang w:eastAsia="tr-TR"/>
              </w:rPr>
            </w:pPr>
            <w:r w:rsidRPr="00F63E83">
              <w:rPr>
                <w:rFonts w:ascii="Arial" w:hAnsi="Arial" w:cs="Arial"/>
                <w:b/>
                <w:bCs/>
                <w:sz w:val="20"/>
                <w:lang w:eastAsia="tr-TR"/>
              </w:rPr>
              <w:t>Haziran</w:t>
            </w:r>
          </w:p>
        </w:tc>
        <w:tc>
          <w:tcPr>
            <w:tcW w:w="960" w:type="dxa"/>
            <w:tcBorders>
              <w:top w:val="nil"/>
              <w:left w:val="nil"/>
              <w:bottom w:val="nil"/>
              <w:right w:val="nil"/>
            </w:tcBorders>
            <w:shd w:val="clear" w:color="000000" w:fill="FFFFFF"/>
            <w:noWrap/>
            <w:vAlign w:val="center"/>
            <w:hideMark/>
          </w:tcPr>
          <w:p w:rsidR="000D69CF" w:rsidRPr="00F63E83" w:rsidRDefault="000D69CF" w:rsidP="000D69CF">
            <w:pPr>
              <w:jc w:val="right"/>
              <w:rPr>
                <w:rFonts w:ascii="Arial" w:hAnsi="Arial" w:cs="Arial"/>
                <w:b/>
                <w:bCs/>
                <w:sz w:val="20"/>
                <w:lang w:eastAsia="tr-TR"/>
              </w:rPr>
            </w:pPr>
            <w:r w:rsidRPr="00F63E83">
              <w:rPr>
                <w:rFonts w:ascii="Arial" w:hAnsi="Arial" w:cs="Arial"/>
                <w:b/>
                <w:bCs/>
                <w:sz w:val="20"/>
                <w:lang w:eastAsia="tr-TR"/>
              </w:rPr>
              <w:t> </w:t>
            </w:r>
          </w:p>
        </w:tc>
        <w:tc>
          <w:tcPr>
            <w:tcW w:w="1500" w:type="dxa"/>
            <w:tcBorders>
              <w:top w:val="nil"/>
              <w:left w:val="nil"/>
              <w:bottom w:val="nil"/>
              <w:right w:val="nil"/>
            </w:tcBorders>
            <w:shd w:val="clear" w:color="000000" w:fill="FFFFFF"/>
            <w:noWrap/>
            <w:vAlign w:val="center"/>
            <w:hideMark/>
          </w:tcPr>
          <w:p w:rsidR="000D69CF" w:rsidRPr="00F63E83" w:rsidRDefault="000D69CF" w:rsidP="000D69CF">
            <w:pPr>
              <w:jc w:val="center"/>
              <w:rPr>
                <w:rFonts w:ascii="Arial" w:hAnsi="Arial" w:cs="Arial"/>
                <w:b/>
                <w:bCs/>
                <w:sz w:val="20"/>
                <w:lang w:eastAsia="tr-TR"/>
              </w:rPr>
            </w:pPr>
            <w:r w:rsidRPr="00F63E83">
              <w:rPr>
                <w:rFonts w:ascii="Arial" w:hAnsi="Arial" w:cs="Arial"/>
                <w:b/>
                <w:bCs/>
                <w:sz w:val="20"/>
                <w:lang w:eastAsia="tr-TR"/>
              </w:rPr>
              <w:t>12 aylık yüzde</w:t>
            </w:r>
          </w:p>
        </w:tc>
        <w:tc>
          <w:tcPr>
            <w:tcW w:w="1520" w:type="dxa"/>
            <w:tcBorders>
              <w:top w:val="nil"/>
              <w:left w:val="nil"/>
              <w:bottom w:val="nil"/>
              <w:right w:val="nil"/>
            </w:tcBorders>
            <w:shd w:val="clear" w:color="000000" w:fill="FFFFFF"/>
            <w:noWrap/>
            <w:vAlign w:val="center"/>
            <w:hideMark/>
          </w:tcPr>
          <w:p w:rsidR="000D69CF" w:rsidRPr="00F63E83" w:rsidRDefault="000D69CF" w:rsidP="000D69CF">
            <w:pPr>
              <w:jc w:val="center"/>
              <w:rPr>
                <w:rFonts w:ascii="Arial" w:hAnsi="Arial" w:cs="Arial"/>
                <w:b/>
                <w:bCs/>
                <w:sz w:val="20"/>
                <w:lang w:eastAsia="tr-TR"/>
              </w:rPr>
            </w:pPr>
            <w:r w:rsidRPr="00F63E83">
              <w:rPr>
                <w:rFonts w:ascii="Arial" w:hAnsi="Arial" w:cs="Arial"/>
                <w:b/>
                <w:bCs/>
                <w:sz w:val="20"/>
                <w:lang w:eastAsia="tr-TR"/>
              </w:rPr>
              <w:t>Yüzde pay</w:t>
            </w:r>
          </w:p>
        </w:tc>
      </w:tr>
      <w:tr w:rsidR="00F63E83" w:rsidRPr="00F63E83" w:rsidTr="000D69CF">
        <w:trPr>
          <w:trHeight w:val="270"/>
        </w:trPr>
        <w:tc>
          <w:tcPr>
            <w:tcW w:w="2520" w:type="dxa"/>
            <w:tcBorders>
              <w:top w:val="nil"/>
              <w:left w:val="nil"/>
              <w:bottom w:val="single" w:sz="8" w:space="0" w:color="auto"/>
              <w:right w:val="nil"/>
            </w:tcBorders>
            <w:shd w:val="clear" w:color="000000" w:fill="FFFFFF"/>
            <w:noWrap/>
            <w:vAlign w:val="center"/>
            <w:hideMark/>
          </w:tcPr>
          <w:p w:rsidR="000D69CF" w:rsidRPr="00F63E83" w:rsidRDefault="000D69CF" w:rsidP="000D69CF">
            <w:pPr>
              <w:rPr>
                <w:rFonts w:ascii="Arial" w:hAnsi="Arial" w:cs="Arial"/>
                <w:sz w:val="20"/>
                <w:lang w:eastAsia="tr-TR"/>
              </w:rPr>
            </w:pPr>
            <w:r w:rsidRPr="00F63E83">
              <w:rPr>
                <w:rFonts w:ascii="Arial" w:hAnsi="Arial" w:cs="Arial"/>
                <w:sz w:val="20"/>
                <w:lang w:eastAsia="tr-TR"/>
              </w:rPr>
              <w:t> </w:t>
            </w:r>
          </w:p>
        </w:tc>
        <w:tc>
          <w:tcPr>
            <w:tcW w:w="960" w:type="dxa"/>
            <w:tcBorders>
              <w:top w:val="nil"/>
              <w:left w:val="nil"/>
              <w:bottom w:val="single" w:sz="8" w:space="0" w:color="auto"/>
              <w:right w:val="nil"/>
            </w:tcBorders>
            <w:shd w:val="clear" w:color="000000" w:fill="FFFFFF"/>
            <w:noWrap/>
            <w:vAlign w:val="center"/>
            <w:hideMark/>
          </w:tcPr>
          <w:p w:rsidR="000D69CF" w:rsidRPr="00F63E83" w:rsidRDefault="00B13103" w:rsidP="000D69CF">
            <w:pPr>
              <w:jc w:val="right"/>
              <w:rPr>
                <w:rFonts w:ascii="Arial" w:hAnsi="Arial" w:cs="Arial"/>
                <w:b/>
                <w:bCs/>
                <w:sz w:val="20"/>
                <w:lang w:eastAsia="tr-TR"/>
              </w:rPr>
            </w:pPr>
            <w:r w:rsidRPr="00F63E83">
              <w:rPr>
                <w:rFonts w:ascii="Arial" w:hAnsi="Arial" w:cs="Arial"/>
                <w:b/>
                <w:bCs/>
                <w:sz w:val="20"/>
                <w:lang w:eastAsia="tr-TR"/>
              </w:rPr>
              <w:t>2012</w:t>
            </w:r>
          </w:p>
        </w:tc>
        <w:tc>
          <w:tcPr>
            <w:tcW w:w="960" w:type="dxa"/>
            <w:tcBorders>
              <w:top w:val="nil"/>
              <w:left w:val="nil"/>
              <w:bottom w:val="single" w:sz="8" w:space="0" w:color="auto"/>
              <w:right w:val="nil"/>
            </w:tcBorders>
            <w:shd w:val="clear" w:color="000000" w:fill="FFFFFF"/>
            <w:noWrap/>
            <w:vAlign w:val="center"/>
            <w:hideMark/>
          </w:tcPr>
          <w:p w:rsidR="000D69CF" w:rsidRPr="00F63E83" w:rsidRDefault="00B13103" w:rsidP="000D69CF">
            <w:pPr>
              <w:jc w:val="right"/>
              <w:rPr>
                <w:rFonts w:ascii="Arial" w:hAnsi="Arial" w:cs="Arial"/>
                <w:b/>
                <w:bCs/>
                <w:sz w:val="20"/>
                <w:lang w:eastAsia="tr-TR"/>
              </w:rPr>
            </w:pPr>
            <w:r w:rsidRPr="00F63E83">
              <w:rPr>
                <w:rFonts w:ascii="Arial" w:hAnsi="Arial" w:cs="Arial"/>
                <w:b/>
                <w:bCs/>
                <w:sz w:val="20"/>
                <w:lang w:eastAsia="tr-TR"/>
              </w:rPr>
              <w:t>2011</w:t>
            </w:r>
          </w:p>
        </w:tc>
        <w:tc>
          <w:tcPr>
            <w:tcW w:w="960" w:type="dxa"/>
            <w:tcBorders>
              <w:top w:val="nil"/>
              <w:left w:val="nil"/>
              <w:bottom w:val="single" w:sz="8" w:space="0" w:color="auto"/>
              <w:right w:val="nil"/>
            </w:tcBorders>
            <w:shd w:val="clear" w:color="000000" w:fill="FFFFFF"/>
            <w:noWrap/>
            <w:vAlign w:val="center"/>
            <w:hideMark/>
          </w:tcPr>
          <w:p w:rsidR="000D69CF" w:rsidRPr="00F63E83" w:rsidRDefault="000D69CF" w:rsidP="000D69CF">
            <w:pPr>
              <w:jc w:val="right"/>
              <w:rPr>
                <w:rFonts w:ascii="Arial" w:hAnsi="Arial" w:cs="Arial"/>
                <w:b/>
                <w:bCs/>
                <w:sz w:val="20"/>
                <w:lang w:eastAsia="tr-TR"/>
              </w:rPr>
            </w:pPr>
            <w:r w:rsidRPr="00F63E83">
              <w:rPr>
                <w:rFonts w:ascii="Arial" w:hAnsi="Arial" w:cs="Arial"/>
                <w:b/>
                <w:bCs/>
                <w:sz w:val="20"/>
                <w:lang w:eastAsia="tr-TR"/>
              </w:rPr>
              <w:t> </w:t>
            </w:r>
          </w:p>
        </w:tc>
        <w:tc>
          <w:tcPr>
            <w:tcW w:w="1500" w:type="dxa"/>
            <w:tcBorders>
              <w:top w:val="nil"/>
              <w:left w:val="nil"/>
              <w:bottom w:val="single" w:sz="8" w:space="0" w:color="auto"/>
              <w:right w:val="nil"/>
            </w:tcBorders>
            <w:shd w:val="clear" w:color="000000" w:fill="FFFFFF"/>
            <w:noWrap/>
            <w:vAlign w:val="center"/>
            <w:hideMark/>
          </w:tcPr>
          <w:p w:rsidR="000D69CF" w:rsidRPr="00F63E83" w:rsidRDefault="000D69CF" w:rsidP="000D69CF">
            <w:pPr>
              <w:jc w:val="center"/>
              <w:rPr>
                <w:rFonts w:ascii="Arial" w:hAnsi="Arial" w:cs="Arial"/>
                <w:b/>
                <w:bCs/>
                <w:sz w:val="20"/>
                <w:lang w:eastAsia="tr-TR"/>
              </w:rPr>
            </w:pPr>
            <w:r w:rsidRPr="00F63E83">
              <w:rPr>
                <w:rFonts w:ascii="Arial" w:hAnsi="Arial" w:cs="Arial"/>
                <w:b/>
                <w:bCs/>
                <w:sz w:val="20"/>
                <w:lang w:eastAsia="tr-TR"/>
              </w:rPr>
              <w:t>değişme</w:t>
            </w:r>
          </w:p>
        </w:tc>
        <w:tc>
          <w:tcPr>
            <w:tcW w:w="1520" w:type="dxa"/>
            <w:tcBorders>
              <w:top w:val="nil"/>
              <w:left w:val="nil"/>
              <w:bottom w:val="single" w:sz="8" w:space="0" w:color="auto"/>
              <w:right w:val="nil"/>
            </w:tcBorders>
            <w:shd w:val="clear" w:color="000000" w:fill="FFFFFF"/>
            <w:noWrap/>
            <w:vAlign w:val="center"/>
            <w:hideMark/>
          </w:tcPr>
          <w:p w:rsidR="000D69CF" w:rsidRPr="00F63E83" w:rsidRDefault="007329C2" w:rsidP="000D69CF">
            <w:pPr>
              <w:jc w:val="center"/>
              <w:rPr>
                <w:rFonts w:ascii="Arial" w:hAnsi="Arial" w:cs="Arial"/>
                <w:b/>
                <w:bCs/>
                <w:sz w:val="20"/>
                <w:lang w:eastAsia="tr-TR"/>
              </w:rPr>
            </w:pPr>
            <w:r w:rsidRPr="00F63E83">
              <w:rPr>
                <w:rFonts w:ascii="Arial" w:hAnsi="Arial" w:cs="Arial"/>
                <w:b/>
                <w:bCs/>
                <w:sz w:val="20"/>
                <w:lang w:eastAsia="tr-TR"/>
              </w:rPr>
              <w:t xml:space="preserve">Haziran </w:t>
            </w:r>
            <w:r w:rsidR="00B13103" w:rsidRPr="00F63E83">
              <w:rPr>
                <w:rFonts w:ascii="Arial" w:hAnsi="Arial" w:cs="Arial"/>
                <w:b/>
                <w:bCs/>
                <w:sz w:val="20"/>
                <w:lang w:eastAsia="tr-TR"/>
              </w:rPr>
              <w:t>2012</w:t>
            </w:r>
            <w:r w:rsidR="000D69CF" w:rsidRPr="00F63E83">
              <w:rPr>
                <w:rFonts w:ascii="Arial" w:hAnsi="Arial" w:cs="Arial"/>
                <w:b/>
                <w:bCs/>
                <w:sz w:val="20"/>
                <w:lang w:eastAsia="tr-TR"/>
              </w:rPr>
              <w:t> </w:t>
            </w:r>
          </w:p>
        </w:tc>
      </w:tr>
      <w:tr w:rsidR="00F63E83" w:rsidRPr="00F63E83" w:rsidTr="00D67174">
        <w:trPr>
          <w:trHeight w:val="255"/>
        </w:trPr>
        <w:tc>
          <w:tcPr>
            <w:tcW w:w="252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b/>
                <w:sz w:val="20"/>
                <w:lang w:eastAsia="tr-TR"/>
              </w:rPr>
            </w:pPr>
            <w:r w:rsidRPr="00F63E83">
              <w:rPr>
                <w:rFonts w:ascii="Arial" w:hAnsi="Arial" w:cs="Arial"/>
                <w:b/>
                <w:sz w:val="20"/>
                <w:lang w:eastAsia="tr-TR"/>
              </w:rPr>
              <w:t>Mevduat</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570.230</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481.688</w:t>
            </w:r>
          </w:p>
        </w:tc>
        <w:tc>
          <w:tcPr>
            <w:tcW w:w="96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18</w:t>
            </w:r>
          </w:p>
        </w:tc>
        <w:tc>
          <w:tcPr>
            <w:tcW w:w="152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62</w:t>
            </w:r>
          </w:p>
        </w:tc>
      </w:tr>
      <w:tr w:rsidR="00F63E83" w:rsidRPr="00F63E83" w:rsidTr="00D67174">
        <w:trPr>
          <w:trHeight w:val="255"/>
        </w:trPr>
        <w:tc>
          <w:tcPr>
            <w:tcW w:w="252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b/>
                <w:sz w:val="20"/>
                <w:lang w:eastAsia="tr-TR"/>
              </w:rPr>
            </w:pPr>
            <w:r w:rsidRPr="00F63E83">
              <w:rPr>
                <w:rFonts w:ascii="Arial" w:hAnsi="Arial" w:cs="Arial"/>
                <w:b/>
                <w:sz w:val="20"/>
                <w:lang w:eastAsia="tr-TR"/>
              </w:rPr>
              <w:t xml:space="preserve">  TL</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350.787</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313.129</w:t>
            </w:r>
          </w:p>
        </w:tc>
        <w:tc>
          <w:tcPr>
            <w:tcW w:w="96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12</w:t>
            </w:r>
          </w:p>
        </w:tc>
        <w:tc>
          <w:tcPr>
            <w:tcW w:w="152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38</w:t>
            </w:r>
          </w:p>
        </w:tc>
      </w:tr>
      <w:tr w:rsidR="00F63E83" w:rsidRPr="00F63E83" w:rsidTr="00D67174">
        <w:trPr>
          <w:trHeight w:val="255"/>
        </w:trPr>
        <w:tc>
          <w:tcPr>
            <w:tcW w:w="252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b/>
                <w:sz w:val="20"/>
                <w:lang w:eastAsia="tr-TR"/>
              </w:rPr>
            </w:pPr>
            <w:r w:rsidRPr="00F63E83">
              <w:rPr>
                <w:rFonts w:ascii="Arial" w:hAnsi="Arial" w:cs="Arial"/>
                <w:b/>
                <w:sz w:val="20"/>
                <w:lang w:eastAsia="tr-TR"/>
              </w:rPr>
              <w:t xml:space="preserve">  YP</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219.443</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168.558</w:t>
            </w:r>
          </w:p>
        </w:tc>
        <w:tc>
          <w:tcPr>
            <w:tcW w:w="96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30</w:t>
            </w:r>
          </w:p>
        </w:tc>
        <w:tc>
          <w:tcPr>
            <w:tcW w:w="152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24</w:t>
            </w:r>
          </w:p>
        </w:tc>
      </w:tr>
      <w:tr w:rsidR="00F63E83" w:rsidRPr="00F63E83" w:rsidTr="00D67174">
        <w:trPr>
          <w:trHeight w:val="255"/>
        </w:trPr>
        <w:tc>
          <w:tcPr>
            <w:tcW w:w="252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b/>
                <w:sz w:val="20"/>
                <w:lang w:eastAsia="tr-TR"/>
              </w:rPr>
            </w:pPr>
            <w:r w:rsidRPr="00F63E83">
              <w:rPr>
                <w:rFonts w:ascii="Arial" w:hAnsi="Arial" w:cs="Arial"/>
                <w:b/>
                <w:sz w:val="20"/>
                <w:lang w:eastAsia="tr-TR"/>
              </w:rPr>
              <w:t>Mevduat dışı kaynaklar</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180.817</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185.262</w:t>
            </w:r>
          </w:p>
        </w:tc>
        <w:tc>
          <w:tcPr>
            <w:tcW w:w="96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-2</w:t>
            </w:r>
          </w:p>
        </w:tc>
        <w:tc>
          <w:tcPr>
            <w:tcW w:w="152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20</w:t>
            </w:r>
          </w:p>
        </w:tc>
      </w:tr>
      <w:tr w:rsidR="00F63E83" w:rsidRPr="00F63E83" w:rsidTr="00D67174">
        <w:trPr>
          <w:trHeight w:val="255"/>
        </w:trPr>
        <w:tc>
          <w:tcPr>
            <w:tcW w:w="252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b/>
                <w:sz w:val="20"/>
                <w:lang w:eastAsia="tr-TR"/>
              </w:rPr>
            </w:pPr>
            <w:r w:rsidRPr="00F63E83">
              <w:rPr>
                <w:rFonts w:ascii="Arial" w:hAnsi="Arial" w:cs="Arial"/>
                <w:b/>
                <w:sz w:val="20"/>
                <w:lang w:eastAsia="tr-TR"/>
              </w:rPr>
              <w:t>SBK</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7.137</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5.977</w:t>
            </w:r>
          </w:p>
        </w:tc>
        <w:tc>
          <w:tcPr>
            <w:tcW w:w="96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19</w:t>
            </w:r>
          </w:p>
        </w:tc>
        <w:tc>
          <w:tcPr>
            <w:tcW w:w="152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1</w:t>
            </w:r>
          </w:p>
        </w:tc>
      </w:tr>
      <w:tr w:rsidR="00F63E83" w:rsidRPr="00F63E83" w:rsidTr="00D67174">
        <w:trPr>
          <w:trHeight w:val="255"/>
        </w:trPr>
        <w:tc>
          <w:tcPr>
            <w:tcW w:w="252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b/>
                <w:sz w:val="20"/>
                <w:lang w:eastAsia="tr-TR"/>
              </w:rPr>
            </w:pPr>
            <w:r w:rsidRPr="00F63E83">
              <w:rPr>
                <w:rFonts w:ascii="Arial" w:hAnsi="Arial" w:cs="Arial"/>
                <w:b/>
                <w:sz w:val="20"/>
                <w:lang w:eastAsia="tr-TR"/>
              </w:rPr>
              <w:t>Özkaynaklar</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109.966</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95.580</w:t>
            </w:r>
          </w:p>
        </w:tc>
        <w:tc>
          <w:tcPr>
            <w:tcW w:w="96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15</w:t>
            </w:r>
          </w:p>
        </w:tc>
        <w:tc>
          <w:tcPr>
            <w:tcW w:w="152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12</w:t>
            </w:r>
          </w:p>
        </w:tc>
      </w:tr>
      <w:tr w:rsidR="00F63E83" w:rsidRPr="00F63E83" w:rsidTr="00D67174">
        <w:trPr>
          <w:trHeight w:val="255"/>
        </w:trPr>
        <w:tc>
          <w:tcPr>
            <w:tcW w:w="252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b/>
                <w:sz w:val="20"/>
                <w:lang w:eastAsia="tr-TR"/>
              </w:rPr>
            </w:pPr>
            <w:r w:rsidRPr="00F63E83">
              <w:rPr>
                <w:rFonts w:ascii="Arial" w:hAnsi="Arial" w:cs="Arial"/>
                <w:b/>
                <w:sz w:val="20"/>
                <w:lang w:eastAsia="tr-TR"/>
              </w:rPr>
              <w:t xml:space="preserve">  Dönem Kar/zararı</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8.555</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8.236</w:t>
            </w:r>
          </w:p>
        </w:tc>
        <w:tc>
          <w:tcPr>
            <w:tcW w:w="96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4</w:t>
            </w:r>
          </w:p>
        </w:tc>
        <w:tc>
          <w:tcPr>
            <w:tcW w:w="152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1</w:t>
            </w:r>
          </w:p>
        </w:tc>
      </w:tr>
      <w:tr w:rsidR="00F63E83" w:rsidRPr="00F63E83" w:rsidTr="00D67174">
        <w:trPr>
          <w:trHeight w:val="255"/>
        </w:trPr>
        <w:tc>
          <w:tcPr>
            <w:tcW w:w="252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b/>
                <w:sz w:val="20"/>
                <w:lang w:eastAsia="tr-TR"/>
              </w:rPr>
            </w:pPr>
            <w:r w:rsidRPr="00F63E83">
              <w:rPr>
                <w:rFonts w:ascii="Arial" w:hAnsi="Arial" w:cs="Arial"/>
                <w:b/>
                <w:sz w:val="20"/>
                <w:lang w:eastAsia="tr-TR"/>
              </w:rPr>
              <w:t>Diğer pasifler</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61.370</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53.708</w:t>
            </w:r>
          </w:p>
        </w:tc>
        <w:tc>
          <w:tcPr>
            <w:tcW w:w="96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14</w:t>
            </w:r>
          </w:p>
        </w:tc>
        <w:tc>
          <w:tcPr>
            <w:tcW w:w="152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7</w:t>
            </w:r>
          </w:p>
        </w:tc>
      </w:tr>
      <w:tr w:rsidR="00F63E83" w:rsidRPr="00F63E83" w:rsidTr="00D67174">
        <w:trPr>
          <w:trHeight w:val="255"/>
        </w:trPr>
        <w:tc>
          <w:tcPr>
            <w:tcW w:w="252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b/>
                <w:sz w:val="20"/>
                <w:lang w:eastAsia="tr-TR"/>
              </w:rPr>
            </w:pPr>
            <w:r w:rsidRPr="00F63E83">
              <w:rPr>
                <w:rFonts w:ascii="Arial" w:hAnsi="Arial" w:cs="Arial"/>
                <w:b/>
                <w:sz w:val="20"/>
                <w:lang w:eastAsia="tr-TR"/>
              </w:rPr>
              <w:t>Toplam</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922.383</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816.238</w:t>
            </w:r>
          </w:p>
        </w:tc>
        <w:tc>
          <w:tcPr>
            <w:tcW w:w="96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13</w:t>
            </w:r>
          </w:p>
        </w:tc>
        <w:tc>
          <w:tcPr>
            <w:tcW w:w="152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100</w:t>
            </w:r>
          </w:p>
        </w:tc>
      </w:tr>
      <w:tr w:rsidR="00F63E83" w:rsidRPr="00F63E83" w:rsidTr="00D67174">
        <w:trPr>
          <w:trHeight w:val="255"/>
        </w:trPr>
        <w:tc>
          <w:tcPr>
            <w:tcW w:w="252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b/>
                <w:sz w:val="20"/>
                <w:lang w:eastAsia="tr-TR"/>
              </w:rPr>
            </w:pPr>
            <w:r w:rsidRPr="00F63E83">
              <w:rPr>
                <w:rFonts w:ascii="Arial" w:hAnsi="Arial" w:cs="Arial"/>
                <w:b/>
                <w:sz w:val="20"/>
                <w:lang w:eastAsia="tr-TR"/>
              </w:rPr>
              <w:t xml:space="preserve">  TL</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569.924</w:t>
            </w:r>
          </w:p>
        </w:tc>
        <w:tc>
          <w:tcPr>
            <w:tcW w:w="960" w:type="dxa"/>
            <w:tcBorders>
              <w:top w:val="nil"/>
              <w:left w:val="nil"/>
              <w:bottom w:val="nil"/>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533.462</w:t>
            </w:r>
          </w:p>
        </w:tc>
        <w:tc>
          <w:tcPr>
            <w:tcW w:w="960" w:type="dxa"/>
            <w:tcBorders>
              <w:top w:val="nil"/>
              <w:left w:val="nil"/>
              <w:bottom w:val="nil"/>
              <w:right w:val="nil"/>
            </w:tcBorders>
            <w:shd w:val="clear" w:color="000000" w:fill="FFFFFF"/>
            <w:noWrap/>
            <w:vAlign w:val="center"/>
            <w:hideMark/>
          </w:tcPr>
          <w:p w:rsidR="007329C2" w:rsidRPr="00F63E83" w:rsidRDefault="007329C2" w:rsidP="000D69CF">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7</w:t>
            </w:r>
          </w:p>
        </w:tc>
        <w:tc>
          <w:tcPr>
            <w:tcW w:w="1520" w:type="dxa"/>
            <w:tcBorders>
              <w:top w:val="nil"/>
              <w:left w:val="nil"/>
              <w:bottom w:val="nil"/>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62</w:t>
            </w:r>
          </w:p>
        </w:tc>
      </w:tr>
      <w:tr w:rsidR="00F63E83" w:rsidRPr="00F63E83" w:rsidTr="00D67174">
        <w:trPr>
          <w:trHeight w:val="270"/>
        </w:trPr>
        <w:tc>
          <w:tcPr>
            <w:tcW w:w="2520" w:type="dxa"/>
            <w:tcBorders>
              <w:top w:val="nil"/>
              <w:left w:val="nil"/>
              <w:bottom w:val="single" w:sz="8" w:space="0" w:color="auto"/>
              <w:right w:val="nil"/>
            </w:tcBorders>
            <w:shd w:val="clear" w:color="000000" w:fill="FFFFFF"/>
            <w:noWrap/>
            <w:vAlign w:val="center"/>
            <w:hideMark/>
          </w:tcPr>
          <w:p w:rsidR="007329C2" w:rsidRPr="00F63E83" w:rsidRDefault="007329C2" w:rsidP="000D69CF">
            <w:pPr>
              <w:rPr>
                <w:rFonts w:ascii="Arial" w:hAnsi="Arial" w:cs="Arial"/>
                <w:b/>
                <w:sz w:val="20"/>
                <w:lang w:eastAsia="tr-TR"/>
              </w:rPr>
            </w:pPr>
            <w:r w:rsidRPr="00F63E83">
              <w:rPr>
                <w:rFonts w:ascii="Arial" w:hAnsi="Arial" w:cs="Arial"/>
                <w:b/>
                <w:sz w:val="20"/>
                <w:lang w:eastAsia="tr-TR"/>
              </w:rPr>
              <w:t xml:space="preserve">  YP</w:t>
            </w:r>
          </w:p>
        </w:tc>
        <w:tc>
          <w:tcPr>
            <w:tcW w:w="960" w:type="dxa"/>
            <w:tcBorders>
              <w:top w:val="nil"/>
              <w:left w:val="nil"/>
              <w:bottom w:val="single" w:sz="8" w:space="0" w:color="auto"/>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352.459</w:t>
            </w:r>
          </w:p>
        </w:tc>
        <w:tc>
          <w:tcPr>
            <w:tcW w:w="960" w:type="dxa"/>
            <w:tcBorders>
              <w:top w:val="nil"/>
              <w:left w:val="nil"/>
              <w:bottom w:val="single" w:sz="8" w:space="0" w:color="auto"/>
              <w:right w:val="nil"/>
            </w:tcBorders>
            <w:shd w:val="clear" w:color="000000" w:fill="FFFFFF"/>
            <w:noWrap/>
            <w:vAlign w:val="bottom"/>
            <w:hideMark/>
          </w:tcPr>
          <w:p w:rsidR="007329C2" w:rsidRPr="00F63E83" w:rsidRDefault="007329C2">
            <w:pPr>
              <w:jc w:val="right"/>
              <w:rPr>
                <w:rFonts w:ascii="Arial" w:hAnsi="Arial" w:cs="Arial"/>
                <w:sz w:val="20"/>
              </w:rPr>
            </w:pPr>
            <w:r w:rsidRPr="00F63E83">
              <w:rPr>
                <w:rFonts w:ascii="Arial" w:hAnsi="Arial" w:cs="Arial"/>
                <w:sz w:val="20"/>
              </w:rPr>
              <w:t>282.776</w:t>
            </w:r>
          </w:p>
        </w:tc>
        <w:tc>
          <w:tcPr>
            <w:tcW w:w="960" w:type="dxa"/>
            <w:tcBorders>
              <w:top w:val="nil"/>
              <w:left w:val="nil"/>
              <w:bottom w:val="single" w:sz="8" w:space="0" w:color="auto"/>
              <w:right w:val="nil"/>
            </w:tcBorders>
            <w:shd w:val="clear" w:color="000000" w:fill="FFFFFF"/>
            <w:noWrap/>
            <w:vAlign w:val="center"/>
            <w:hideMark/>
          </w:tcPr>
          <w:p w:rsidR="007329C2" w:rsidRPr="00F63E83" w:rsidRDefault="007329C2" w:rsidP="000D69CF">
            <w:pPr>
              <w:rPr>
                <w:rFonts w:ascii="Arial" w:hAnsi="Arial" w:cs="Arial"/>
                <w:sz w:val="20"/>
                <w:lang w:eastAsia="tr-TR"/>
              </w:rPr>
            </w:pPr>
            <w:r w:rsidRPr="00F63E83">
              <w:rPr>
                <w:rFonts w:ascii="Arial" w:hAnsi="Arial" w:cs="Arial"/>
                <w:sz w:val="20"/>
                <w:lang w:eastAsia="tr-TR"/>
              </w:rPr>
              <w:t> </w:t>
            </w:r>
          </w:p>
        </w:tc>
        <w:tc>
          <w:tcPr>
            <w:tcW w:w="1500" w:type="dxa"/>
            <w:tcBorders>
              <w:top w:val="nil"/>
              <w:left w:val="nil"/>
              <w:bottom w:val="single" w:sz="8" w:space="0" w:color="auto"/>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25</w:t>
            </w:r>
          </w:p>
        </w:tc>
        <w:tc>
          <w:tcPr>
            <w:tcW w:w="1520" w:type="dxa"/>
            <w:tcBorders>
              <w:top w:val="nil"/>
              <w:left w:val="nil"/>
              <w:bottom w:val="single" w:sz="8" w:space="0" w:color="auto"/>
              <w:right w:val="nil"/>
            </w:tcBorders>
            <w:shd w:val="clear" w:color="000000" w:fill="FFFFFF"/>
            <w:noWrap/>
            <w:vAlign w:val="bottom"/>
            <w:hideMark/>
          </w:tcPr>
          <w:p w:rsidR="007329C2" w:rsidRPr="00F63E83" w:rsidRDefault="007329C2" w:rsidP="007329C2">
            <w:pPr>
              <w:jc w:val="center"/>
              <w:rPr>
                <w:rFonts w:ascii="Arial" w:hAnsi="Arial" w:cs="Arial"/>
                <w:sz w:val="20"/>
              </w:rPr>
            </w:pPr>
            <w:r w:rsidRPr="00F63E83">
              <w:rPr>
                <w:rFonts w:ascii="Arial" w:hAnsi="Arial" w:cs="Arial"/>
                <w:sz w:val="20"/>
              </w:rPr>
              <w:t>38</w:t>
            </w:r>
          </w:p>
        </w:tc>
      </w:tr>
    </w:tbl>
    <w:p w:rsidR="002D67D5" w:rsidRPr="00F63E83" w:rsidRDefault="002D67D5" w:rsidP="00373BB1">
      <w:pPr>
        <w:pStyle w:val="Subtitle"/>
        <w:rPr>
          <w:rFonts w:ascii="Arial" w:hAnsi="Arial" w:cs="Arial"/>
          <w:b w:val="0"/>
          <w:sz w:val="22"/>
          <w:szCs w:val="22"/>
        </w:rPr>
      </w:pPr>
    </w:p>
    <w:p w:rsidR="00234523" w:rsidRPr="00F63E83" w:rsidRDefault="003D228A" w:rsidP="00234523">
      <w:pPr>
        <w:pStyle w:val="Subtitle"/>
        <w:rPr>
          <w:rFonts w:ascii="Arial" w:hAnsi="Arial" w:cs="Arial"/>
          <w:b w:val="0"/>
          <w:sz w:val="22"/>
          <w:szCs w:val="22"/>
        </w:rPr>
      </w:pPr>
      <w:r w:rsidRPr="00F63E83">
        <w:rPr>
          <w:rFonts w:ascii="Arial" w:hAnsi="Arial" w:cs="Arial"/>
          <w:b w:val="0"/>
          <w:sz w:val="22"/>
          <w:szCs w:val="22"/>
        </w:rPr>
        <w:t>Mevduat dışı kaynaklar</w:t>
      </w:r>
      <w:r w:rsidR="00140748" w:rsidRPr="00F63E83">
        <w:rPr>
          <w:rFonts w:ascii="Arial" w:hAnsi="Arial" w:cs="Arial"/>
          <w:b w:val="0"/>
          <w:sz w:val="22"/>
          <w:szCs w:val="22"/>
        </w:rPr>
        <w:t xml:space="preserve"> geçtiğimiz yılın aynı dönemine göre yüzde 2 daralmıştır, Haziran 2012 itibariyle</w:t>
      </w:r>
      <w:r w:rsidRPr="00F63E83">
        <w:rPr>
          <w:rFonts w:ascii="Arial" w:hAnsi="Arial" w:cs="Arial"/>
          <w:b w:val="0"/>
          <w:sz w:val="22"/>
          <w:szCs w:val="22"/>
        </w:rPr>
        <w:t>,</w:t>
      </w:r>
      <w:r w:rsidR="00140748" w:rsidRPr="00F63E83">
        <w:rPr>
          <w:rFonts w:ascii="Arial" w:hAnsi="Arial" w:cs="Arial"/>
          <w:b w:val="0"/>
          <w:sz w:val="22"/>
          <w:szCs w:val="22"/>
        </w:rPr>
        <w:t xml:space="preserve"> toplam kaynaklar içindeki payı</w:t>
      </w:r>
      <w:r w:rsidR="00BF0D5E" w:rsidRPr="00F63E83">
        <w:rPr>
          <w:rFonts w:ascii="Arial" w:hAnsi="Arial" w:cs="Arial"/>
          <w:b w:val="0"/>
          <w:sz w:val="22"/>
          <w:szCs w:val="22"/>
        </w:rPr>
        <w:t xml:space="preserve"> yüzde </w:t>
      </w:r>
      <w:r w:rsidR="000D69CF" w:rsidRPr="00F63E83">
        <w:rPr>
          <w:rFonts w:ascii="Arial" w:hAnsi="Arial" w:cs="Arial"/>
          <w:b w:val="0"/>
          <w:sz w:val="22"/>
          <w:szCs w:val="22"/>
        </w:rPr>
        <w:t>20</w:t>
      </w:r>
      <w:r w:rsidR="00140748" w:rsidRPr="00F63E83">
        <w:rPr>
          <w:rFonts w:ascii="Arial" w:hAnsi="Arial" w:cs="Arial"/>
          <w:b w:val="0"/>
          <w:sz w:val="22"/>
          <w:szCs w:val="22"/>
        </w:rPr>
        <w:t xml:space="preserve"> seviyesindedir</w:t>
      </w:r>
      <w:r w:rsidR="00BF0D5E" w:rsidRPr="00F63E83">
        <w:rPr>
          <w:rFonts w:ascii="Arial" w:hAnsi="Arial" w:cs="Arial"/>
          <w:b w:val="0"/>
          <w:sz w:val="22"/>
          <w:szCs w:val="22"/>
        </w:rPr>
        <w:t xml:space="preserve">. </w:t>
      </w:r>
      <w:r w:rsidR="00427CD6" w:rsidRPr="00F63E83">
        <w:rPr>
          <w:rFonts w:ascii="Arial" w:hAnsi="Arial" w:cs="Arial"/>
          <w:b w:val="0"/>
          <w:sz w:val="22"/>
          <w:szCs w:val="22"/>
        </w:rPr>
        <w:t xml:space="preserve">Mevduat ve özkaynaklardaki artış hızı bilançodan daha </w:t>
      </w:r>
      <w:r w:rsidR="00140748" w:rsidRPr="00F63E83">
        <w:rPr>
          <w:rFonts w:ascii="Arial" w:hAnsi="Arial" w:cs="Arial"/>
          <w:b w:val="0"/>
          <w:sz w:val="22"/>
          <w:szCs w:val="22"/>
        </w:rPr>
        <w:t>yüksek</w:t>
      </w:r>
      <w:r w:rsidR="00427CD6" w:rsidRPr="00F63E83">
        <w:rPr>
          <w:rFonts w:ascii="Arial" w:hAnsi="Arial" w:cs="Arial"/>
          <w:b w:val="0"/>
          <w:sz w:val="22"/>
          <w:szCs w:val="22"/>
        </w:rPr>
        <w:t xml:space="preserve"> düzeyde gerçekleşmiştir.</w:t>
      </w:r>
      <w:r w:rsidR="005E3060" w:rsidRPr="00F63E83">
        <w:rPr>
          <w:rFonts w:ascii="Arial" w:hAnsi="Arial" w:cs="Arial"/>
          <w:b w:val="0"/>
          <w:sz w:val="22"/>
          <w:szCs w:val="22"/>
        </w:rPr>
        <w:t xml:space="preserve"> </w:t>
      </w:r>
    </w:p>
    <w:p w:rsidR="005E3060" w:rsidRPr="00F63E83" w:rsidRDefault="005E3060" w:rsidP="00373BB1">
      <w:pPr>
        <w:pStyle w:val="Subtitle"/>
        <w:rPr>
          <w:rFonts w:ascii="Arial" w:hAnsi="Arial" w:cs="Arial"/>
          <w:b w:val="0"/>
          <w:sz w:val="22"/>
          <w:szCs w:val="22"/>
        </w:rPr>
      </w:pPr>
    </w:p>
    <w:p w:rsidR="00373BB1" w:rsidRPr="00F63E83" w:rsidRDefault="00373BB1" w:rsidP="00373BB1">
      <w:pPr>
        <w:pStyle w:val="Subtitle"/>
        <w:jc w:val="center"/>
        <w:rPr>
          <w:rFonts w:ascii="Arial" w:hAnsi="Arial" w:cs="Arial"/>
          <w:szCs w:val="24"/>
        </w:rPr>
      </w:pPr>
      <w:r w:rsidRPr="00F63E83">
        <w:rPr>
          <w:rFonts w:ascii="Arial" w:hAnsi="Arial" w:cs="Arial"/>
          <w:szCs w:val="24"/>
        </w:rPr>
        <w:t>Seçilmiş Gelir-Gider Dengesi Kalemleri (Milyon TL)</w:t>
      </w:r>
    </w:p>
    <w:tbl>
      <w:tblPr>
        <w:tblW w:w="5548" w:type="dxa"/>
        <w:jc w:val="center"/>
        <w:tblInd w:w="55" w:type="dxa"/>
        <w:tblCellMar>
          <w:left w:w="70" w:type="dxa"/>
          <w:right w:w="70" w:type="dxa"/>
        </w:tblCellMar>
        <w:tblLook w:val="04A0" w:firstRow="1" w:lastRow="0" w:firstColumn="1" w:lastColumn="0" w:noHBand="0" w:noVBand="1"/>
      </w:tblPr>
      <w:tblGrid>
        <w:gridCol w:w="2665"/>
        <w:gridCol w:w="863"/>
        <w:gridCol w:w="960"/>
        <w:gridCol w:w="1060"/>
      </w:tblGrid>
      <w:tr w:rsidR="00F63E83" w:rsidRPr="00F63E83" w:rsidTr="00140748">
        <w:trPr>
          <w:trHeight w:val="780"/>
          <w:jc w:val="center"/>
        </w:trPr>
        <w:tc>
          <w:tcPr>
            <w:tcW w:w="2665" w:type="dxa"/>
            <w:tcBorders>
              <w:top w:val="nil"/>
              <w:left w:val="nil"/>
              <w:bottom w:val="single" w:sz="8" w:space="0" w:color="auto"/>
              <w:right w:val="nil"/>
            </w:tcBorders>
            <w:shd w:val="clear" w:color="000000" w:fill="FFFFFF"/>
            <w:noWrap/>
            <w:vAlign w:val="center"/>
            <w:hideMark/>
          </w:tcPr>
          <w:p w:rsidR="002C3493" w:rsidRPr="00F63E83" w:rsidRDefault="002C3493" w:rsidP="002C3493">
            <w:pPr>
              <w:rPr>
                <w:rFonts w:ascii="Arial" w:hAnsi="Arial" w:cs="Arial"/>
                <w:sz w:val="20"/>
                <w:lang w:eastAsia="tr-TR"/>
              </w:rPr>
            </w:pPr>
            <w:r w:rsidRPr="00F63E83">
              <w:rPr>
                <w:rFonts w:ascii="Arial" w:hAnsi="Arial" w:cs="Arial"/>
                <w:sz w:val="20"/>
                <w:lang w:eastAsia="tr-TR"/>
              </w:rPr>
              <w:t> </w:t>
            </w:r>
          </w:p>
        </w:tc>
        <w:tc>
          <w:tcPr>
            <w:tcW w:w="863" w:type="dxa"/>
            <w:tcBorders>
              <w:top w:val="nil"/>
              <w:left w:val="nil"/>
              <w:bottom w:val="single" w:sz="8" w:space="0" w:color="auto"/>
              <w:right w:val="nil"/>
            </w:tcBorders>
            <w:shd w:val="clear" w:color="000000" w:fill="FFFFFF"/>
            <w:noWrap/>
            <w:vAlign w:val="center"/>
            <w:hideMark/>
          </w:tcPr>
          <w:p w:rsidR="002C3493" w:rsidRPr="00F63E83" w:rsidRDefault="00140748" w:rsidP="002C3493">
            <w:pPr>
              <w:jc w:val="right"/>
              <w:rPr>
                <w:rFonts w:ascii="Arial" w:hAnsi="Arial" w:cs="Arial"/>
                <w:b/>
                <w:bCs/>
                <w:sz w:val="20"/>
                <w:lang w:eastAsia="tr-TR"/>
              </w:rPr>
            </w:pPr>
            <w:r w:rsidRPr="00F63E83">
              <w:rPr>
                <w:rFonts w:ascii="Arial" w:hAnsi="Arial" w:cs="Arial"/>
                <w:b/>
                <w:bCs/>
                <w:sz w:val="20"/>
                <w:lang w:eastAsia="tr-TR"/>
              </w:rPr>
              <w:t>Haziran</w:t>
            </w:r>
            <w:r w:rsidR="00D67174" w:rsidRPr="00F63E83">
              <w:rPr>
                <w:rFonts w:ascii="Arial" w:hAnsi="Arial" w:cs="Arial"/>
                <w:b/>
                <w:bCs/>
                <w:sz w:val="20"/>
                <w:lang w:eastAsia="tr-TR"/>
              </w:rPr>
              <w:t xml:space="preserve"> 2012</w:t>
            </w:r>
          </w:p>
        </w:tc>
        <w:tc>
          <w:tcPr>
            <w:tcW w:w="960" w:type="dxa"/>
            <w:tcBorders>
              <w:top w:val="nil"/>
              <w:left w:val="nil"/>
              <w:bottom w:val="single" w:sz="8" w:space="0" w:color="auto"/>
              <w:right w:val="nil"/>
            </w:tcBorders>
            <w:shd w:val="clear" w:color="000000" w:fill="FFFFFF"/>
            <w:noWrap/>
            <w:vAlign w:val="center"/>
            <w:hideMark/>
          </w:tcPr>
          <w:p w:rsidR="002C3493" w:rsidRPr="00F63E83" w:rsidRDefault="00140748" w:rsidP="002C3493">
            <w:pPr>
              <w:jc w:val="right"/>
              <w:rPr>
                <w:rFonts w:ascii="Arial" w:hAnsi="Arial" w:cs="Arial"/>
                <w:b/>
                <w:bCs/>
                <w:sz w:val="20"/>
                <w:lang w:eastAsia="tr-TR"/>
              </w:rPr>
            </w:pPr>
            <w:r w:rsidRPr="00F63E83">
              <w:rPr>
                <w:rFonts w:ascii="Arial" w:hAnsi="Arial" w:cs="Arial"/>
                <w:b/>
                <w:bCs/>
                <w:sz w:val="20"/>
                <w:lang w:eastAsia="tr-TR"/>
              </w:rPr>
              <w:t>Haziran</w:t>
            </w:r>
            <w:r w:rsidR="00D67174" w:rsidRPr="00F63E83">
              <w:rPr>
                <w:rFonts w:ascii="Arial" w:hAnsi="Arial" w:cs="Arial"/>
                <w:b/>
                <w:bCs/>
                <w:sz w:val="20"/>
                <w:lang w:eastAsia="tr-TR"/>
              </w:rPr>
              <w:t xml:space="preserve"> 2011</w:t>
            </w:r>
          </w:p>
        </w:tc>
        <w:tc>
          <w:tcPr>
            <w:tcW w:w="1060" w:type="dxa"/>
            <w:tcBorders>
              <w:top w:val="nil"/>
              <w:left w:val="nil"/>
              <w:bottom w:val="single" w:sz="8" w:space="0" w:color="auto"/>
              <w:right w:val="nil"/>
            </w:tcBorders>
            <w:shd w:val="clear" w:color="000000" w:fill="FFFFFF"/>
            <w:vAlign w:val="center"/>
            <w:hideMark/>
          </w:tcPr>
          <w:p w:rsidR="002C3493" w:rsidRPr="00F63E83" w:rsidRDefault="002C3493" w:rsidP="002C3493">
            <w:pPr>
              <w:jc w:val="right"/>
              <w:rPr>
                <w:rFonts w:ascii="Arial" w:hAnsi="Arial" w:cs="Arial"/>
                <w:b/>
                <w:bCs/>
                <w:sz w:val="20"/>
                <w:lang w:eastAsia="tr-TR"/>
              </w:rPr>
            </w:pPr>
            <w:r w:rsidRPr="00F63E83">
              <w:rPr>
                <w:rFonts w:ascii="Arial" w:hAnsi="Arial" w:cs="Arial"/>
                <w:b/>
                <w:bCs/>
                <w:sz w:val="20"/>
                <w:lang w:eastAsia="tr-TR"/>
              </w:rPr>
              <w:t>Yıllık yüzde değ.</w:t>
            </w:r>
          </w:p>
        </w:tc>
      </w:tr>
      <w:tr w:rsidR="00F63E83" w:rsidRPr="00F63E83" w:rsidTr="00140748">
        <w:trPr>
          <w:trHeight w:val="255"/>
          <w:jc w:val="center"/>
        </w:trPr>
        <w:tc>
          <w:tcPr>
            <w:tcW w:w="2665" w:type="dxa"/>
            <w:tcBorders>
              <w:top w:val="nil"/>
              <w:left w:val="nil"/>
              <w:bottom w:val="nil"/>
              <w:right w:val="nil"/>
            </w:tcBorders>
            <w:shd w:val="clear" w:color="000000" w:fill="FFFFFF"/>
            <w:noWrap/>
            <w:vAlign w:val="center"/>
            <w:hideMark/>
          </w:tcPr>
          <w:p w:rsidR="00140748" w:rsidRPr="00F63E83" w:rsidRDefault="00140748" w:rsidP="002C3493">
            <w:pPr>
              <w:rPr>
                <w:rFonts w:ascii="Arial" w:hAnsi="Arial" w:cs="Arial"/>
                <w:b/>
                <w:bCs/>
                <w:sz w:val="20"/>
                <w:lang w:eastAsia="tr-TR"/>
              </w:rPr>
            </w:pPr>
            <w:r w:rsidRPr="00F63E83">
              <w:rPr>
                <w:rFonts w:ascii="Arial" w:hAnsi="Arial" w:cs="Arial"/>
                <w:b/>
                <w:bCs/>
                <w:sz w:val="20"/>
                <w:lang w:eastAsia="tr-TR"/>
              </w:rPr>
              <w:t>Faiz gelirleri</w:t>
            </w:r>
          </w:p>
        </w:tc>
        <w:tc>
          <w:tcPr>
            <w:tcW w:w="863"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40.041</w:t>
            </w:r>
          </w:p>
        </w:tc>
        <w:tc>
          <w:tcPr>
            <w:tcW w:w="9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28.890</w:t>
            </w:r>
          </w:p>
        </w:tc>
        <w:tc>
          <w:tcPr>
            <w:tcW w:w="10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39</w:t>
            </w:r>
          </w:p>
        </w:tc>
      </w:tr>
      <w:tr w:rsidR="00F63E83" w:rsidRPr="00F63E83" w:rsidTr="00140748">
        <w:trPr>
          <w:trHeight w:val="255"/>
          <w:jc w:val="center"/>
        </w:trPr>
        <w:tc>
          <w:tcPr>
            <w:tcW w:w="2665" w:type="dxa"/>
            <w:tcBorders>
              <w:top w:val="nil"/>
              <w:left w:val="nil"/>
              <w:bottom w:val="nil"/>
              <w:right w:val="nil"/>
            </w:tcBorders>
            <w:shd w:val="clear" w:color="000000" w:fill="FFFFFF"/>
            <w:noWrap/>
            <w:vAlign w:val="center"/>
            <w:hideMark/>
          </w:tcPr>
          <w:p w:rsidR="00140748" w:rsidRPr="00F63E83" w:rsidRDefault="00140748" w:rsidP="002C3493">
            <w:pPr>
              <w:rPr>
                <w:rFonts w:ascii="Arial" w:hAnsi="Arial" w:cs="Arial"/>
                <w:b/>
                <w:bCs/>
                <w:sz w:val="20"/>
                <w:lang w:eastAsia="tr-TR"/>
              </w:rPr>
            </w:pPr>
            <w:r w:rsidRPr="00F63E83">
              <w:rPr>
                <w:rFonts w:ascii="Arial" w:hAnsi="Arial" w:cs="Arial"/>
                <w:b/>
                <w:bCs/>
                <w:sz w:val="20"/>
                <w:lang w:eastAsia="tr-TR"/>
              </w:rPr>
              <w:t>Faiz giderleri</w:t>
            </w:r>
          </w:p>
        </w:tc>
        <w:tc>
          <w:tcPr>
            <w:tcW w:w="863"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22.339</w:t>
            </w:r>
          </w:p>
        </w:tc>
        <w:tc>
          <w:tcPr>
            <w:tcW w:w="9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15.450</w:t>
            </w:r>
          </w:p>
        </w:tc>
        <w:tc>
          <w:tcPr>
            <w:tcW w:w="10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45</w:t>
            </w:r>
          </w:p>
        </w:tc>
      </w:tr>
      <w:tr w:rsidR="00F63E83" w:rsidRPr="00F63E83" w:rsidTr="00140748">
        <w:trPr>
          <w:trHeight w:val="255"/>
          <w:jc w:val="center"/>
        </w:trPr>
        <w:tc>
          <w:tcPr>
            <w:tcW w:w="2665" w:type="dxa"/>
            <w:tcBorders>
              <w:top w:val="nil"/>
              <w:left w:val="nil"/>
              <w:bottom w:val="nil"/>
              <w:right w:val="nil"/>
            </w:tcBorders>
            <w:shd w:val="clear" w:color="000000" w:fill="FFFFFF"/>
            <w:noWrap/>
            <w:vAlign w:val="center"/>
            <w:hideMark/>
          </w:tcPr>
          <w:p w:rsidR="00140748" w:rsidRPr="00F63E83" w:rsidRDefault="00140748" w:rsidP="002C3493">
            <w:pPr>
              <w:rPr>
                <w:rFonts w:ascii="Arial" w:hAnsi="Arial" w:cs="Arial"/>
                <w:b/>
                <w:bCs/>
                <w:sz w:val="20"/>
                <w:lang w:eastAsia="tr-TR"/>
              </w:rPr>
            </w:pPr>
            <w:r w:rsidRPr="00F63E83">
              <w:rPr>
                <w:rFonts w:ascii="Arial" w:hAnsi="Arial" w:cs="Arial"/>
                <w:b/>
                <w:bCs/>
                <w:sz w:val="20"/>
                <w:lang w:eastAsia="tr-TR"/>
              </w:rPr>
              <w:t>Net faiz geliri</w:t>
            </w:r>
          </w:p>
        </w:tc>
        <w:tc>
          <w:tcPr>
            <w:tcW w:w="863"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17.702</w:t>
            </w:r>
          </w:p>
        </w:tc>
        <w:tc>
          <w:tcPr>
            <w:tcW w:w="9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13.441</w:t>
            </w:r>
          </w:p>
        </w:tc>
        <w:tc>
          <w:tcPr>
            <w:tcW w:w="10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32</w:t>
            </w:r>
          </w:p>
        </w:tc>
      </w:tr>
      <w:tr w:rsidR="00F63E83" w:rsidRPr="00F63E83" w:rsidTr="00140748">
        <w:trPr>
          <w:trHeight w:val="255"/>
          <w:jc w:val="center"/>
        </w:trPr>
        <w:tc>
          <w:tcPr>
            <w:tcW w:w="2665" w:type="dxa"/>
            <w:tcBorders>
              <w:top w:val="nil"/>
              <w:left w:val="nil"/>
              <w:bottom w:val="nil"/>
              <w:right w:val="nil"/>
            </w:tcBorders>
            <w:shd w:val="clear" w:color="000000" w:fill="FFFFFF"/>
            <w:noWrap/>
            <w:vAlign w:val="center"/>
            <w:hideMark/>
          </w:tcPr>
          <w:p w:rsidR="00140748" w:rsidRPr="00F63E83" w:rsidRDefault="00140748" w:rsidP="002C3493">
            <w:pPr>
              <w:rPr>
                <w:rFonts w:ascii="Arial" w:hAnsi="Arial" w:cs="Arial"/>
                <w:b/>
                <w:bCs/>
                <w:sz w:val="20"/>
                <w:lang w:eastAsia="tr-TR"/>
              </w:rPr>
            </w:pPr>
            <w:r w:rsidRPr="00F63E83">
              <w:rPr>
                <w:rFonts w:ascii="Arial" w:hAnsi="Arial" w:cs="Arial"/>
                <w:b/>
                <w:bCs/>
                <w:sz w:val="20"/>
                <w:lang w:eastAsia="tr-TR"/>
              </w:rPr>
              <w:t>Net ücret ve kom. gelirleri</w:t>
            </w:r>
          </w:p>
        </w:tc>
        <w:tc>
          <w:tcPr>
            <w:tcW w:w="863"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5.142</w:t>
            </w:r>
          </w:p>
        </w:tc>
        <w:tc>
          <w:tcPr>
            <w:tcW w:w="9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4.742</w:t>
            </w:r>
          </w:p>
        </w:tc>
        <w:tc>
          <w:tcPr>
            <w:tcW w:w="10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8</w:t>
            </w:r>
          </w:p>
        </w:tc>
      </w:tr>
      <w:tr w:rsidR="00F63E83" w:rsidRPr="00F63E83" w:rsidTr="00140748">
        <w:trPr>
          <w:trHeight w:val="255"/>
          <w:jc w:val="center"/>
        </w:trPr>
        <w:tc>
          <w:tcPr>
            <w:tcW w:w="2665" w:type="dxa"/>
            <w:tcBorders>
              <w:top w:val="nil"/>
              <w:left w:val="nil"/>
              <w:bottom w:val="nil"/>
              <w:right w:val="nil"/>
            </w:tcBorders>
            <w:shd w:val="clear" w:color="000000" w:fill="FFFFFF"/>
            <w:noWrap/>
            <w:vAlign w:val="center"/>
            <w:hideMark/>
          </w:tcPr>
          <w:p w:rsidR="00140748" w:rsidRPr="00F63E83" w:rsidRDefault="00140748" w:rsidP="002C3493">
            <w:pPr>
              <w:rPr>
                <w:rFonts w:ascii="Arial" w:hAnsi="Arial" w:cs="Arial"/>
                <w:b/>
                <w:bCs/>
                <w:sz w:val="20"/>
                <w:lang w:eastAsia="tr-TR"/>
              </w:rPr>
            </w:pPr>
            <w:r w:rsidRPr="00F63E83">
              <w:rPr>
                <w:rFonts w:ascii="Arial" w:hAnsi="Arial" w:cs="Arial"/>
                <w:b/>
                <w:bCs/>
                <w:sz w:val="20"/>
                <w:lang w:eastAsia="tr-TR"/>
              </w:rPr>
              <w:t>Net ticari kar/zarar</w:t>
            </w:r>
          </w:p>
        </w:tc>
        <w:tc>
          <w:tcPr>
            <w:tcW w:w="863"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-25</w:t>
            </w:r>
          </w:p>
        </w:tc>
        <w:tc>
          <w:tcPr>
            <w:tcW w:w="9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530</w:t>
            </w:r>
          </w:p>
        </w:tc>
        <w:tc>
          <w:tcPr>
            <w:tcW w:w="10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-105</w:t>
            </w:r>
          </w:p>
        </w:tc>
      </w:tr>
      <w:tr w:rsidR="00F63E83" w:rsidRPr="00F63E83" w:rsidTr="00140748">
        <w:trPr>
          <w:trHeight w:val="255"/>
          <w:jc w:val="center"/>
        </w:trPr>
        <w:tc>
          <w:tcPr>
            <w:tcW w:w="2665" w:type="dxa"/>
            <w:tcBorders>
              <w:top w:val="nil"/>
              <w:left w:val="nil"/>
              <w:bottom w:val="nil"/>
              <w:right w:val="nil"/>
            </w:tcBorders>
            <w:shd w:val="clear" w:color="000000" w:fill="FFFFFF"/>
            <w:noWrap/>
            <w:vAlign w:val="center"/>
            <w:hideMark/>
          </w:tcPr>
          <w:p w:rsidR="00140748" w:rsidRPr="00F63E83" w:rsidRDefault="00140748" w:rsidP="002C3493">
            <w:pPr>
              <w:rPr>
                <w:rFonts w:ascii="Arial" w:hAnsi="Arial" w:cs="Arial"/>
                <w:b/>
                <w:bCs/>
                <w:sz w:val="20"/>
                <w:lang w:eastAsia="tr-TR"/>
              </w:rPr>
            </w:pPr>
            <w:r w:rsidRPr="00F63E83">
              <w:rPr>
                <w:rFonts w:ascii="Arial" w:hAnsi="Arial" w:cs="Arial"/>
                <w:b/>
                <w:bCs/>
                <w:sz w:val="20"/>
                <w:lang w:eastAsia="tr-TR"/>
              </w:rPr>
              <w:t>Diğer faal. gelirleri</w:t>
            </w:r>
          </w:p>
        </w:tc>
        <w:tc>
          <w:tcPr>
            <w:tcW w:w="863"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2.006</w:t>
            </w:r>
          </w:p>
        </w:tc>
        <w:tc>
          <w:tcPr>
            <w:tcW w:w="9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3.333</w:t>
            </w:r>
          </w:p>
        </w:tc>
        <w:tc>
          <w:tcPr>
            <w:tcW w:w="10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-40</w:t>
            </w:r>
          </w:p>
        </w:tc>
      </w:tr>
      <w:tr w:rsidR="00F63E83" w:rsidRPr="00F63E83" w:rsidTr="00140748">
        <w:trPr>
          <w:trHeight w:val="255"/>
          <w:jc w:val="center"/>
        </w:trPr>
        <w:tc>
          <w:tcPr>
            <w:tcW w:w="2665" w:type="dxa"/>
            <w:tcBorders>
              <w:top w:val="nil"/>
              <w:left w:val="nil"/>
              <w:bottom w:val="nil"/>
              <w:right w:val="nil"/>
            </w:tcBorders>
            <w:shd w:val="clear" w:color="000000" w:fill="FFFFFF"/>
            <w:noWrap/>
            <w:vAlign w:val="center"/>
            <w:hideMark/>
          </w:tcPr>
          <w:p w:rsidR="00140748" w:rsidRPr="00F63E83" w:rsidRDefault="00140748" w:rsidP="002C3493">
            <w:pPr>
              <w:rPr>
                <w:rFonts w:ascii="Arial" w:hAnsi="Arial" w:cs="Arial"/>
                <w:b/>
                <w:bCs/>
                <w:sz w:val="20"/>
                <w:lang w:eastAsia="tr-TR"/>
              </w:rPr>
            </w:pPr>
            <w:r w:rsidRPr="00F63E83">
              <w:rPr>
                <w:rFonts w:ascii="Arial" w:hAnsi="Arial" w:cs="Arial"/>
                <w:b/>
                <w:bCs/>
                <w:sz w:val="20"/>
                <w:lang w:eastAsia="tr-TR"/>
              </w:rPr>
              <w:t>Faaliyet gelir/giderleri</w:t>
            </w:r>
          </w:p>
        </w:tc>
        <w:tc>
          <w:tcPr>
            <w:tcW w:w="863"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25.878</w:t>
            </w:r>
          </w:p>
        </w:tc>
        <w:tc>
          <w:tcPr>
            <w:tcW w:w="9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22.918</w:t>
            </w:r>
          </w:p>
        </w:tc>
        <w:tc>
          <w:tcPr>
            <w:tcW w:w="10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13</w:t>
            </w:r>
          </w:p>
        </w:tc>
      </w:tr>
      <w:tr w:rsidR="00F63E83" w:rsidRPr="00F63E83" w:rsidTr="00140748">
        <w:trPr>
          <w:trHeight w:val="255"/>
          <w:jc w:val="center"/>
        </w:trPr>
        <w:tc>
          <w:tcPr>
            <w:tcW w:w="2665" w:type="dxa"/>
            <w:tcBorders>
              <w:top w:val="nil"/>
              <w:left w:val="nil"/>
              <w:bottom w:val="nil"/>
              <w:right w:val="nil"/>
            </w:tcBorders>
            <w:shd w:val="clear" w:color="000000" w:fill="FFFFFF"/>
            <w:noWrap/>
            <w:vAlign w:val="center"/>
            <w:hideMark/>
          </w:tcPr>
          <w:p w:rsidR="00140748" w:rsidRPr="00F63E83" w:rsidRDefault="00140748" w:rsidP="002C3493">
            <w:pPr>
              <w:rPr>
                <w:rFonts w:ascii="Arial" w:hAnsi="Arial" w:cs="Arial"/>
                <w:b/>
                <w:bCs/>
                <w:sz w:val="20"/>
                <w:lang w:eastAsia="tr-TR"/>
              </w:rPr>
            </w:pPr>
            <w:r w:rsidRPr="00F63E83">
              <w:rPr>
                <w:rFonts w:ascii="Arial" w:hAnsi="Arial" w:cs="Arial"/>
                <w:b/>
                <w:bCs/>
                <w:sz w:val="20"/>
                <w:lang w:eastAsia="tr-TR"/>
              </w:rPr>
              <w:t>Diğer faal. giderleri</w:t>
            </w:r>
          </w:p>
        </w:tc>
        <w:tc>
          <w:tcPr>
            <w:tcW w:w="863"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11.066</w:t>
            </w:r>
          </w:p>
        </w:tc>
        <w:tc>
          <w:tcPr>
            <w:tcW w:w="9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9.757</w:t>
            </w:r>
          </w:p>
        </w:tc>
        <w:tc>
          <w:tcPr>
            <w:tcW w:w="10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13</w:t>
            </w:r>
          </w:p>
        </w:tc>
      </w:tr>
      <w:tr w:rsidR="00F63E83" w:rsidRPr="00F63E83" w:rsidTr="00140748">
        <w:trPr>
          <w:trHeight w:val="255"/>
          <w:jc w:val="center"/>
        </w:trPr>
        <w:tc>
          <w:tcPr>
            <w:tcW w:w="2665" w:type="dxa"/>
            <w:tcBorders>
              <w:top w:val="nil"/>
              <w:left w:val="nil"/>
              <w:bottom w:val="nil"/>
              <w:right w:val="nil"/>
            </w:tcBorders>
            <w:shd w:val="clear" w:color="000000" w:fill="FFFFFF"/>
            <w:noWrap/>
            <w:vAlign w:val="center"/>
            <w:hideMark/>
          </w:tcPr>
          <w:p w:rsidR="00140748" w:rsidRPr="00F63E83" w:rsidRDefault="00140748" w:rsidP="002C3493">
            <w:pPr>
              <w:rPr>
                <w:rFonts w:ascii="Arial" w:hAnsi="Arial" w:cs="Arial"/>
                <w:b/>
                <w:bCs/>
                <w:sz w:val="20"/>
                <w:lang w:eastAsia="tr-TR"/>
              </w:rPr>
            </w:pPr>
            <w:r w:rsidRPr="00F63E83">
              <w:rPr>
                <w:rFonts w:ascii="Arial" w:hAnsi="Arial" w:cs="Arial"/>
                <w:b/>
                <w:bCs/>
                <w:sz w:val="20"/>
                <w:lang w:eastAsia="tr-TR"/>
              </w:rPr>
              <w:t>Net faaliyet karı</w:t>
            </w:r>
          </w:p>
        </w:tc>
        <w:tc>
          <w:tcPr>
            <w:tcW w:w="863"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10.779</w:t>
            </w:r>
          </w:p>
        </w:tc>
        <w:tc>
          <w:tcPr>
            <w:tcW w:w="9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10.280</w:t>
            </w:r>
          </w:p>
        </w:tc>
        <w:tc>
          <w:tcPr>
            <w:tcW w:w="1060" w:type="dxa"/>
            <w:tcBorders>
              <w:top w:val="nil"/>
              <w:left w:val="nil"/>
              <w:bottom w:val="nil"/>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5</w:t>
            </w:r>
          </w:p>
        </w:tc>
      </w:tr>
      <w:tr w:rsidR="00F63E83" w:rsidRPr="00F63E83" w:rsidTr="00140748">
        <w:trPr>
          <w:trHeight w:val="270"/>
          <w:jc w:val="center"/>
        </w:trPr>
        <w:tc>
          <w:tcPr>
            <w:tcW w:w="2665" w:type="dxa"/>
            <w:tcBorders>
              <w:top w:val="nil"/>
              <w:left w:val="nil"/>
              <w:bottom w:val="single" w:sz="8" w:space="0" w:color="auto"/>
              <w:right w:val="nil"/>
            </w:tcBorders>
            <w:shd w:val="clear" w:color="000000" w:fill="FFFFFF"/>
            <w:noWrap/>
            <w:vAlign w:val="center"/>
            <w:hideMark/>
          </w:tcPr>
          <w:p w:rsidR="00140748" w:rsidRPr="00F63E83" w:rsidRDefault="00140748" w:rsidP="002C3493">
            <w:pPr>
              <w:rPr>
                <w:rFonts w:ascii="Arial" w:hAnsi="Arial" w:cs="Arial"/>
                <w:b/>
                <w:bCs/>
                <w:sz w:val="20"/>
                <w:lang w:eastAsia="tr-TR"/>
              </w:rPr>
            </w:pPr>
            <w:r w:rsidRPr="00F63E83">
              <w:rPr>
                <w:rFonts w:ascii="Arial" w:hAnsi="Arial" w:cs="Arial"/>
                <w:b/>
                <w:bCs/>
                <w:sz w:val="20"/>
                <w:lang w:eastAsia="tr-TR"/>
              </w:rPr>
              <w:t>Net dönem kar/zararı</w:t>
            </w:r>
          </w:p>
        </w:tc>
        <w:tc>
          <w:tcPr>
            <w:tcW w:w="863" w:type="dxa"/>
            <w:tcBorders>
              <w:top w:val="nil"/>
              <w:left w:val="nil"/>
              <w:bottom w:val="single" w:sz="8" w:space="0" w:color="auto"/>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8.555</w:t>
            </w:r>
          </w:p>
        </w:tc>
        <w:tc>
          <w:tcPr>
            <w:tcW w:w="960" w:type="dxa"/>
            <w:tcBorders>
              <w:top w:val="nil"/>
              <w:left w:val="nil"/>
              <w:bottom w:val="single" w:sz="8" w:space="0" w:color="auto"/>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8.236</w:t>
            </w:r>
          </w:p>
        </w:tc>
        <w:tc>
          <w:tcPr>
            <w:tcW w:w="1060" w:type="dxa"/>
            <w:tcBorders>
              <w:top w:val="nil"/>
              <w:left w:val="nil"/>
              <w:bottom w:val="single" w:sz="8" w:space="0" w:color="auto"/>
              <w:right w:val="nil"/>
            </w:tcBorders>
            <w:shd w:val="clear" w:color="000000" w:fill="FFFFFF"/>
            <w:noWrap/>
            <w:vAlign w:val="bottom"/>
            <w:hideMark/>
          </w:tcPr>
          <w:p w:rsidR="00140748" w:rsidRPr="00F63E83" w:rsidRDefault="00140748">
            <w:pPr>
              <w:jc w:val="right"/>
              <w:rPr>
                <w:rFonts w:ascii="Arial" w:hAnsi="Arial" w:cs="Arial"/>
                <w:sz w:val="20"/>
              </w:rPr>
            </w:pPr>
            <w:r w:rsidRPr="00F63E83">
              <w:rPr>
                <w:rFonts w:ascii="Arial" w:hAnsi="Arial" w:cs="Arial"/>
                <w:sz w:val="20"/>
              </w:rPr>
              <w:t>4</w:t>
            </w:r>
          </w:p>
        </w:tc>
      </w:tr>
    </w:tbl>
    <w:p w:rsidR="00373BB1" w:rsidRPr="00F63E83" w:rsidRDefault="00373BB1" w:rsidP="00373BB1">
      <w:pPr>
        <w:pStyle w:val="Subtitle"/>
        <w:jc w:val="center"/>
        <w:rPr>
          <w:rFonts w:ascii="Arial" w:hAnsi="Arial" w:cs="Arial"/>
          <w:sz w:val="22"/>
          <w:szCs w:val="22"/>
        </w:rPr>
      </w:pPr>
    </w:p>
    <w:p w:rsidR="005E3060" w:rsidRPr="00F63E83" w:rsidRDefault="005E3060" w:rsidP="005E3060">
      <w:pPr>
        <w:pStyle w:val="Subtitle"/>
        <w:rPr>
          <w:rFonts w:ascii="Arial" w:hAnsi="Arial" w:cs="Arial"/>
          <w:b w:val="0"/>
          <w:sz w:val="22"/>
          <w:szCs w:val="22"/>
        </w:rPr>
      </w:pPr>
      <w:r w:rsidRPr="00F63E83">
        <w:rPr>
          <w:rFonts w:ascii="Arial" w:hAnsi="Arial" w:cs="Arial"/>
          <w:b w:val="0"/>
          <w:sz w:val="22"/>
          <w:szCs w:val="22"/>
        </w:rPr>
        <w:t xml:space="preserve">İMKB’de işlem gören mevduat bankalarının özkaynakları </w:t>
      </w:r>
      <w:r w:rsidR="00140748" w:rsidRPr="00F63E83">
        <w:rPr>
          <w:rFonts w:ascii="Arial" w:hAnsi="Arial" w:cs="Arial"/>
          <w:b w:val="0"/>
          <w:sz w:val="22"/>
          <w:szCs w:val="22"/>
        </w:rPr>
        <w:t>Haziran</w:t>
      </w:r>
      <w:r w:rsidR="00C87E78" w:rsidRPr="00F63E83">
        <w:rPr>
          <w:rFonts w:ascii="Arial" w:hAnsi="Arial" w:cs="Arial"/>
          <w:b w:val="0"/>
          <w:sz w:val="22"/>
          <w:szCs w:val="22"/>
        </w:rPr>
        <w:t xml:space="preserve"> 2012</w:t>
      </w:r>
      <w:r w:rsidRPr="00F63E83">
        <w:rPr>
          <w:rFonts w:ascii="Arial" w:hAnsi="Arial" w:cs="Arial"/>
          <w:b w:val="0"/>
          <w:sz w:val="22"/>
          <w:szCs w:val="22"/>
        </w:rPr>
        <w:t xml:space="preserve"> itibariyle geçen yı</w:t>
      </w:r>
      <w:r w:rsidR="002C3493" w:rsidRPr="00F63E83">
        <w:rPr>
          <w:rFonts w:ascii="Arial" w:hAnsi="Arial" w:cs="Arial"/>
          <w:b w:val="0"/>
          <w:sz w:val="22"/>
          <w:szCs w:val="22"/>
        </w:rPr>
        <w:t>lın aynı dönemin</w:t>
      </w:r>
      <w:r w:rsidR="00C87E78" w:rsidRPr="00F63E83">
        <w:rPr>
          <w:rFonts w:ascii="Arial" w:hAnsi="Arial" w:cs="Arial"/>
          <w:b w:val="0"/>
          <w:sz w:val="22"/>
          <w:szCs w:val="22"/>
        </w:rPr>
        <w:t>e göre yüzde 1</w:t>
      </w:r>
      <w:r w:rsidR="00140748" w:rsidRPr="00F63E83">
        <w:rPr>
          <w:rFonts w:ascii="Arial" w:hAnsi="Arial" w:cs="Arial"/>
          <w:b w:val="0"/>
          <w:sz w:val="22"/>
          <w:szCs w:val="22"/>
        </w:rPr>
        <w:t>5</w:t>
      </w:r>
      <w:r w:rsidR="002C3493" w:rsidRPr="00F63E83">
        <w:rPr>
          <w:rFonts w:ascii="Arial" w:hAnsi="Arial" w:cs="Arial"/>
          <w:b w:val="0"/>
          <w:sz w:val="22"/>
          <w:szCs w:val="22"/>
        </w:rPr>
        <w:t xml:space="preserve"> </w:t>
      </w:r>
      <w:r w:rsidRPr="00F63E83">
        <w:rPr>
          <w:rFonts w:ascii="Arial" w:hAnsi="Arial" w:cs="Arial"/>
          <w:b w:val="0"/>
          <w:sz w:val="22"/>
          <w:szCs w:val="22"/>
        </w:rPr>
        <w:t>oranında artmıştır.</w:t>
      </w:r>
      <w:r w:rsidR="00140748" w:rsidRPr="00F63E83">
        <w:rPr>
          <w:rFonts w:ascii="Arial" w:hAnsi="Arial" w:cs="Arial"/>
          <w:b w:val="0"/>
          <w:sz w:val="22"/>
          <w:szCs w:val="22"/>
        </w:rPr>
        <w:t xml:space="preserve"> </w:t>
      </w:r>
      <w:r w:rsidRPr="00F63E83">
        <w:rPr>
          <w:rFonts w:ascii="Arial" w:hAnsi="Arial" w:cs="Arial"/>
          <w:b w:val="0"/>
          <w:sz w:val="22"/>
          <w:szCs w:val="22"/>
        </w:rPr>
        <w:t>Özkaynakların</w:t>
      </w:r>
      <w:r w:rsidR="00C87E78" w:rsidRPr="00F63E83">
        <w:rPr>
          <w:rFonts w:ascii="Arial" w:hAnsi="Arial" w:cs="Arial"/>
          <w:b w:val="0"/>
          <w:sz w:val="22"/>
          <w:szCs w:val="22"/>
        </w:rPr>
        <w:t xml:space="preserve"> toplam aktiflere oranı yüzde 12</w:t>
      </w:r>
      <w:r w:rsidRPr="00F63E83">
        <w:rPr>
          <w:rFonts w:ascii="Arial" w:hAnsi="Arial" w:cs="Arial"/>
          <w:b w:val="0"/>
          <w:sz w:val="22"/>
          <w:szCs w:val="22"/>
        </w:rPr>
        <w:t xml:space="preserve"> düzeyindedir. </w:t>
      </w:r>
    </w:p>
    <w:p w:rsidR="005E3060" w:rsidRPr="00F63E83" w:rsidRDefault="005E3060" w:rsidP="005E3060">
      <w:pPr>
        <w:pStyle w:val="Subtitle"/>
        <w:rPr>
          <w:rFonts w:ascii="Arial" w:hAnsi="Arial" w:cs="Arial"/>
          <w:b w:val="0"/>
          <w:sz w:val="22"/>
          <w:szCs w:val="22"/>
        </w:rPr>
      </w:pPr>
    </w:p>
    <w:p w:rsidR="005E3060" w:rsidRPr="00F63E83" w:rsidRDefault="00140748" w:rsidP="005E3060">
      <w:pPr>
        <w:pStyle w:val="Subtitle"/>
        <w:rPr>
          <w:rFonts w:ascii="Arial" w:hAnsi="Arial" w:cs="Arial"/>
          <w:b w:val="0"/>
          <w:sz w:val="22"/>
          <w:szCs w:val="22"/>
        </w:rPr>
      </w:pPr>
      <w:r w:rsidRPr="00F63E83">
        <w:rPr>
          <w:rFonts w:ascii="Arial" w:hAnsi="Arial" w:cs="Arial"/>
          <w:b w:val="0"/>
          <w:sz w:val="22"/>
          <w:szCs w:val="22"/>
        </w:rPr>
        <w:lastRenderedPageBreak/>
        <w:t>Haziran</w:t>
      </w:r>
      <w:r w:rsidR="00B632C7" w:rsidRPr="00F63E83">
        <w:rPr>
          <w:rFonts w:ascii="Arial" w:hAnsi="Arial" w:cs="Arial"/>
          <w:b w:val="0"/>
          <w:sz w:val="22"/>
          <w:szCs w:val="22"/>
        </w:rPr>
        <w:t xml:space="preserve"> 2012</w:t>
      </w:r>
      <w:r w:rsidR="005E3060" w:rsidRPr="00F63E83">
        <w:rPr>
          <w:rFonts w:ascii="Arial" w:hAnsi="Arial" w:cs="Arial"/>
          <w:b w:val="0"/>
          <w:sz w:val="22"/>
          <w:szCs w:val="22"/>
        </w:rPr>
        <w:t xml:space="preserve"> itibariyle, bir önceki yılın aynı dönemine göre, YP aktiflerin toplam aktifler içi</w:t>
      </w:r>
      <w:r w:rsidR="00B632C7" w:rsidRPr="00F63E83">
        <w:rPr>
          <w:rFonts w:ascii="Arial" w:hAnsi="Arial" w:cs="Arial"/>
          <w:b w:val="0"/>
          <w:sz w:val="22"/>
          <w:szCs w:val="22"/>
        </w:rPr>
        <w:t xml:space="preserve">ndeki payı yüzde </w:t>
      </w:r>
      <w:r w:rsidRPr="00F63E83">
        <w:rPr>
          <w:rFonts w:ascii="Arial" w:hAnsi="Arial" w:cs="Arial"/>
          <w:b w:val="0"/>
          <w:sz w:val="22"/>
          <w:szCs w:val="22"/>
        </w:rPr>
        <w:t>30</w:t>
      </w:r>
      <w:r w:rsidR="00B632C7" w:rsidRPr="00F63E83">
        <w:rPr>
          <w:rFonts w:ascii="Arial" w:hAnsi="Arial" w:cs="Arial"/>
          <w:b w:val="0"/>
          <w:sz w:val="22"/>
          <w:szCs w:val="22"/>
        </w:rPr>
        <w:t>’dan yüzde 32</w:t>
      </w:r>
      <w:r w:rsidR="002C3493" w:rsidRPr="00F63E83">
        <w:rPr>
          <w:rFonts w:ascii="Arial" w:hAnsi="Arial" w:cs="Arial"/>
          <w:b w:val="0"/>
          <w:sz w:val="22"/>
          <w:szCs w:val="22"/>
        </w:rPr>
        <w:t>’</w:t>
      </w:r>
      <w:r w:rsidR="00B632C7" w:rsidRPr="00F63E83">
        <w:rPr>
          <w:rFonts w:ascii="Arial" w:hAnsi="Arial" w:cs="Arial"/>
          <w:b w:val="0"/>
          <w:sz w:val="22"/>
          <w:szCs w:val="22"/>
        </w:rPr>
        <w:t>y</w:t>
      </w:r>
      <w:r w:rsidR="005E3060" w:rsidRPr="00F63E83">
        <w:rPr>
          <w:rFonts w:ascii="Arial" w:hAnsi="Arial" w:cs="Arial"/>
          <w:b w:val="0"/>
          <w:sz w:val="22"/>
          <w:szCs w:val="22"/>
        </w:rPr>
        <w:t>e artarken, YP pasiflerin toplam pasifler içindek</w:t>
      </w:r>
      <w:r w:rsidR="00B632C7" w:rsidRPr="00F63E83">
        <w:rPr>
          <w:rFonts w:ascii="Arial" w:hAnsi="Arial" w:cs="Arial"/>
          <w:b w:val="0"/>
          <w:sz w:val="22"/>
          <w:szCs w:val="22"/>
        </w:rPr>
        <w:t>i payı ise yüzde 3</w:t>
      </w:r>
      <w:r w:rsidRPr="00F63E83">
        <w:rPr>
          <w:rFonts w:ascii="Arial" w:hAnsi="Arial" w:cs="Arial"/>
          <w:b w:val="0"/>
          <w:sz w:val="22"/>
          <w:szCs w:val="22"/>
        </w:rPr>
        <w:t>5</w:t>
      </w:r>
      <w:r w:rsidR="00B632C7" w:rsidRPr="00F63E83">
        <w:rPr>
          <w:rFonts w:ascii="Arial" w:hAnsi="Arial" w:cs="Arial"/>
          <w:b w:val="0"/>
          <w:sz w:val="22"/>
          <w:szCs w:val="22"/>
        </w:rPr>
        <w:t>’ten yüzde 38’e</w:t>
      </w:r>
      <w:r w:rsidR="002C3493" w:rsidRPr="00F63E83">
        <w:rPr>
          <w:rFonts w:ascii="Arial" w:hAnsi="Arial" w:cs="Arial"/>
          <w:b w:val="0"/>
          <w:sz w:val="22"/>
          <w:szCs w:val="22"/>
        </w:rPr>
        <w:t xml:space="preserve"> </w:t>
      </w:r>
      <w:r w:rsidR="00302CCE" w:rsidRPr="00F63E83">
        <w:rPr>
          <w:rFonts w:ascii="Arial" w:hAnsi="Arial" w:cs="Arial"/>
          <w:b w:val="0"/>
          <w:sz w:val="22"/>
          <w:szCs w:val="22"/>
        </w:rPr>
        <w:t>yükselmiştir</w:t>
      </w:r>
      <w:r w:rsidR="005E3060" w:rsidRPr="00F63E83">
        <w:rPr>
          <w:rFonts w:ascii="Arial" w:hAnsi="Arial" w:cs="Arial"/>
          <w:b w:val="0"/>
          <w:sz w:val="22"/>
          <w:szCs w:val="22"/>
        </w:rPr>
        <w:t xml:space="preserve">. </w:t>
      </w:r>
    </w:p>
    <w:p w:rsidR="00234523" w:rsidRPr="00F63E83" w:rsidRDefault="00234523" w:rsidP="002D67D5">
      <w:pPr>
        <w:pStyle w:val="Subtitle"/>
        <w:rPr>
          <w:rFonts w:ascii="Arial" w:hAnsi="Arial" w:cs="Arial"/>
          <w:b w:val="0"/>
          <w:sz w:val="22"/>
          <w:szCs w:val="22"/>
        </w:rPr>
      </w:pPr>
    </w:p>
    <w:p w:rsidR="002D67D5" w:rsidRPr="00F63E83" w:rsidRDefault="00B632C7" w:rsidP="002D67D5">
      <w:pPr>
        <w:pStyle w:val="Subtitle"/>
        <w:rPr>
          <w:rFonts w:ascii="Arial" w:hAnsi="Arial" w:cs="Arial"/>
          <w:b w:val="0"/>
          <w:sz w:val="22"/>
          <w:szCs w:val="22"/>
        </w:rPr>
      </w:pPr>
      <w:r w:rsidRPr="00F63E83">
        <w:rPr>
          <w:rFonts w:ascii="Arial" w:hAnsi="Arial" w:cs="Arial"/>
          <w:b w:val="0"/>
          <w:sz w:val="22"/>
          <w:szCs w:val="22"/>
        </w:rPr>
        <w:t>2012</w:t>
      </w:r>
      <w:r w:rsidR="007C75D5" w:rsidRPr="00F63E83">
        <w:rPr>
          <w:rFonts w:ascii="Arial" w:hAnsi="Arial" w:cs="Arial"/>
          <w:b w:val="0"/>
          <w:sz w:val="22"/>
          <w:szCs w:val="22"/>
        </w:rPr>
        <w:t xml:space="preserve"> </w:t>
      </w:r>
      <w:r w:rsidRPr="00F63E83">
        <w:rPr>
          <w:rFonts w:ascii="Arial" w:hAnsi="Arial" w:cs="Arial"/>
          <w:b w:val="0"/>
          <w:sz w:val="22"/>
          <w:szCs w:val="22"/>
        </w:rPr>
        <w:t xml:space="preserve">yılının ilk </w:t>
      </w:r>
      <w:r w:rsidR="00140748" w:rsidRPr="00F63E83">
        <w:rPr>
          <w:rFonts w:ascii="Arial" w:hAnsi="Arial" w:cs="Arial"/>
          <w:b w:val="0"/>
          <w:sz w:val="22"/>
          <w:szCs w:val="22"/>
        </w:rPr>
        <w:t>yarısında</w:t>
      </w:r>
      <w:r w:rsidR="002D67D5" w:rsidRPr="00F63E83">
        <w:rPr>
          <w:rFonts w:ascii="Arial" w:hAnsi="Arial" w:cs="Arial"/>
          <w:b w:val="0"/>
          <w:sz w:val="22"/>
          <w:szCs w:val="22"/>
        </w:rPr>
        <w:t xml:space="preserve">, İMKB’de işlem gören mevduat bankalarının faiz gelirleri </w:t>
      </w:r>
      <w:r w:rsidR="00BF0D5E" w:rsidRPr="00F63E83">
        <w:rPr>
          <w:rFonts w:ascii="Arial" w:hAnsi="Arial" w:cs="Arial"/>
          <w:b w:val="0"/>
          <w:sz w:val="22"/>
          <w:szCs w:val="22"/>
        </w:rPr>
        <w:t xml:space="preserve">yüzde </w:t>
      </w:r>
      <w:r w:rsidR="00140748" w:rsidRPr="00F63E83">
        <w:rPr>
          <w:rFonts w:ascii="Arial" w:hAnsi="Arial" w:cs="Arial"/>
          <w:b w:val="0"/>
          <w:sz w:val="22"/>
          <w:szCs w:val="22"/>
        </w:rPr>
        <w:t>39</w:t>
      </w:r>
      <w:r w:rsidR="00BF0D5E" w:rsidRPr="00F63E83">
        <w:rPr>
          <w:rFonts w:ascii="Arial" w:hAnsi="Arial" w:cs="Arial"/>
          <w:b w:val="0"/>
          <w:sz w:val="22"/>
          <w:szCs w:val="22"/>
        </w:rPr>
        <w:t xml:space="preserve"> oranında</w:t>
      </w:r>
      <w:r w:rsidR="002D369E">
        <w:rPr>
          <w:rFonts w:ascii="Arial" w:hAnsi="Arial" w:cs="Arial"/>
          <w:b w:val="0"/>
          <w:sz w:val="22"/>
          <w:szCs w:val="22"/>
        </w:rPr>
        <w:t>,</w:t>
      </w:r>
      <w:r w:rsidR="00FB37B5" w:rsidRPr="00F63E83">
        <w:rPr>
          <w:rFonts w:ascii="Arial" w:hAnsi="Arial" w:cs="Arial"/>
          <w:b w:val="0"/>
          <w:sz w:val="22"/>
          <w:szCs w:val="22"/>
        </w:rPr>
        <w:t xml:space="preserve"> faiz giderleri</w:t>
      </w:r>
      <w:r w:rsidR="00BF0D5E" w:rsidRPr="00F63E83">
        <w:rPr>
          <w:rFonts w:ascii="Arial" w:hAnsi="Arial" w:cs="Arial"/>
          <w:b w:val="0"/>
          <w:sz w:val="22"/>
          <w:szCs w:val="22"/>
        </w:rPr>
        <w:t xml:space="preserve"> </w:t>
      </w:r>
      <w:r w:rsidR="002D369E">
        <w:rPr>
          <w:rFonts w:ascii="Arial" w:hAnsi="Arial" w:cs="Arial"/>
          <w:b w:val="0"/>
          <w:sz w:val="22"/>
          <w:szCs w:val="22"/>
        </w:rPr>
        <w:t xml:space="preserve">ise </w:t>
      </w:r>
      <w:r w:rsidR="00BF0D5E" w:rsidRPr="00F63E83">
        <w:rPr>
          <w:rFonts w:ascii="Arial" w:hAnsi="Arial" w:cs="Arial"/>
          <w:b w:val="0"/>
          <w:sz w:val="22"/>
          <w:szCs w:val="22"/>
        </w:rPr>
        <w:t xml:space="preserve">yüzde </w:t>
      </w:r>
      <w:r w:rsidR="00140748" w:rsidRPr="00F63E83">
        <w:rPr>
          <w:rFonts w:ascii="Arial" w:hAnsi="Arial" w:cs="Arial"/>
          <w:b w:val="0"/>
          <w:sz w:val="22"/>
          <w:szCs w:val="22"/>
        </w:rPr>
        <w:t>4</w:t>
      </w:r>
      <w:r w:rsidR="00956DC6" w:rsidRPr="00F63E83">
        <w:rPr>
          <w:rFonts w:ascii="Arial" w:hAnsi="Arial" w:cs="Arial"/>
          <w:b w:val="0"/>
          <w:sz w:val="22"/>
          <w:szCs w:val="22"/>
        </w:rPr>
        <w:t>5</w:t>
      </w:r>
      <w:r w:rsidR="00BE3BD4" w:rsidRPr="00F63E83">
        <w:rPr>
          <w:rFonts w:ascii="Arial" w:hAnsi="Arial" w:cs="Arial"/>
          <w:b w:val="0"/>
          <w:sz w:val="22"/>
          <w:szCs w:val="22"/>
        </w:rPr>
        <w:t xml:space="preserve"> </w:t>
      </w:r>
      <w:r w:rsidR="00BF0D5E" w:rsidRPr="00F63E83">
        <w:rPr>
          <w:rFonts w:ascii="Arial" w:hAnsi="Arial" w:cs="Arial"/>
          <w:b w:val="0"/>
          <w:sz w:val="22"/>
          <w:szCs w:val="22"/>
        </w:rPr>
        <w:t xml:space="preserve">oranında </w:t>
      </w:r>
      <w:r w:rsidR="00473832" w:rsidRPr="00F63E83">
        <w:rPr>
          <w:rFonts w:ascii="Arial" w:hAnsi="Arial" w:cs="Arial"/>
          <w:b w:val="0"/>
          <w:sz w:val="22"/>
          <w:szCs w:val="22"/>
        </w:rPr>
        <w:t>artmıştır</w:t>
      </w:r>
      <w:r w:rsidR="00BF0D5E" w:rsidRPr="00F63E83">
        <w:rPr>
          <w:rFonts w:ascii="Arial" w:hAnsi="Arial" w:cs="Arial"/>
          <w:b w:val="0"/>
          <w:sz w:val="22"/>
          <w:szCs w:val="22"/>
        </w:rPr>
        <w:t xml:space="preserve">. Net faiz </w:t>
      </w:r>
      <w:r w:rsidR="00BE3BD4" w:rsidRPr="00F63E83">
        <w:rPr>
          <w:rFonts w:ascii="Arial" w:hAnsi="Arial" w:cs="Arial"/>
          <w:b w:val="0"/>
          <w:sz w:val="22"/>
          <w:szCs w:val="22"/>
        </w:rPr>
        <w:t>geliri</w:t>
      </w:r>
      <w:r w:rsidR="00BF0D5E" w:rsidRPr="00F63E83">
        <w:rPr>
          <w:rFonts w:ascii="Arial" w:hAnsi="Arial" w:cs="Arial"/>
          <w:b w:val="0"/>
          <w:sz w:val="22"/>
          <w:szCs w:val="22"/>
        </w:rPr>
        <w:t xml:space="preserve"> </w:t>
      </w:r>
      <w:r w:rsidR="00FB37B5" w:rsidRPr="00F63E83">
        <w:rPr>
          <w:rFonts w:ascii="Arial" w:hAnsi="Arial" w:cs="Arial"/>
          <w:b w:val="0"/>
          <w:sz w:val="22"/>
          <w:szCs w:val="22"/>
        </w:rPr>
        <w:t xml:space="preserve">ise </w:t>
      </w:r>
      <w:r w:rsidR="00363946" w:rsidRPr="00F63E83">
        <w:rPr>
          <w:rFonts w:ascii="Arial" w:hAnsi="Arial" w:cs="Arial"/>
          <w:b w:val="0"/>
          <w:sz w:val="22"/>
          <w:szCs w:val="22"/>
        </w:rPr>
        <w:t xml:space="preserve">yüzde </w:t>
      </w:r>
      <w:r w:rsidR="00140748" w:rsidRPr="00F63E83">
        <w:rPr>
          <w:rFonts w:ascii="Arial" w:hAnsi="Arial" w:cs="Arial"/>
          <w:b w:val="0"/>
          <w:sz w:val="22"/>
          <w:szCs w:val="22"/>
        </w:rPr>
        <w:t>32</w:t>
      </w:r>
      <w:r w:rsidR="00DC56DB" w:rsidRPr="00F63E83">
        <w:rPr>
          <w:rFonts w:ascii="Arial" w:hAnsi="Arial" w:cs="Arial"/>
          <w:b w:val="0"/>
          <w:sz w:val="22"/>
          <w:szCs w:val="22"/>
        </w:rPr>
        <w:t xml:space="preserve"> </w:t>
      </w:r>
      <w:r w:rsidR="00BF0D5E" w:rsidRPr="00F63E83">
        <w:rPr>
          <w:rFonts w:ascii="Arial" w:hAnsi="Arial" w:cs="Arial"/>
          <w:b w:val="0"/>
          <w:sz w:val="22"/>
          <w:szCs w:val="22"/>
        </w:rPr>
        <w:t xml:space="preserve">oranında </w:t>
      </w:r>
      <w:r w:rsidR="00DC56DB" w:rsidRPr="00F63E83">
        <w:rPr>
          <w:rFonts w:ascii="Arial" w:hAnsi="Arial" w:cs="Arial"/>
          <w:b w:val="0"/>
          <w:sz w:val="22"/>
          <w:szCs w:val="22"/>
        </w:rPr>
        <w:t>art</w:t>
      </w:r>
      <w:r w:rsidR="009B0203" w:rsidRPr="00F63E83">
        <w:rPr>
          <w:rFonts w:ascii="Arial" w:hAnsi="Arial" w:cs="Arial"/>
          <w:b w:val="0"/>
          <w:sz w:val="22"/>
          <w:szCs w:val="22"/>
        </w:rPr>
        <w:t>mıştır</w:t>
      </w:r>
      <w:r w:rsidR="00BF0D5E" w:rsidRPr="00F63E83">
        <w:rPr>
          <w:rFonts w:ascii="Arial" w:hAnsi="Arial" w:cs="Arial"/>
          <w:b w:val="0"/>
          <w:sz w:val="22"/>
          <w:szCs w:val="22"/>
        </w:rPr>
        <w:t xml:space="preserve">. </w:t>
      </w:r>
    </w:p>
    <w:p w:rsidR="004440D6" w:rsidRPr="00F63E83" w:rsidRDefault="004440D6" w:rsidP="00373BB1">
      <w:pPr>
        <w:pStyle w:val="Subtitle"/>
        <w:rPr>
          <w:rFonts w:ascii="Arial" w:hAnsi="Arial" w:cs="Arial"/>
          <w:b w:val="0"/>
          <w:sz w:val="22"/>
          <w:szCs w:val="22"/>
        </w:rPr>
      </w:pPr>
    </w:p>
    <w:p w:rsidR="00373BB1" w:rsidRPr="00F63E83" w:rsidRDefault="009E5EED" w:rsidP="00373BB1">
      <w:pPr>
        <w:pStyle w:val="Subtitle"/>
        <w:jc w:val="center"/>
        <w:rPr>
          <w:rFonts w:ascii="Arial" w:hAnsi="Arial" w:cs="Arial"/>
          <w:szCs w:val="24"/>
        </w:rPr>
      </w:pPr>
      <w:r w:rsidRPr="00F63E83">
        <w:rPr>
          <w:rFonts w:ascii="Arial" w:hAnsi="Arial" w:cs="Arial"/>
          <w:szCs w:val="24"/>
        </w:rPr>
        <w:t xml:space="preserve">Net Kar (milyon TL)  ve </w:t>
      </w:r>
      <w:r w:rsidR="00C54487" w:rsidRPr="00F63E83">
        <w:rPr>
          <w:rFonts w:ascii="Arial" w:hAnsi="Arial" w:cs="Arial"/>
          <w:szCs w:val="24"/>
        </w:rPr>
        <w:t>Özkaynak Karlılığı (y</w:t>
      </w:r>
      <w:r w:rsidR="00373BB1" w:rsidRPr="00F63E83">
        <w:rPr>
          <w:rFonts w:ascii="Arial" w:hAnsi="Arial" w:cs="Arial"/>
          <w:szCs w:val="24"/>
        </w:rPr>
        <w:t>ıllık</w:t>
      </w:r>
      <w:r w:rsidR="00360C27" w:rsidRPr="00F63E83">
        <w:rPr>
          <w:rFonts w:ascii="Arial" w:hAnsi="Arial" w:cs="Arial"/>
          <w:szCs w:val="24"/>
        </w:rPr>
        <w:t>, yüzde</w:t>
      </w:r>
      <w:r w:rsidR="00373BB1" w:rsidRPr="00F63E83">
        <w:rPr>
          <w:rFonts w:ascii="Arial" w:hAnsi="Arial" w:cs="Arial"/>
          <w:szCs w:val="24"/>
        </w:rPr>
        <w:t>)</w:t>
      </w:r>
      <w:r w:rsidRPr="00F63E83">
        <w:rPr>
          <w:rFonts w:ascii="Arial" w:hAnsi="Arial" w:cs="Arial"/>
          <w:szCs w:val="24"/>
        </w:rPr>
        <w:t xml:space="preserve"> </w:t>
      </w:r>
      <w:r w:rsidR="00C54487" w:rsidRPr="00F63E83">
        <w:rPr>
          <w:rFonts w:ascii="Arial" w:hAnsi="Arial" w:cs="Arial"/>
          <w:szCs w:val="24"/>
        </w:rPr>
        <w:t xml:space="preserve"> </w:t>
      </w:r>
    </w:p>
    <w:p w:rsidR="00373BB1" w:rsidRPr="00F63E83" w:rsidRDefault="007E3DD4" w:rsidP="00373BB1">
      <w:pPr>
        <w:pStyle w:val="Subtitle"/>
        <w:jc w:val="center"/>
        <w:rPr>
          <w:rFonts w:ascii="Arial" w:hAnsi="Arial" w:cs="Arial"/>
          <w:sz w:val="22"/>
          <w:szCs w:val="22"/>
        </w:rPr>
      </w:pPr>
      <w:r w:rsidRPr="00F63E83">
        <w:rPr>
          <w:noProof/>
          <w:lang w:eastAsia="tr-TR"/>
        </w:rPr>
        <w:drawing>
          <wp:inline distT="0" distB="0" distL="0" distR="0" wp14:anchorId="5C80F21F" wp14:editId="59D5686D">
            <wp:extent cx="4970145" cy="2982087"/>
            <wp:effectExtent l="0" t="0" r="20955" b="2794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D7755" w:rsidRPr="00F63E83" w:rsidRDefault="006D7755" w:rsidP="00544DFA">
      <w:pPr>
        <w:pStyle w:val="Subtitle"/>
        <w:rPr>
          <w:rFonts w:ascii="Arial" w:hAnsi="Arial" w:cs="Arial"/>
          <w:szCs w:val="24"/>
        </w:rPr>
      </w:pPr>
    </w:p>
    <w:p w:rsidR="002D67D5" w:rsidRPr="00F63E83" w:rsidRDefault="007F42C1" w:rsidP="002D67D5">
      <w:pPr>
        <w:pStyle w:val="Subtitle"/>
        <w:rPr>
          <w:rFonts w:ascii="Arial" w:hAnsi="Arial" w:cs="Arial"/>
          <w:b w:val="0"/>
          <w:sz w:val="22"/>
          <w:szCs w:val="22"/>
        </w:rPr>
      </w:pPr>
      <w:r w:rsidRPr="00F63E83">
        <w:rPr>
          <w:rFonts w:ascii="Arial" w:hAnsi="Arial" w:cs="Arial"/>
          <w:b w:val="0"/>
          <w:sz w:val="22"/>
          <w:szCs w:val="22"/>
        </w:rPr>
        <w:t>Ticari K/Z hesabındaki ve diğer faaliyet gelirlerindeki azalma</w:t>
      </w:r>
      <w:r w:rsidR="000E579E" w:rsidRPr="00F63E83">
        <w:rPr>
          <w:rFonts w:ascii="Arial" w:hAnsi="Arial" w:cs="Arial"/>
          <w:b w:val="0"/>
          <w:sz w:val="22"/>
          <w:szCs w:val="22"/>
        </w:rPr>
        <w:t xml:space="preserve"> </w:t>
      </w:r>
      <w:r w:rsidRPr="00F63E83">
        <w:rPr>
          <w:rFonts w:ascii="Arial" w:hAnsi="Arial" w:cs="Arial"/>
          <w:b w:val="0"/>
          <w:sz w:val="22"/>
          <w:szCs w:val="22"/>
        </w:rPr>
        <w:t>ile</w:t>
      </w:r>
      <w:r w:rsidR="000E579E" w:rsidRPr="00F63E83">
        <w:rPr>
          <w:rFonts w:ascii="Arial" w:hAnsi="Arial" w:cs="Arial"/>
          <w:b w:val="0"/>
          <w:sz w:val="22"/>
          <w:szCs w:val="22"/>
        </w:rPr>
        <w:t xml:space="preserve"> faiz giderlerinin faiz gelirlerinden hızlı artması sonucu,</w:t>
      </w:r>
      <w:r w:rsidR="00397652" w:rsidRPr="00F63E83">
        <w:rPr>
          <w:rFonts w:ascii="Arial" w:hAnsi="Arial" w:cs="Arial"/>
          <w:b w:val="0"/>
          <w:sz w:val="22"/>
          <w:szCs w:val="22"/>
        </w:rPr>
        <w:t xml:space="preserve"> </w:t>
      </w:r>
      <w:r w:rsidR="000E579E" w:rsidRPr="00F63E83">
        <w:rPr>
          <w:rFonts w:ascii="Arial" w:hAnsi="Arial" w:cs="Arial"/>
          <w:b w:val="0"/>
          <w:sz w:val="22"/>
          <w:szCs w:val="22"/>
        </w:rPr>
        <w:t>n</w:t>
      </w:r>
      <w:r w:rsidR="00BF0D5E" w:rsidRPr="00F63E83">
        <w:rPr>
          <w:rFonts w:ascii="Arial" w:hAnsi="Arial" w:cs="Arial"/>
          <w:b w:val="0"/>
          <w:sz w:val="22"/>
          <w:szCs w:val="22"/>
        </w:rPr>
        <w:t>et dönem karı</w:t>
      </w:r>
      <w:r w:rsidRPr="00F63E83">
        <w:rPr>
          <w:rFonts w:ascii="Arial" w:hAnsi="Arial" w:cs="Arial"/>
          <w:b w:val="0"/>
          <w:sz w:val="22"/>
          <w:szCs w:val="22"/>
        </w:rPr>
        <w:t>ndaki artış;</w:t>
      </w:r>
      <w:r w:rsidR="00BF0D5E" w:rsidRPr="00F63E83">
        <w:rPr>
          <w:rFonts w:ascii="Arial" w:hAnsi="Arial" w:cs="Arial"/>
          <w:b w:val="0"/>
          <w:sz w:val="22"/>
          <w:szCs w:val="22"/>
        </w:rPr>
        <w:t xml:space="preserve"> </w:t>
      </w:r>
      <w:r w:rsidR="00BE3BD4" w:rsidRPr="00F63E83">
        <w:rPr>
          <w:rFonts w:ascii="Arial" w:hAnsi="Arial" w:cs="Arial"/>
          <w:b w:val="0"/>
          <w:sz w:val="22"/>
          <w:szCs w:val="22"/>
        </w:rPr>
        <w:t xml:space="preserve">yüzde </w:t>
      </w:r>
      <w:r w:rsidRPr="00F63E83">
        <w:rPr>
          <w:rFonts w:ascii="Arial" w:hAnsi="Arial" w:cs="Arial"/>
          <w:b w:val="0"/>
          <w:sz w:val="22"/>
          <w:szCs w:val="22"/>
        </w:rPr>
        <w:t>4</w:t>
      </w:r>
      <w:r w:rsidR="00BF0D5E" w:rsidRPr="00F63E83">
        <w:rPr>
          <w:rFonts w:ascii="Arial" w:hAnsi="Arial" w:cs="Arial"/>
          <w:b w:val="0"/>
          <w:sz w:val="22"/>
          <w:szCs w:val="22"/>
        </w:rPr>
        <w:t xml:space="preserve"> </w:t>
      </w:r>
      <w:r w:rsidRPr="00F63E83">
        <w:rPr>
          <w:rFonts w:ascii="Arial" w:hAnsi="Arial" w:cs="Arial"/>
          <w:b w:val="0"/>
          <w:sz w:val="22"/>
          <w:szCs w:val="22"/>
        </w:rPr>
        <w:t>ile sınırlı kalmış ve</w:t>
      </w:r>
      <w:r w:rsidR="00BF0D5E" w:rsidRPr="00F63E83">
        <w:rPr>
          <w:rFonts w:ascii="Arial" w:hAnsi="Arial" w:cs="Arial"/>
          <w:b w:val="0"/>
          <w:sz w:val="22"/>
          <w:szCs w:val="22"/>
        </w:rPr>
        <w:t xml:space="preserve"> </w:t>
      </w:r>
      <w:r w:rsidR="00140748" w:rsidRPr="00F63E83">
        <w:rPr>
          <w:rFonts w:ascii="Arial" w:hAnsi="Arial" w:cs="Arial"/>
          <w:b w:val="0"/>
          <w:sz w:val="22"/>
          <w:szCs w:val="22"/>
        </w:rPr>
        <w:t>8</w:t>
      </w:r>
      <w:r w:rsidR="003E1EAF" w:rsidRPr="00F63E83">
        <w:rPr>
          <w:rFonts w:ascii="Arial" w:hAnsi="Arial" w:cs="Arial"/>
          <w:b w:val="0"/>
          <w:sz w:val="22"/>
          <w:szCs w:val="22"/>
        </w:rPr>
        <w:t>,</w:t>
      </w:r>
      <w:r w:rsidR="00140748" w:rsidRPr="00F63E83">
        <w:rPr>
          <w:rFonts w:ascii="Arial" w:hAnsi="Arial" w:cs="Arial"/>
          <w:b w:val="0"/>
          <w:sz w:val="22"/>
          <w:szCs w:val="22"/>
        </w:rPr>
        <w:t>6</w:t>
      </w:r>
      <w:r w:rsidR="00BE3BD4" w:rsidRPr="00F63E83">
        <w:rPr>
          <w:rFonts w:ascii="Arial" w:hAnsi="Arial" w:cs="Arial"/>
          <w:b w:val="0"/>
          <w:sz w:val="22"/>
          <w:szCs w:val="22"/>
        </w:rPr>
        <w:t xml:space="preserve"> milyar TL</w:t>
      </w:r>
      <w:r w:rsidR="00BF0D5E" w:rsidRPr="00F63E83">
        <w:rPr>
          <w:rFonts w:ascii="Arial" w:hAnsi="Arial" w:cs="Arial"/>
          <w:b w:val="0"/>
          <w:sz w:val="22"/>
          <w:szCs w:val="22"/>
        </w:rPr>
        <w:t xml:space="preserve"> olmuştur. </w:t>
      </w:r>
      <w:r w:rsidR="007E3DD4" w:rsidRPr="00F63E83">
        <w:rPr>
          <w:rFonts w:ascii="Arial" w:hAnsi="Arial" w:cs="Arial"/>
          <w:b w:val="0"/>
          <w:sz w:val="22"/>
          <w:szCs w:val="22"/>
        </w:rPr>
        <w:t>Mart</w:t>
      </w:r>
      <w:r w:rsidR="00C042AF" w:rsidRPr="00F63E83">
        <w:rPr>
          <w:rFonts w:ascii="Arial" w:hAnsi="Arial" w:cs="Arial"/>
          <w:b w:val="0"/>
          <w:sz w:val="22"/>
          <w:szCs w:val="22"/>
        </w:rPr>
        <w:t xml:space="preserve"> 201</w:t>
      </w:r>
      <w:r w:rsidR="007E3DD4" w:rsidRPr="00F63E83">
        <w:rPr>
          <w:rFonts w:ascii="Arial" w:hAnsi="Arial" w:cs="Arial"/>
          <w:b w:val="0"/>
          <w:sz w:val="22"/>
          <w:szCs w:val="22"/>
        </w:rPr>
        <w:t>2</w:t>
      </w:r>
      <w:r w:rsidR="00C042AF" w:rsidRPr="00F63E83">
        <w:rPr>
          <w:rFonts w:ascii="Arial" w:hAnsi="Arial" w:cs="Arial"/>
          <w:b w:val="0"/>
          <w:sz w:val="22"/>
          <w:szCs w:val="22"/>
        </w:rPr>
        <w:t>’de</w:t>
      </w:r>
      <w:r w:rsidR="002D67D5" w:rsidRPr="00F63E83">
        <w:rPr>
          <w:rFonts w:ascii="Arial" w:hAnsi="Arial" w:cs="Arial"/>
          <w:b w:val="0"/>
          <w:sz w:val="22"/>
          <w:szCs w:val="22"/>
        </w:rPr>
        <w:t xml:space="preserve"> yüzde </w:t>
      </w:r>
      <w:r w:rsidR="00A25469" w:rsidRPr="00F63E83">
        <w:rPr>
          <w:rFonts w:ascii="Arial" w:hAnsi="Arial" w:cs="Arial"/>
          <w:b w:val="0"/>
          <w:sz w:val="22"/>
          <w:szCs w:val="22"/>
        </w:rPr>
        <w:t>1</w:t>
      </w:r>
      <w:r w:rsidR="007E3DD4" w:rsidRPr="00F63E83">
        <w:rPr>
          <w:rFonts w:ascii="Arial" w:hAnsi="Arial" w:cs="Arial"/>
          <w:b w:val="0"/>
          <w:sz w:val="22"/>
          <w:szCs w:val="22"/>
        </w:rPr>
        <w:t>4</w:t>
      </w:r>
      <w:r w:rsidR="003E1EAF" w:rsidRPr="00F63E83">
        <w:rPr>
          <w:rFonts w:ascii="Arial" w:hAnsi="Arial" w:cs="Arial"/>
          <w:b w:val="0"/>
          <w:sz w:val="22"/>
          <w:szCs w:val="22"/>
        </w:rPr>
        <w:t>,</w:t>
      </w:r>
      <w:r w:rsidR="007E3DD4" w:rsidRPr="00F63E83">
        <w:rPr>
          <w:rFonts w:ascii="Arial" w:hAnsi="Arial" w:cs="Arial"/>
          <w:b w:val="0"/>
          <w:sz w:val="22"/>
          <w:szCs w:val="22"/>
        </w:rPr>
        <w:t>7</w:t>
      </w:r>
      <w:r w:rsidR="006519C2" w:rsidRPr="00F63E83">
        <w:rPr>
          <w:rFonts w:ascii="Arial" w:hAnsi="Arial" w:cs="Arial"/>
          <w:b w:val="0"/>
          <w:sz w:val="22"/>
          <w:szCs w:val="22"/>
        </w:rPr>
        <w:t xml:space="preserve"> </w:t>
      </w:r>
      <w:r w:rsidR="002D67D5" w:rsidRPr="00F63E83">
        <w:rPr>
          <w:rFonts w:ascii="Arial" w:hAnsi="Arial" w:cs="Arial"/>
          <w:b w:val="0"/>
          <w:sz w:val="22"/>
          <w:szCs w:val="22"/>
        </w:rPr>
        <w:t xml:space="preserve">olan yıllık bazda özkaynak karlılığı, </w:t>
      </w:r>
      <w:r w:rsidR="007E3DD4" w:rsidRPr="00F63E83">
        <w:rPr>
          <w:rFonts w:ascii="Arial" w:hAnsi="Arial" w:cs="Arial"/>
          <w:b w:val="0"/>
          <w:sz w:val="22"/>
          <w:szCs w:val="22"/>
        </w:rPr>
        <w:t>Haziran</w:t>
      </w:r>
      <w:r w:rsidR="00B15CA2" w:rsidRPr="00F63E83">
        <w:rPr>
          <w:rFonts w:ascii="Arial" w:hAnsi="Arial" w:cs="Arial"/>
          <w:b w:val="0"/>
          <w:sz w:val="22"/>
          <w:szCs w:val="22"/>
        </w:rPr>
        <w:t xml:space="preserve"> </w:t>
      </w:r>
      <w:r w:rsidR="00C042AF" w:rsidRPr="00F63E83">
        <w:rPr>
          <w:rFonts w:ascii="Arial" w:hAnsi="Arial" w:cs="Arial"/>
          <w:b w:val="0"/>
          <w:sz w:val="22"/>
          <w:szCs w:val="22"/>
        </w:rPr>
        <w:t>2012</w:t>
      </w:r>
      <w:r w:rsidR="003E1EAF" w:rsidRPr="00F63E83">
        <w:rPr>
          <w:rFonts w:ascii="Arial" w:hAnsi="Arial" w:cs="Arial"/>
          <w:b w:val="0"/>
          <w:sz w:val="22"/>
          <w:szCs w:val="22"/>
        </w:rPr>
        <w:t>’de</w:t>
      </w:r>
      <w:r w:rsidR="007E3DD4" w:rsidRPr="00F63E83">
        <w:rPr>
          <w:rFonts w:ascii="Arial" w:hAnsi="Arial" w:cs="Arial"/>
          <w:b w:val="0"/>
          <w:sz w:val="22"/>
          <w:szCs w:val="22"/>
        </w:rPr>
        <w:t xml:space="preserve"> özkaynakların net dönem karından daha hızlı artmasından dolayı</w:t>
      </w:r>
      <w:r w:rsidR="00F40DE4" w:rsidRPr="00F63E83">
        <w:rPr>
          <w:rFonts w:ascii="Arial" w:hAnsi="Arial" w:cs="Arial"/>
          <w:b w:val="0"/>
          <w:sz w:val="22"/>
          <w:szCs w:val="22"/>
        </w:rPr>
        <w:t xml:space="preserve"> yüzde 1</w:t>
      </w:r>
      <w:r w:rsidR="00C042AF" w:rsidRPr="00F63E83">
        <w:rPr>
          <w:rFonts w:ascii="Arial" w:hAnsi="Arial" w:cs="Arial"/>
          <w:b w:val="0"/>
          <w:sz w:val="22"/>
          <w:szCs w:val="22"/>
        </w:rPr>
        <w:t>4</w:t>
      </w:r>
      <w:r w:rsidR="006519C2" w:rsidRPr="00F63E83">
        <w:rPr>
          <w:rFonts w:ascii="Arial" w:hAnsi="Arial" w:cs="Arial"/>
          <w:b w:val="0"/>
          <w:sz w:val="22"/>
          <w:szCs w:val="22"/>
        </w:rPr>
        <w:t>,</w:t>
      </w:r>
      <w:r w:rsidR="007E3DD4" w:rsidRPr="00F63E83">
        <w:rPr>
          <w:rFonts w:ascii="Arial" w:hAnsi="Arial" w:cs="Arial"/>
          <w:b w:val="0"/>
          <w:sz w:val="22"/>
          <w:szCs w:val="22"/>
        </w:rPr>
        <w:t>3</w:t>
      </w:r>
      <w:r w:rsidR="003E1EAF" w:rsidRPr="00F63E83">
        <w:rPr>
          <w:rFonts w:ascii="Arial" w:hAnsi="Arial" w:cs="Arial"/>
          <w:b w:val="0"/>
          <w:sz w:val="22"/>
          <w:szCs w:val="22"/>
        </w:rPr>
        <w:t>’</w:t>
      </w:r>
      <w:r w:rsidR="00B15CA2" w:rsidRPr="00F63E83">
        <w:rPr>
          <w:rFonts w:ascii="Arial" w:hAnsi="Arial" w:cs="Arial"/>
          <w:b w:val="0"/>
          <w:sz w:val="22"/>
          <w:szCs w:val="22"/>
        </w:rPr>
        <w:t xml:space="preserve">e </w:t>
      </w:r>
      <w:r w:rsidR="0040598A" w:rsidRPr="00F63E83">
        <w:rPr>
          <w:rFonts w:ascii="Arial" w:hAnsi="Arial" w:cs="Arial"/>
          <w:b w:val="0"/>
          <w:sz w:val="22"/>
          <w:szCs w:val="22"/>
        </w:rPr>
        <w:t>gerilemiştir</w:t>
      </w:r>
      <w:r w:rsidR="002D67D5" w:rsidRPr="00F63E83">
        <w:rPr>
          <w:rFonts w:ascii="Arial" w:hAnsi="Arial" w:cs="Arial"/>
          <w:b w:val="0"/>
          <w:sz w:val="22"/>
          <w:szCs w:val="22"/>
        </w:rPr>
        <w:t>.</w:t>
      </w:r>
    </w:p>
    <w:p w:rsidR="005E3060" w:rsidRPr="00F63E83" w:rsidRDefault="005E3060" w:rsidP="00544DFA">
      <w:pPr>
        <w:pStyle w:val="Subtitle"/>
        <w:rPr>
          <w:rFonts w:ascii="Arial" w:hAnsi="Arial" w:cs="Arial"/>
          <w:b w:val="0"/>
          <w:sz w:val="22"/>
          <w:szCs w:val="22"/>
        </w:rPr>
      </w:pPr>
    </w:p>
    <w:p w:rsidR="00544DFA" w:rsidRPr="00F63E83" w:rsidRDefault="00D34B4A" w:rsidP="00544DFA">
      <w:pPr>
        <w:pStyle w:val="Subtitle"/>
        <w:rPr>
          <w:rFonts w:ascii="Arial" w:hAnsi="Arial" w:cs="Arial"/>
          <w:szCs w:val="24"/>
        </w:rPr>
      </w:pPr>
      <w:r w:rsidRPr="00F63E83">
        <w:rPr>
          <w:rFonts w:ascii="Arial" w:hAnsi="Arial" w:cs="Arial"/>
          <w:szCs w:val="24"/>
        </w:rPr>
        <w:t>3</w:t>
      </w:r>
      <w:r w:rsidR="00544DFA" w:rsidRPr="00F63E83">
        <w:rPr>
          <w:rFonts w:ascii="Arial" w:hAnsi="Arial" w:cs="Arial"/>
          <w:szCs w:val="24"/>
        </w:rPr>
        <w:t>. İMKB’de İşlem Gören Mevduat Bankalarının İMKB İçindeki Yeri</w:t>
      </w:r>
    </w:p>
    <w:p w:rsidR="00544DFA" w:rsidRPr="00F63E83" w:rsidRDefault="00544DFA" w:rsidP="00544DFA">
      <w:pPr>
        <w:jc w:val="both"/>
        <w:rPr>
          <w:rFonts w:ascii="Arial" w:hAnsi="Arial" w:cs="Arial"/>
          <w:b/>
          <w:sz w:val="22"/>
          <w:szCs w:val="22"/>
        </w:rPr>
      </w:pPr>
    </w:p>
    <w:p w:rsidR="004723E4" w:rsidRPr="00F63E83" w:rsidRDefault="004723E4" w:rsidP="004723E4">
      <w:pPr>
        <w:pStyle w:val="BodyText"/>
        <w:rPr>
          <w:rFonts w:ascii="Arial" w:hAnsi="Arial" w:cs="Arial"/>
          <w:sz w:val="22"/>
          <w:szCs w:val="22"/>
        </w:rPr>
      </w:pPr>
      <w:r w:rsidRPr="00F63E83">
        <w:rPr>
          <w:rFonts w:ascii="Arial" w:hAnsi="Arial" w:cs="Arial"/>
          <w:sz w:val="22"/>
          <w:szCs w:val="22"/>
        </w:rPr>
        <w:t xml:space="preserve">İMKB’de işlem gören hisse senetlerinin toplam piyasa değeri, </w:t>
      </w:r>
      <w:r w:rsidR="000705E5" w:rsidRPr="00F63E83">
        <w:rPr>
          <w:rFonts w:ascii="Arial" w:hAnsi="Arial" w:cs="Arial"/>
          <w:sz w:val="22"/>
          <w:szCs w:val="22"/>
        </w:rPr>
        <w:t>Haziran</w:t>
      </w:r>
      <w:r w:rsidR="00AB6F65" w:rsidRPr="00F63E83">
        <w:rPr>
          <w:rFonts w:ascii="Arial" w:hAnsi="Arial" w:cs="Arial"/>
          <w:sz w:val="22"/>
          <w:szCs w:val="22"/>
        </w:rPr>
        <w:t xml:space="preserve"> 2012</w:t>
      </w:r>
      <w:r w:rsidR="00CA550F" w:rsidRPr="00F63E83">
        <w:rPr>
          <w:rFonts w:ascii="Arial" w:hAnsi="Arial" w:cs="Arial"/>
          <w:sz w:val="22"/>
          <w:szCs w:val="22"/>
        </w:rPr>
        <w:t xml:space="preserve"> itibariyle </w:t>
      </w:r>
      <w:r w:rsidR="00AB6F65" w:rsidRPr="00F63E83">
        <w:rPr>
          <w:rFonts w:ascii="Arial" w:hAnsi="Arial" w:cs="Arial"/>
          <w:sz w:val="22"/>
          <w:szCs w:val="22"/>
        </w:rPr>
        <w:t>4</w:t>
      </w:r>
      <w:r w:rsidR="000705E5" w:rsidRPr="00F63E83">
        <w:rPr>
          <w:rFonts w:ascii="Arial" w:hAnsi="Arial" w:cs="Arial"/>
          <w:sz w:val="22"/>
          <w:szCs w:val="22"/>
        </w:rPr>
        <w:t>61</w:t>
      </w:r>
      <w:r w:rsidRPr="00F63E83">
        <w:rPr>
          <w:rFonts w:ascii="Arial" w:hAnsi="Arial" w:cs="Arial"/>
          <w:sz w:val="22"/>
          <w:szCs w:val="22"/>
        </w:rPr>
        <w:t xml:space="preserve"> milyar TL olarak gerçekleşmiştir. İMKB’de işlem gören </w:t>
      </w:r>
      <w:r w:rsidR="00F126EF" w:rsidRPr="00F63E83">
        <w:rPr>
          <w:rFonts w:ascii="Arial" w:hAnsi="Arial" w:cs="Arial"/>
          <w:sz w:val="22"/>
          <w:szCs w:val="22"/>
        </w:rPr>
        <w:t>finansal</w:t>
      </w:r>
      <w:r w:rsidRPr="00F63E83">
        <w:rPr>
          <w:rFonts w:ascii="Arial" w:hAnsi="Arial" w:cs="Arial"/>
          <w:sz w:val="22"/>
          <w:szCs w:val="22"/>
        </w:rPr>
        <w:t xml:space="preserve"> </w:t>
      </w:r>
      <w:r w:rsidR="00F126EF" w:rsidRPr="00F63E83">
        <w:rPr>
          <w:rFonts w:ascii="Arial" w:hAnsi="Arial" w:cs="Arial"/>
          <w:sz w:val="22"/>
          <w:szCs w:val="22"/>
        </w:rPr>
        <w:t>kurumların</w:t>
      </w:r>
      <w:r w:rsidRPr="00F63E83">
        <w:rPr>
          <w:rFonts w:ascii="Arial" w:hAnsi="Arial" w:cs="Arial"/>
          <w:sz w:val="22"/>
          <w:szCs w:val="22"/>
        </w:rPr>
        <w:t xml:space="preserve"> piyasa değeri ise </w:t>
      </w:r>
      <w:r w:rsidR="00D761E4" w:rsidRPr="00F63E83">
        <w:rPr>
          <w:rFonts w:ascii="Arial" w:hAnsi="Arial" w:cs="Arial"/>
          <w:sz w:val="22"/>
          <w:szCs w:val="22"/>
        </w:rPr>
        <w:t>14</w:t>
      </w:r>
      <w:r w:rsidR="000705E5" w:rsidRPr="00F63E83">
        <w:rPr>
          <w:rFonts w:ascii="Arial" w:hAnsi="Arial" w:cs="Arial"/>
          <w:sz w:val="22"/>
          <w:szCs w:val="22"/>
        </w:rPr>
        <w:t>6</w:t>
      </w:r>
      <w:r w:rsidRPr="00F63E83">
        <w:rPr>
          <w:rFonts w:ascii="Arial" w:hAnsi="Arial" w:cs="Arial"/>
          <w:sz w:val="22"/>
          <w:szCs w:val="22"/>
        </w:rPr>
        <w:t xml:space="preserve"> milyar TL ile</w:t>
      </w:r>
      <w:r w:rsidR="00B742C3" w:rsidRPr="00F63E83">
        <w:rPr>
          <w:rFonts w:ascii="Arial" w:hAnsi="Arial" w:cs="Arial"/>
          <w:sz w:val="22"/>
          <w:szCs w:val="22"/>
        </w:rPr>
        <w:t xml:space="preserve"> </w:t>
      </w:r>
      <w:r w:rsidR="00D761E4" w:rsidRPr="00F63E83">
        <w:rPr>
          <w:rFonts w:ascii="Arial" w:hAnsi="Arial" w:cs="Arial"/>
          <w:sz w:val="22"/>
          <w:szCs w:val="22"/>
        </w:rPr>
        <w:t>toplam piyasa değerinin yüzde 3</w:t>
      </w:r>
      <w:r w:rsidR="000705E5" w:rsidRPr="00F63E83">
        <w:rPr>
          <w:rFonts w:ascii="Arial" w:hAnsi="Arial" w:cs="Arial"/>
          <w:sz w:val="22"/>
          <w:szCs w:val="22"/>
        </w:rPr>
        <w:t>2</w:t>
      </w:r>
      <w:r w:rsidR="008D4C84" w:rsidRPr="00F63E83">
        <w:rPr>
          <w:rFonts w:ascii="Arial" w:hAnsi="Arial" w:cs="Arial"/>
          <w:sz w:val="22"/>
          <w:szCs w:val="22"/>
        </w:rPr>
        <w:t>’</w:t>
      </w:r>
      <w:r w:rsidR="000705E5" w:rsidRPr="00F63E83">
        <w:rPr>
          <w:rFonts w:ascii="Arial" w:hAnsi="Arial" w:cs="Arial"/>
          <w:sz w:val="22"/>
          <w:szCs w:val="22"/>
        </w:rPr>
        <w:t>sini</w:t>
      </w:r>
      <w:r w:rsidRPr="00F63E83">
        <w:rPr>
          <w:rFonts w:ascii="Arial" w:hAnsi="Arial" w:cs="Arial"/>
          <w:sz w:val="22"/>
          <w:szCs w:val="22"/>
        </w:rPr>
        <w:t xml:space="preserve"> oluşturmuştur.</w:t>
      </w:r>
    </w:p>
    <w:bookmarkEnd w:id="1"/>
    <w:bookmarkEnd w:id="2"/>
    <w:p w:rsidR="00BF0D5E" w:rsidRPr="00F63E83" w:rsidRDefault="00BF0D5E" w:rsidP="00544DFA">
      <w:pPr>
        <w:pStyle w:val="BodyText"/>
        <w:rPr>
          <w:rFonts w:ascii="Arial" w:hAnsi="Arial" w:cs="Arial"/>
          <w:sz w:val="22"/>
          <w:szCs w:val="22"/>
        </w:rPr>
      </w:pPr>
    </w:p>
    <w:sectPr w:rsidR="00BF0D5E" w:rsidRPr="00F63E83" w:rsidSect="00D416CA">
      <w:headerReference w:type="default" r:id="rId13"/>
      <w:footerReference w:type="even" r:id="rId14"/>
      <w:footerReference w:type="default" r:id="rId15"/>
      <w:headerReference w:type="first" r:id="rId16"/>
      <w:footerReference w:type="first" r:id="rId17"/>
      <w:pgSz w:w="11909" w:h="16834" w:code="9"/>
      <w:pgMar w:top="2381" w:right="2268" w:bottom="1440" w:left="1814" w:header="1151" w:footer="431" w:gutter="0"/>
      <w:pgNumType w:fmt="lowerRoman"/>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DC3" w:rsidRDefault="00E47DC3">
      <w:r>
        <w:separator/>
      </w:r>
    </w:p>
  </w:endnote>
  <w:endnote w:type="continuationSeparator" w:id="0">
    <w:p w:rsidR="00E47DC3" w:rsidRDefault="00E47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174" w:rsidRDefault="00D671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67174" w:rsidRDefault="00D6717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174" w:rsidRPr="00844875" w:rsidRDefault="00D67174" w:rsidP="00D416CA">
    <w:pPr>
      <w:pStyle w:val="Footer"/>
      <w:tabs>
        <w:tab w:val="clear" w:pos="4153"/>
        <w:tab w:val="clear" w:pos="8306"/>
        <w:tab w:val="right" w:pos="7654"/>
      </w:tabs>
      <w:rPr>
        <w:rFonts w:ascii="Arial" w:hAnsi="Arial" w:cs="Arial"/>
        <w:sz w:val="18"/>
        <w:szCs w:val="18"/>
      </w:rPr>
    </w:pPr>
    <w:r w:rsidRPr="001A244F">
      <w:rPr>
        <w:rFonts w:ascii="Arial" w:hAnsi="Arial" w:cs="Arial"/>
        <w:sz w:val="18"/>
      </w:rPr>
      <w:t>TBB/İstatistiki Raporlar/İMKB’de İşlem</w:t>
    </w:r>
    <w:r w:rsidR="007E3DD4">
      <w:rPr>
        <w:rFonts w:ascii="Arial" w:hAnsi="Arial" w:cs="Arial"/>
        <w:sz w:val="18"/>
      </w:rPr>
      <w:t xml:space="preserve"> Gören Mevduat Bankaları/Haziran</w:t>
    </w:r>
    <w:r>
      <w:rPr>
        <w:rFonts w:ascii="Arial" w:hAnsi="Arial" w:cs="Arial"/>
        <w:sz w:val="18"/>
      </w:rPr>
      <w:t xml:space="preserve"> 2012</w:t>
    </w:r>
    <w:r>
      <w:rPr>
        <w:sz w:val="18"/>
      </w:rPr>
      <w:tab/>
    </w:r>
    <w:r w:rsidRPr="00844875">
      <w:rPr>
        <w:rFonts w:ascii="Arial" w:hAnsi="Arial" w:cs="Arial"/>
        <w:sz w:val="18"/>
        <w:szCs w:val="18"/>
      </w:rPr>
      <w:fldChar w:fldCharType="begin"/>
    </w:r>
    <w:r w:rsidRPr="00844875">
      <w:rPr>
        <w:rFonts w:ascii="Arial" w:hAnsi="Arial" w:cs="Arial"/>
        <w:sz w:val="18"/>
        <w:szCs w:val="18"/>
      </w:rPr>
      <w:instrText xml:space="preserve"> PAGE  \* MERGEFORMAT </w:instrText>
    </w:r>
    <w:r w:rsidRPr="00844875">
      <w:rPr>
        <w:rFonts w:ascii="Arial" w:hAnsi="Arial" w:cs="Arial"/>
        <w:sz w:val="18"/>
        <w:szCs w:val="18"/>
      </w:rPr>
      <w:fldChar w:fldCharType="separate"/>
    </w:r>
    <w:r w:rsidR="006C6EE4">
      <w:rPr>
        <w:rFonts w:ascii="Arial" w:hAnsi="Arial" w:cs="Arial"/>
        <w:noProof/>
        <w:sz w:val="18"/>
        <w:szCs w:val="18"/>
      </w:rPr>
      <w:t>iii</w:t>
    </w:r>
    <w:r w:rsidRPr="00844875">
      <w:rP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174" w:rsidRDefault="00D67174">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DC3" w:rsidRDefault="00E47DC3">
      <w:r>
        <w:separator/>
      </w:r>
    </w:p>
  </w:footnote>
  <w:footnote w:type="continuationSeparator" w:id="0">
    <w:p w:rsidR="00E47DC3" w:rsidRDefault="00E47DC3">
      <w:r>
        <w:continuationSeparator/>
      </w:r>
    </w:p>
  </w:footnote>
  <w:footnote w:id="1">
    <w:p w:rsidR="00D67174" w:rsidRPr="003F0F3C" w:rsidRDefault="00D67174" w:rsidP="00075F33">
      <w:pPr>
        <w:pStyle w:val="FootnoteText"/>
        <w:jc w:val="both"/>
        <w:rPr>
          <w:rFonts w:ascii="Arial" w:hAnsi="Arial" w:cs="Arial"/>
          <w:sz w:val="18"/>
          <w:szCs w:val="18"/>
        </w:rPr>
      </w:pPr>
      <w:r w:rsidRPr="003F0F3C">
        <w:rPr>
          <w:rStyle w:val="FootnoteReference"/>
          <w:rFonts w:ascii="Arial" w:hAnsi="Arial" w:cs="Arial"/>
          <w:sz w:val="18"/>
          <w:szCs w:val="18"/>
        </w:rPr>
        <w:footnoteRef/>
      </w:r>
      <w:r w:rsidRPr="003F0F3C">
        <w:rPr>
          <w:rFonts w:ascii="Arial" w:hAnsi="Arial" w:cs="Arial"/>
          <w:sz w:val="18"/>
          <w:szCs w:val="18"/>
        </w:rPr>
        <w:t xml:space="preserve"> Akbank T.A.Ş., Alternatifbank A.Ş., Denizbank A.Ş., Finans Bank A.Ş., Şekerbank T.A.Ş., Tekstil Bankası A.Ş., Türk Ekonomi Bankası A.Ş., Türkiye Halk Bankası, Türkiye Garanti Bankası A.Ş., Türkiye İş Bankası A.Ş., Türkiye Vakıflar Bankası T.A.O. ve Yapı ve Kredi Bankası A.Ş.’yi kapsamaktadır.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174" w:rsidRDefault="00D67174">
    <w:pPr>
      <w:pStyle w:val="Header"/>
    </w:pPr>
    <w:r>
      <w:rPr>
        <w:noProof/>
        <w:lang w:eastAsia="tr-TR"/>
      </w:rPr>
      <w:drawing>
        <wp:anchor distT="0" distB="0" distL="114300" distR="114300" simplePos="0" relativeHeight="251657216" behindDoc="0" locked="0" layoutInCell="1" allowOverlap="1" wp14:anchorId="6BEC361E" wp14:editId="0053EFA7">
          <wp:simplePos x="0" y="0"/>
          <wp:positionH relativeFrom="page">
            <wp:posOffset>6364605</wp:posOffset>
          </wp:positionH>
          <wp:positionV relativeFrom="page">
            <wp:posOffset>302260</wp:posOffset>
          </wp:positionV>
          <wp:extent cx="913130" cy="929005"/>
          <wp:effectExtent l="0" t="0" r="1270" b="4445"/>
          <wp:wrapSquare wrapText="bothSides"/>
          <wp:docPr id="1" name="Picture 1"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174" w:rsidRDefault="00D67174">
    <w:pPr>
      <w:pStyle w:val="Header"/>
    </w:pPr>
    <w:r>
      <w:rPr>
        <w:noProof/>
        <w:lang w:eastAsia="tr-TR"/>
      </w:rPr>
      <w:drawing>
        <wp:anchor distT="0" distB="0" distL="114300" distR="114300" simplePos="0" relativeHeight="251658240" behindDoc="0" locked="0" layoutInCell="1" allowOverlap="1" wp14:anchorId="5FE50067" wp14:editId="23A05E1F">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914D8"/>
    <w:multiLevelType w:val="hybridMultilevel"/>
    <w:tmpl w:val="177C6CD4"/>
    <w:lvl w:ilvl="0" w:tplc="7C88EE0C">
      <w:start w:val="1"/>
      <w:numFmt w:val="lowerLetter"/>
      <w:lvlText w:val="%1-"/>
      <w:lvlJc w:val="left"/>
      <w:pPr>
        <w:tabs>
          <w:tab w:val="num" w:pos="720"/>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7F400CD2"/>
    <w:multiLevelType w:val="singleLevel"/>
    <w:tmpl w:val="0C090015"/>
    <w:lvl w:ilvl="0">
      <w:start w:val="1"/>
      <w:numFmt w:val="upperLetter"/>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CFD"/>
    <w:rsid w:val="0000316F"/>
    <w:rsid w:val="000048EE"/>
    <w:rsid w:val="00005663"/>
    <w:rsid w:val="00007C73"/>
    <w:rsid w:val="00015229"/>
    <w:rsid w:val="000160AA"/>
    <w:rsid w:val="00017575"/>
    <w:rsid w:val="00017BEA"/>
    <w:rsid w:val="00023A2D"/>
    <w:rsid w:val="00024E29"/>
    <w:rsid w:val="00027542"/>
    <w:rsid w:val="0003146D"/>
    <w:rsid w:val="000337BE"/>
    <w:rsid w:val="000344BC"/>
    <w:rsid w:val="0004336A"/>
    <w:rsid w:val="000574D1"/>
    <w:rsid w:val="00063F82"/>
    <w:rsid w:val="000640D8"/>
    <w:rsid w:val="000705E5"/>
    <w:rsid w:val="00072EDD"/>
    <w:rsid w:val="00073A4F"/>
    <w:rsid w:val="000743BF"/>
    <w:rsid w:val="000753A7"/>
    <w:rsid w:val="00075F33"/>
    <w:rsid w:val="000763B6"/>
    <w:rsid w:val="0007772D"/>
    <w:rsid w:val="00081D6C"/>
    <w:rsid w:val="00090CBF"/>
    <w:rsid w:val="00097808"/>
    <w:rsid w:val="000A2B7A"/>
    <w:rsid w:val="000A7B3A"/>
    <w:rsid w:val="000B2996"/>
    <w:rsid w:val="000B3C9F"/>
    <w:rsid w:val="000B457C"/>
    <w:rsid w:val="000C48B2"/>
    <w:rsid w:val="000C58D6"/>
    <w:rsid w:val="000C5A0D"/>
    <w:rsid w:val="000C6659"/>
    <w:rsid w:val="000C77B2"/>
    <w:rsid w:val="000D45AA"/>
    <w:rsid w:val="000D52E7"/>
    <w:rsid w:val="000D69CF"/>
    <w:rsid w:val="000E1FA2"/>
    <w:rsid w:val="000E31B4"/>
    <w:rsid w:val="000E425B"/>
    <w:rsid w:val="000E43C9"/>
    <w:rsid w:val="000E459B"/>
    <w:rsid w:val="000E579E"/>
    <w:rsid w:val="000E7B3E"/>
    <w:rsid w:val="000F0B1A"/>
    <w:rsid w:val="000F4A30"/>
    <w:rsid w:val="001010F3"/>
    <w:rsid w:val="00101C9A"/>
    <w:rsid w:val="001068D7"/>
    <w:rsid w:val="00107091"/>
    <w:rsid w:val="00107DCC"/>
    <w:rsid w:val="00110161"/>
    <w:rsid w:val="0011151D"/>
    <w:rsid w:val="00114B6D"/>
    <w:rsid w:val="00115805"/>
    <w:rsid w:val="00124FC3"/>
    <w:rsid w:val="001262FB"/>
    <w:rsid w:val="001275AA"/>
    <w:rsid w:val="00130CEF"/>
    <w:rsid w:val="00131033"/>
    <w:rsid w:val="00137C05"/>
    <w:rsid w:val="00140748"/>
    <w:rsid w:val="00140928"/>
    <w:rsid w:val="00142011"/>
    <w:rsid w:val="00144589"/>
    <w:rsid w:val="00146BE4"/>
    <w:rsid w:val="001515D7"/>
    <w:rsid w:val="0015577B"/>
    <w:rsid w:val="00161692"/>
    <w:rsid w:val="00161A30"/>
    <w:rsid w:val="00163489"/>
    <w:rsid w:val="00167BF5"/>
    <w:rsid w:val="00170249"/>
    <w:rsid w:val="00171AFF"/>
    <w:rsid w:val="001764FA"/>
    <w:rsid w:val="00182B7E"/>
    <w:rsid w:val="0019190C"/>
    <w:rsid w:val="00193AE4"/>
    <w:rsid w:val="001953FE"/>
    <w:rsid w:val="001977CB"/>
    <w:rsid w:val="001A1722"/>
    <w:rsid w:val="001A2807"/>
    <w:rsid w:val="001A480C"/>
    <w:rsid w:val="001A566B"/>
    <w:rsid w:val="001B6DFA"/>
    <w:rsid w:val="001B7094"/>
    <w:rsid w:val="001C1071"/>
    <w:rsid w:val="001C2060"/>
    <w:rsid w:val="001C4C1E"/>
    <w:rsid w:val="001C6FB7"/>
    <w:rsid w:val="001C736E"/>
    <w:rsid w:val="001D000A"/>
    <w:rsid w:val="001D314E"/>
    <w:rsid w:val="001D3843"/>
    <w:rsid w:val="001D4937"/>
    <w:rsid w:val="001D540E"/>
    <w:rsid w:val="001D7456"/>
    <w:rsid w:val="001E1B4B"/>
    <w:rsid w:val="001E4CF9"/>
    <w:rsid w:val="001E5DA7"/>
    <w:rsid w:val="001E6811"/>
    <w:rsid w:val="001F3908"/>
    <w:rsid w:val="001F7734"/>
    <w:rsid w:val="001F7FCE"/>
    <w:rsid w:val="002004E8"/>
    <w:rsid w:val="00201F8F"/>
    <w:rsid w:val="0020749D"/>
    <w:rsid w:val="0021271F"/>
    <w:rsid w:val="002159C0"/>
    <w:rsid w:val="00217C37"/>
    <w:rsid w:val="00220627"/>
    <w:rsid w:val="002248F2"/>
    <w:rsid w:val="00225B06"/>
    <w:rsid w:val="00225EB5"/>
    <w:rsid w:val="00227388"/>
    <w:rsid w:val="00234523"/>
    <w:rsid w:val="00234AAA"/>
    <w:rsid w:val="0024036D"/>
    <w:rsid w:val="00240E2F"/>
    <w:rsid w:val="00245CC4"/>
    <w:rsid w:val="00246E5F"/>
    <w:rsid w:val="00247827"/>
    <w:rsid w:val="00250E81"/>
    <w:rsid w:val="002621F6"/>
    <w:rsid w:val="002625DF"/>
    <w:rsid w:val="00267D7A"/>
    <w:rsid w:val="002702F1"/>
    <w:rsid w:val="00271995"/>
    <w:rsid w:val="00277452"/>
    <w:rsid w:val="002775E7"/>
    <w:rsid w:val="00280A9B"/>
    <w:rsid w:val="002830E0"/>
    <w:rsid w:val="002848B2"/>
    <w:rsid w:val="00287873"/>
    <w:rsid w:val="00290CE8"/>
    <w:rsid w:val="002929E9"/>
    <w:rsid w:val="002960D3"/>
    <w:rsid w:val="002A6334"/>
    <w:rsid w:val="002A7A15"/>
    <w:rsid w:val="002B4074"/>
    <w:rsid w:val="002B53F5"/>
    <w:rsid w:val="002B77EB"/>
    <w:rsid w:val="002C3493"/>
    <w:rsid w:val="002C4D8D"/>
    <w:rsid w:val="002C5CF5"/>
    <w:rsid w:val="002D369E"/>
    <w:rsid w:val="002D3D2B"/>
    <w:rsid w:val="002D4536"/>
    <w:rsid w:val="002D67D5"/>
    <w:rsid w:val="002E0926"/>
    <w:rsid w:val="002E17DE"/>
    <w:rsid w:val="002F0DE6"/>
    <w:rsid w:val="002F7D49"/>
    <w:rsid w:val="00301D46"/>
    <w:rsid w:val="00302CCE"/>
    <w:rsid w:val="0030479B"/>
    <w:rsid w:val="003075F6"/>
    <w:rsid w:val="00307B97"/>
    <w:rsid w:val="0031205E"/>
    <w:rsid w:val="00315135"/>
    <w:rsid w:val="00315335"/>
    <w:rsid w:val="00315958"/>
    <w:rsid w:val="00315AD0"/>
    <w:rsid w:val="00317443"/>
    <w:rsid w:val="00317FA3"/>
    <w:rsid w:val="00320222"/>
    <w:rsid w:val="00321866"/>
    <w:rsid w:val="00327D4B"/>
    <w:rsid w:val="00334EF7"/>
    <w:rsid w:val="0033616B"/>
    <w:rsid w:val="00337F0C"/>
    <w:rsid w:val="00342E54"/>
    <w:rsid w:val="00346032"/>
    <w:rsid w:val="0034670B"/>
    <w:rsid w:val="00350D30"/>
    <w:rsid w:val="00350F98"/>
    <w:rsid w:val="00352EFE"/>
    <w:rsid w:val="00360C27"/>
    <w:rsid w:val="00360E6D"/>
    <w:rsid w:val="00362F2D"/>
    <w:rsid w:val="003637A6"/>
    <w:rsid w:val="00363946"/>
    <w:rsid w:val="00373BB1"/>
    <w:rsid w:val="00374986"/>
    <w:rsid w:val="00376A74"/>
    <w:rsid w:val="00381E6B"/>
    <w:rsid w:val="00382FF2"/>
    <w:rsid w:val="00386F3C"/>
    <w:rsid w:val="0038766A"/>
    <w:rsid w:val="00395635"/>
    <w:rsid w:val="0039711C"/>
    <w:rsid w:val="00397652"/>
    <w:rsid w:val="003A0244"/>
    <w:rsid w:val="003A0730"/>
    <w:rsid w:val="003A4E37"/>
    <w:rsid w:val="003A6021"/>
    <w:rsid w:val="003B3D8F"/>
    <w:rsid w:val="003B4FEB"/>
    <w:rsid w:val="003B6F11"/>
    <w:rsid w:val="003B7153"/>
    <w:rsid w:val="003B72EF"/>
    <w:rsid w:val="003C2ACB"/>
    <w:rsid w:val="003C5895"/>
    <w:rsid w:val="003C7686"/>
    <w:rsid w:val="003D0039"/>
    <w:rsid w:val="003D1BA8"/>
    <w:rsid w:val="003D228A"/>
    <w:rsid w:val="003D26BC"/>
    <w:rsid w:val="003D609E"/>
    <w:rsid w:val="003D74DC"/>
    <w:rsid w:val="003E0518"/>
    <w:rsid w:val="003E1EAF"/>
    <w:rsid w:val="003E27BA"/>
    <w:rsid w:val="003E51E1"/>
    <w:rsid w:val="003E599F"/>
    <w:rsid w:val="003E680C"/>
    <w:rsid w:val="003E7674"/>
    <w:rsid w:val="003F0E68"/>
    <w:rsid w:val="003F0F3C"/>
    <w:rsid w:val="003F1484"/>
    <w:rsid w:val="003F7079"/>
    <w:rsid w:val="0040004D"/>
    <w:rsid w:val="0040598A"/>
    <w:rsid w:val="00406991"/>
    <w:rsid w:val="0041278D"/>
    <w:rsid w:val="004134BC"/>
    <w:rsid w:val="004273E6"/>
    <w:rsid w:val="00427CD6"/>
    <w:rsid w:val="0043294B"/>
    <w:rsid w:val="004354F1"/>
    <w:rsid w:val="00440BBF"/>
    <w:rsid w:val="004440D6"/>
    <w:rsid w:val="00445E33"/>
    <w:rsid w:val="00451471"/>
    <w:rsid w:val="00451750"/>
    <w:rsid w:val="00454D3F"/>
    <w:rsid w:val="00457F1E"/>
    <w:rsid w:val="00457F61"/>
    <w:rsid w:val="00460AAF"/>
    <w:rsid w:val="00462761"/>
    <w:rsid w:val="004635A9"/>
    <w:rsid w:val="00463FB0"/>
    <w:rsid w:val="00467373"/>
    <w:rsid w:val="004723E4"/>
    <w:rsid w:val="00472DE7"/>
    <w:rsid w:val="0047341C"/>
    <w:rsid w:val="00473832"/>
    <w:rsid w:val="0047445A"/>
    <w:rsid w:val="00484BB9"/>
    <w:rsid w:val="00487C88"/>
    <w:rsid w:val="00487FC8"/>
    <w:rsid w:val="00492E36"/>
    <w:rsid w:val="004A042C"/>
    <w:rsid w:val="004A1BBA"/>
    <w:rsid w:val="004B19F7"/>
    <w:rsid w:val="004B1E2A"/>
    <w:rsid w:val="004B3375"/>
    <w:rsid w:val="004B3FB7"/>
    <w:rsid w:val="004B4D0D"/>
    <w:rsid w:val="004B547B"/>
    <w:rsid w:val="004B6E31"/>
    <w:rsid w:val="004C374A"/>
    <w:rsid w:val="004C419B"/>
    <w:rsid w:val="004D17D7"/>
    <w:rsid w:val="004E0368"/>
    <w:rsid w:val="004E1FDB"/>
    <w:rsid w:val="004E3BB6"/>
    <w:rsid w:val="004F4F22"/>
    <w:rsid w:val="004F7254"/>
    <w:rsid w:val="00511F4E"/>
    <w:rsid w:val="00514D84"/>
    <w:rsid w:val="00531A2F"/>
    <w:rsid w:val="00531D86"/>
    <w:rsid w:val="00532BF8"/>
    <w:rsid w:val="005332F9"/>
    <w:rsid w:val="00536383"/>
    <w:rsid w:val="00542284"/>
    <w:rsid w:val="00543ABE"/>
    <w:rsid w:val="00543E90"/>
    <w:rsid w:val="00544DFA"/>
    <w:rsid w:val="0054720B"/>
    <w:rsid w:val="0055363E"/>
    <w:rsid w:val="0055481A"/>
    <w:rsid w:val="00555638"/>
    <w:rsid w:val="005561ED"/>
    <w:rsid w:val="005629AB"/>
    <w:rsid w:val="0056307D"/>
    <w:rsid w:val="005655E6"/>
    <w:rsid w:val="00565B0B"/>
    <w:rsid w:val="005670AF"/>
    <w:rsid w:val="00567171"/>
    <w:rsid w:val="005730C3"/>
    <w:rsid w:val="005757BA"/>
    <w:rsid w:val="00576AF6"/>
    <w:rsid w:val="00580A13"/>
    <w:rsid w:val="0058353E"/>
    <w:rsid w:val="005839EF"/>
    <w:rsid w:val="00583A9A"/>
    <w:rsid w:val="00584765"/>
    <w:rsid w:val="00587DD8"/>
    <w:rsid w:val="005927DF"/>
    <w:rsid w:val="005A4254"/>
    <w:rsid w:val="005A7FAF"/>
    <w:rsid w:val="005B14F4"/>
    <w:rsid w:val="005B1D48"/>
    <w:rsid w:val="005B2EDB"/>
    <w:rsid w:val="005B54D6"/>
    <w:rsid w:val="005B5E79"/>
    <w:rsid w:val="005B61D6"/>
    <w:rsid w:val="005C0915"/>
    <w:rsid w:val="005C1C6E"/>
    <w:rsid w:val="005C39DE"/>
    <w:rsid w:val="005D427A"/>
    <w:rsid w:val="005E0EB8"/>
    <w:rsid w:val="005E3060"/>
    <w:rsid w:val="005F01B0"/>
    <w:rsid w:val="005F0384"/>
    <w:rsid w:val="005F0E0B"/>
    <w:rsid w:val="005F4C1C"/>
    <w:rsid w:val="005F72BB"/>
    <w:rsid w:val="00601214"/>
    <w:rsid w:val="00604D62"/>
    <w:rsid w:val="00607CE2"/>
    <w:rsid w:val="00613C90"/>
    <w:rsid w:val="0061706E"/>
    <w:rsid w:val="00620C64"/>
    <w:rsid w:val="00622936"/>
    <w:rsid w:val="00622C1C"/>
    <w:rsid w:val="006240D7"/>
    <w:rsid w:val="00624300"/>
    <w:rsid w:val="00631227"/>
    <w:rsid w:val="006316BD"/>
    <w:rsid w:val="00633BD7"/>
    <w:rsid w:val="00635323"/>
    <w:rsid w:val="00650D5B"/>
    <w:rsid w:val="00650F04"/>
    <w:rsid w:val="006519C2"/>
    <w:rsid w:val="00652C94"/>
    <w:rsid w:val="006538FE"/>
    <w:rsid w:val="00653CB7"/>
    <w:rsid w:val="00660DE2"/>
    <w:rsid w:val="00662973"/>
    <w:rsid w:val="00663612"/>
    <w:rsid w:val="00663701"/>
    <w:rsid w:val="006666DC"/>
    <w:rsid w:val="00671B49"/>
    <w:rsid w:val="00673DB8"/>
    <w:rsid w:val="006748F4"/>
    <w:rsid w:val="00675097"/>
    <w:rsid w:val="006762F3"/>
    <w:rsid w:val="00677FE2"/>
    <w:rsid w:val="006806F9"/>
    <w:rsid w:val="0068501C"/>
    <w:rsid w:val="00685C31"/>
    <w:rsid w:val="006861E6"/>
    <w:rsid w:val="00693E45"/>
    <w:rsid w:val="00694405"/>
    <w:rsid w:val="00694C70"/>
    <w:rsid w:val="006A016C"/>
    <w:rsid w:val="006A1A36"/>
    <w:rsid w:val="006A7A07"/>
    <w:rsid w:val="006B0957"/>
    <w:rsid w:val="006C04AC"/>
    <w:rsid w:val="006C11B5"/>
    <w:rsid w:val="006C6EE4"/>
    <w:rsid w:val="006C75F2"/>
    <w:rsid w:val="006D04A6"/>
    <w:rsid w:val="006D0795"/>
    <w:rsid w:val="006D2832"/>
    <w:rsid w:val="006D4F86"/>
    <w:rsid w:val="006D6768"/>
    <w:rsid w:val="006D6BCC"/>
    <w:rsid w:val="006D733A"/>
    <w:rsid w:val="006D7755"/>
    <w:rsid w:val="006E12D0"/>
    <w:rsid w:val="006E6316"/>
    <w:rsid w:val="006F056E"/>
    <w:rsid w:val="006F17C4"/>
    <w:rsid w:val="006F493A"/>
    <w:rsid w:val="006F6C51"/>
    <w:rsid w:val="00701A22"/>
    <w:rsid w:val="00702446"/>
    <w:rsid w:val="007060EC"/>
    <w:rsid w:val="0071029A"/>
    <w:rsid w:val="00710A75"/>
    <w:rsid w:val="007144E6"/>
    <w:rsid w:val="00716A11"/>
    <w:rsid w:val="00716CE3"/>
    <w:rsid w:val="007176B4"/>
    <w:rsid w:val="00722B3D"/>
    <w:rsid w:val="00723864"/>
    <w:rsid w:val="00724768"/>
    <w:rsid w:val="0072482D"/>
    <w:rsid w:val="0072503B"/>
    <w:rsid w:val="007257BA"/>
    <w:rsid w:val="0072627E"/>
    <w:rsid w:val="0072685A"/>
    <w:rsid w:val="007277F2"/>
    <w:rsid w:val="00732510"/>
    <w:rsid w:val="007329C2"/>
    <w:rsid w:val="00733010"/>
    <w:rsid w:val="007346BC"/>
    <w:rsid w:val="00736A95"/>
    <w:rsid w:val="00742AD6"/>
    <w:rsid w:val="00743F56"/>
    <w:rsid w:val="00751096"/>
    <w:rsid w:val="007526A6"/>
    <w:rsid w:val="00757819"/>
    <w:rsid w:val="00765702"/>
    <w:rsid w:val="00765E41"/>
    <w:rsid w:val="00767684"/>
    <w:rsid w:val="00774B2C"/>
    <w:rsid w:val="00784D68"/>
    <w:rsid w:val="00786776"/>
    <w:rsid w:val="00791989"/>
    <w:rsid w:val="00792B0A"/>
    <w:rsid w:val="00795D68"/>
    <w:rsid w:val="007B0CE3"/>
    <w:rsid w:val="007B11CE"/>
    <w:rsid w:val="007B11F3"/>
    <w:rsid w:val="007B13AA"/>
    <w:rsid w:val="007B191A"/>
    <w:rsid w:val="007B3A2E"/>
    <w:rsid w:val="007B4606"/>
    <w:rsid w:val="007B4EF0"/>
    <w:rsid w:val="007B6614"/>
    <w:rsid w:val="007C1F90"/>
    <w:rsid w:val="007C2015"/>
    <w:rsid w:val="007C30CC"/>
    <w:rsid w:val="007C42D3"/>
    <w:rsid w:val="007C6358"/>
    <w:rsid w:val="007C73CA"/>
    <w:rsid w:val="007C75D5"/>
    <w:rsid w:val="007D2FB0"/>
    <w:rsid w:val="007E071E"/>
    <w:rsid w:val="007E218B"/>
    <w:rsid w:val="007E3DD4"/>
    <w:rsid w:val="007E3EA2"/>
    <w:rsid w:val="007E57A0"/>
    <w:rsid w:val="007E671B"/>
    <w:rsid w:val="007E7DAD"/>
    <w:rsid w:val="007F03E6"/>
    <w:rsid w:val="007F42C1"/>
    <w:rsid w:val="007F6160"/>
    <w:rsid w:val="007F7F67"/>
    <w:rsid w:val="00801147"/>
    <w:rsid w:val="0080576E"/>
    <w:rsid w:val="00811630"/>
    <w:rsid w:val="00813B8E"/>
    <w:rsid w:val="00822C2B"/>
    <w:rsid w:val="008304B1"/>
    <w:rsid w:val="00831576"/>
    <w:rsid w:val="00834723"/>
    <w:rsid w:val="00834737"/>
    <w:rsid w:val="0084013E"/>
    <w:rsid w:val="00840356"/>
    <w:rsid w:val="008403AA"/>
    <w:rsid w:val="008418B2"/>
    <w:rsid w:val="00843E2B"/>
    <w:rsid w:val="0084434D"/>
    <w:rsid w:val="00844875"/>
    <w:rsid w:val="00845952"/>
    <w:rsid w:val="00850D17"/>
    <w:rsid w:val="00851D99"/>
    <w:rsid w:val="00855D97"/>
    <w:rsid w:val="00867B10"/>
    <w:rsid w:val="0087259E"/>
    <w:rsid w:val="00872982"/>
    <w:rsid w:val="00874202"/>
    <w:rsid w:val="00877572"/>
    <w:rsid w:val="00884CB2"/>
    <w:rsid w:val="00890481"/>
    <w:rsid w:val="00890E03"/>
    <w:rsid w:val="00893E30"/>
    <w:rsid w:val="0089784F"/>
    <w:rsid w:val="008A0D0F"/>
    <w:rsid w:val="008A4022"/>
    <w:rsid w:val="008A6B52"/>
    <w:rsid w:val="008C0257"/>
    <w:rsid w:val="008C174E"/>
    <w:rsid w:val="008C1FD7"/>
    <w:rsid w:val="008C2207"/>
    <w:rsid w:val="008C3674"/>
    <w:rsid w:val="008C41A8"/>
    <w:rsid w:val="008D1382"/>
    <w:rsid w:val="008D29B8"/>
    <w:rsid w:val="008D4C84"/>
    <w:rsid w:val="008E5308"/>
    <w:rsid w:val="008F2B54"/>
    <w:rsid w:val="008F2E71"/>
    <w:rsid w:val="008F7061"/>
    <w:rsid w:val="008F75AD"/>
    <w:rsid w:val="0090400E"/>
    <w:rsid w:val="00906BC7"/>
    <w:rsid w:val="00910F92"/>
    <w:rsid w:val="0091223E"/>
    <w:rsid w:val="0091288A"/>
    <w:rsid w:val="00913B76"/>
    <w:rsid w:val="009150E3"/>
    <w:rsid w:val="009179D1"/>
    <w:rsid w:val="0092329B"/>
    <w:rsid w:val="0093150B"/>
    <w:rsid w:val="009319BA"/>
    <w:rsid w:val="00932962"/>
    <w:rsid w:val="00936D80"/>
    <w:rsid w:val="00937621"/>
    <w:rsid w:val="009401B4"/>
    <w:rsid w:val="00940B06"/>
    <w:rsid w:val="00950618"/>
    <w:rsid w:val="0095204E"/>
    <w:rsid w:val="00955785"/>
    <w:rsid w:val="00955947"/>
    <w:rsid w:val="00956DC6"/>
    <w:rsid w:val="00957ECC"/>
    <w:rsid w:val="00960151"/>
    <w:rsid w:val="00960646"/>
    <w:rsid w:val="00967398"/>
    <w:rsid w:val="009707A7"/>
    <w:rsid w:val="009733EB"/>
    <w:rsid w:val="00973A72"/>
    <w:rsid w:val="0097402E"/>
    <w:rsid w:val="009749DA"/>
    <w:rsid w:val="00976BE4"/>
    <w:rsid w:val="009852C9"/>
    <w:rsid w:val="009863CA"/>
    <w:rsid w:val="009905A9"/>
    <w:rsid w:val="0099182F"/>
    <w:rsid w:val="00993FC7"/>
    <w:rsid w:val="0099647E"/>
    <w:rsid w:val="009A7CAD"/>
    <w:rsid w:val="009B0203"/>
    <w:rsid w:val="009B173E"/>
    <w:rsid w:val="009B2BEA"/>
    <w:rsid w:val="009B3345"/>
    <w:rsid w:val="009B41BA"/>
    <w:rsid w:val="009B6491"/>
    <w:rsid w:val="009B6493"/>
    <w:rsid w:val="009B6763"/>
    <w:rsid w:val="009C6D05"/>
    <w:rsid w:val="009C70AD"/>
    <w:rsid w:val="009D0E3A"/>
    <w:rsid w:val="009D3197"/>
    <w:rsid w:val="009D3B74"/>
    <w:rsid w:val="009D54F6"/>
    <w:rsid w:val="009D7997"/>
    <w:rsid w:val="009E5EED"/>
    <w:rsid w:val="009E660C"/>
    <w:rsid w:val="009E6D57"/>
    <w:rsid w:val="009F29D7"/>
    <w:rsid w:val="009F3297"/>
    <w:rsid w:val="009F6D60"/>
    <w:rsid w:val="00A01208"/>
    <w:rsid w:val="00A05A4D"/>
    <w:rsid w:val="00A0764C"/>
    <w:rsid w:val="00A122C3"/>
    <w:rsid w:val="00A14997"/>
    <w:rsid w:val="00A24D51"/>
    <w:rsid w:val="00A25469"/>
    <w:rsid w:val="00A2732B"/>
    <w:rsid w:val="00A36F63"/>
    <w:rsid w:val="00A42DBC"/>
    <w:rsid w:val="00A435E0"/>
    <w:rsid w:val="00A44544"/>
    <w:rsid w:val="00A463F1"/>
    <w:rsid w:val="00A500B7"/>
    <w:rsid w:val="00A62C5D"/>
    <w:rsid w:val="00A62E4D"/>
    <w:rsid w:val="00A6488F"/>
    <w:rsid w:val="00A66235"/>
    <w:rsid w:val="00A66CD2"/>
    <w:rsid w:val="00A67558"/>
    <w:rsid w:val="00A714AD"/>
    <w:rsid w:val="00A73280"/>
    <w:rsid w:val="00A76ABA"/>
    <w:rsid w:val="00A80D41"/>
    <w:rsid w:val="00A83135"/>
    <w:rsid w:val="00A84A39"/>
    <w:rsid w:val="00A863A2"/>
    <w:rsid w:val="00A92925"/>
    <w:rsid w:val="00A94D4B"/>
    <w:rsid w:val="00A96553"/>
    <w:rsid w:val="00A97252"/>
    <w:rsid w:val="00A97969"/>
    <w:rsid w:val="00AA1A38"/>
    <w:rsid w:val="00AA3C83"/>
    <w:rsid w:val="00AA524B"/>
    <w:rsid w:val="00AA6DA4"/>
    <w:rsid w:val="00AB545C"/>
    <w:rsid w:val="00AB6F65"/>
    <w:rsid w:val="00AB770B"/>
    <w:rsid w:val="00AC226D"/>
    <w:rsid w:val="00AC43E1"/>
    <w:rsid w:val="00AC67A3"/>
    <w:rsid w:val="00AC7B6E"/>
    <w:rsid w:val="00AD1B45"/>
    <w:rsid w:val="00AE117C"/>
    <w:rsid w:val="00AE2535"/>
    <w:rsid w:val="00AE4EAD"/>
    <w:rsid w:val="00AE5A13"/>
    <w:rsid w:val="00AF0BD3"/>
    <w:rsid w:val="00AF2370"/>
    <w:rsid w:val="00AF3F96"/>
    <w:rsid w:val="00B01F34"/>
    <w:rsid w:val="00B02377"/>
    <w:rsid w:val="00B05DA4"/>
    <w:rsid w:val="00B10A83"/>
    <w:rsid w:val="00B11478"/>
    <w:rsid w:val="00B13103"/>
    <w:rsid w:val="00B15CA2"/>
    <w:rsid w:val="00B175AF"/>
    <w:rsid w:val="00B24EE3"/>
    <w:rsid w:val="00B25FE4"/>
    <w:rsid w:val="00B30C60"/>
    <w:rsid w:val="00B35CE2"/>
    <w:rsid w:val="00B41AFA"/>
    <w:rsid w:val="00B427EF"/>
    <w:rsid w:val="00B42E24"/>
    <w:rsid w:val="00B4452B"/>
    <w:rsid w:val="00B4476A"/>
    <w:rsid w:val="00B53222"/>
    <w:rsid w:val="00B56E20"/>
    <w:rsid w:val="00B608E4"/>
    <w:rsid w:val="00B632C7"/>
    <w:rsid w:val="00B6431E"/>
    <w:rsid w:val="00B6783A"/>
    <w:rsid w:val="00B67849"/>
    <w:rsid w:val="00B71373"/>
    <w:rsid w:val="00B73E73"/>
    <w:rsid w:val="00B742C3"/>
    <w:rsid w:val="00B775DF"/>
    <w:rsid w:val="00B809DB"/>
    <w:rsid w:val="00B85D10"/>
    <w:rsid w:val="00B867F7"/>
    <w:rsid w:val="00B911BA"/>
    <w:rsid w:val="00B931E6"/>
    <w:rsid w:val="00B94D13"/>
    <w:rsid w:val="00BA2261"/>
    <w:rsid w:val="00BA3413"/>
    <w:rsid w:val="00BA4EBE"/>
    <w:rsid w:val="00BA6E43"/>
    <w:rsid w:val="00BB0AB2"/>
    <w:rsid w:val="00BB2C5D"/>
    <w:rsid w:val="00BB37FC"/>
    <w:rsid w:val="00BB474C"/>
    <w:rsid w:val="00BB5E88"/>
    <w:rsid w:val="00BC4874"/>
    <w:rsid w:val="00BC5E9F"/>
    <w:rsid w:val="00BC5F85"/>
    <w:rsid w:val="00BD5083"/>
    <w:rsid w:val="00BD5C13"/>
    <w:rsid w:val="00BD7CD3"/>
    <w:rsid w:val="00BE3BD4"/>
    <w:rsid w:val="00BE49AF"/>
    <w:rsid w:val="00BE4CFD"/>
    <w:rsid w:val="00BE504A"/>
    <w:rsid w:val="00BF033E"/>
    <w:rsid w:val="00BF0D5E"/>
    <w:rsid w:val="00BF0FE8"/>
    <w:rsid w:val="00BF52C6"/>
    <w:rsid w:val="00BF579B"/>
    <w:rsid w:val="00C042AF"/>
    <w:rsid w:val="00C0479F"/>
    <w:rsid w:val="00C12525"/>
    <w:rsid w:val="00C17DA3"/>
    <w:rsid w:val="00C23974"/>
    <w:rsid w:val="00C2508B"/>
    <w:rsid w:val="00C25D29"/>
    <w:rsid w:val="00C261E5"/>
    <w:rsid w:val="00C270D2"/>
    <w:rsid w:val="00C3544B"/>
    <w:rsid w:val="00C3577A"/>
    <w:rsid w:val="00C379B4"/>
    <w:rsid w:val="00C4175C"/>
    <w:rsid w:val="00C41FF2"/>
    <w:rsid w:val="00C45413"/>
    <w:rsid w:val="00C54487"/>
    <w:rsid w:val="00C54AD7"/>
    <w:rsid w:val="00C577D3"/>
    <w:rsid w:val="00C61B4B"/>
    <w:rsid w:val="00C61FB1"/>
    <w:rsid w:val="00C65B99"/>
    <w:rsid w:val="00C71218"/>
    <w:rsid w:val="00C71B5D"/>
    <w:rsid w:val="00C72888"/>
    <w:rsid w:val="00C80B1F"/>
    <w:rsid w:val="00C869C6"/>
    <w:rsid w:val="00C87E78"/>
    <w:rsid w:val="00C920D2"/>
    <w:rsid w:val="00C93DD5"/>
    <w:rsid w:val="00C941CA"/>
    <w:rsid w:val="00C953EA"/>
    <w:rsid w:val="00CA03A2"/>
    <w:rsid w:val="00CA1084"/>
    <w:rsid w:val="00CA32CB"/>
    <w:rsid w:val="00CA550F"/>
    <w:rsid w:val="00CB0D2A"/>
    <w:rsid w:val="00CB10CB"/>
    <w:rsid w:val="00CB420D"/>
    <w:rsid w:val="00CB5334"/>
    <w:rsid w:val="00CB671B"/>
    <w:rsid w:val="00CB7D19"/>
    <w:rsid w:val="00CB7FF1"/>
    <w:rsid w:val="00CC15FB"/>
    <w:rsid w:val="00CC1E01"/>
    <w:rsid w:val="00CC3554"/>
    <w:rsid w:val="00CC49EC"/>
    <w:rsid w:val="00CC725E"/>
    <w:rsid w:val="00CD2354"/>
    <w:rsid w:val="00CD24F7"/>
    <w:rsid w:val="00CD3D7F"/>
    <w:rsid w:val="00CE5D93"/>
    <w:rsid w:val="00CE6C62"/>
    <w:rsid w:val="00CF0EAF"/>
    <w:rsid w:val="00CF739C"/>
    <w:rsid w:val="00D02D13"/>
    <w:rsid w:val="00D107E7"/>
    <w:rsid w:val="00D10A14"/>
    <w:rsid w:val="00D11ABF"/>
    <w:rsid w:val="00D13E15"/>
    <w:rsid w:val="00D2086F"/>
    <w:rsid w:val="00D221E5"/>
    <w:rsid w:val="00D232E8"/>
    <w:rsid w:val="00D2408C"/>
    <w:rsid w:val="00D273D3"/>
    <w:rsid w:val="00D34200"/>
    <w:rsid w:val="00D34B4A"/>
    <w:rsid w:val="00D34C56"/>
    <w:rsid w:val="00D36EFC"/>
    <w:rsid w:val="00D3737A"/>
    <w:rsid w:val="00D37E9A"/>
    <w:rsid w:val="00D416CA"/>
    <w:rsid w:val="00D42E73"/>
    <w:rsid w:val="00D43C3E"/>
    <w:rsid w:val="00D461A9"/>
    <w:rsid w:val="00D52921"/>
    <w:rsid w:val="00D62069"/>
    <w:rsid w:val="00D67174"/>
    <w:rsid w:val="00D7259F"/>
    <w:rsid w:val="00D734D4"/>
    <w:rsid w:val="00D740D5"/>
    <w:rsid w:val="00D74A37"/>
    <w:rsid w:val="00D761E4"/>
    <w:rsid w:val="00D9128E"/>
    <w:rsid w:val="00D925C2"/>
    <w:rsid w:val="00D92991"/>
    <w:rsid w:val="00D9497C"/>
    <w:rsid w:val="00DA1216"/>
    <w:rsid w:val="00DA7EE4"/>
    <w:rsid w:val="00DB0928"/>
    <w:rsid w:val="00DB21FB"/>
    <w:rsid w:val="00DB4801"/>
    <w:rsid w:val="00DB7EFE"/>
    <w:rsid w:val="00DC56DB"/>
    <w:rsid w:val="00DD370F"/>
    <w:rsid w:val="00DE2198"/>
    <w:rsid w:val="00DF162A"/>
    <w:rsid w:val="00DF1951"/>
    <w:rsid w:val="00DF1B81"/>
    <w:rsid w:val="00DF263C"/>
    <w:rsid w:val="00E00554"/>
    <w:rsid w:val="00E11872"/>
    <w:rsid w:val="00E12BD0"/>
    <w:rsid w:val="00E14996"/>
    <w:rsid w:val="00E1777D"/>
    <w:rsid w:val="00E179AA"/>
    <w:rsid w:val="00E21974"/>
    <w:rsid w:val="00E24314"/>
    <w:rsid w:val="00E310DC"/>
    <w:rsid w:val="00E32589"/>
    <w:rsid w:val="00E33476"/>
    <w:rsid w:val="00E36303"/>
    <w:rsid w:val="00E41042"/>
    <w:rsid w:val="00E41A64"/>
    <w:rsid w:val="00E43392"/>
    <w:rsid w:val="00E4362A"/>
    <w:rsid w:val="00E4511B"/>
    <w:rsid w:val="00E47799"/>
    <w:rsid w:val="00E47DC3"/>
    <w:rsid w:val="00E52525"/>
    <w:rsid w:val="00E55209"/>
    <w:rsid w:val="00E56CEB"/>
    <w:rsid w:val="00E57C01"/>
    <w:rsid w:val="00E60031"/>
    <w:rsid w:val="00E6049F"/>
    <w:rsid w:val="00E60B1D"/>
    <w:rsid w:val="00E66459"/>
    <w:rsid w:val="00E668C2"/>
    <w:rsid w:val="00E70480"/>
    <w:rsid w:val="00E755AB"/>
    <w:rsid w:val="00E75CAF"/>
    <w:rsid w:val="00E80E69"/>
    <w:rsid w:val="00E849EF"/>
    <w:rsid w:val="00E87FD3"/>
    <w:rsid w:val="00E90843"/>
    <w:rsid w:val="00E94C57"/>
    <w:rsid w:val="00E9647E"/>
    <w:rsid w:val="00E97AAB"/>
    <w:rsid w:val="00EA07E8"/>
    <w:rsid w:val="00EA1B94"/>
    <w:rsid w:val="00EA1FC5"/>
    <w:rsid w:val="00EB3B9B"/>
    <w:rsid w:val="00EB7CA0"/>
    <w:rsid w:val="00EC16EE"/>
    <w:rsid w:val="00EC75A1"/>
    <w:rsid w:val="00EE1D99"/>
    <w:rsid w:val="00EE1EC3"/>
    <w:rsid w:val="00EE25FA"/>
    <w:rsid w:val="00EE45F2"/>
    <w:rsid w:val="00EE68A9"/>
    <w:rsid w:val="00EF3D70"/>
    <w:rsid w:val="00F0278F"/>
    <w:rsid w:val="00F02A42"/>
    <w:rsid w:val="00F067BC"/>
    <w:rsid w:val="00F126EF"/>
    <w:rsid w:val="00F12A0D"/>
    <w:rsid w:val="00F1364A"/>
    <w:rsid w:val="00F16D4F"/>
    <w:rsid w:val="00F233FE"/>
    <w:rsid w:val="00F254B1"/>
    <w:rsid w:val="00F313B2"/>
    <w:rsid w:val="00F33313"/>
    <w:rsid w:val="00F40DE4"/>
    <w:rsid w:val="00F43E87"/>
    <w:rsid w:val="00F46A0E"/>
    <w:rsid w:val="00F551A4"/>
    <w:rsid w:val="00F558F6"/>
    <w:rsid w:val="00F562D5"/>
    <w:rsid w:val="00F56EB9"/>
    <w:rsid w:val="00F57209"/>
    <w:rsid w:val="00F57FA2"/>
    <w:rsid w:val="00F62A14"/>
    <w:rsid w:val="00F63E83"/>
    <w:rsid w:val="00F6578E"/>
    <w:rsid w:val="00F66807"/>
    <w:rsid w:val="00F70358"/>
    <w:rsid w:val="00F726EC"/>
    <w:rsid w:val="00F7337D"/>
    <w:rsid w:val="00F73B6B"/>
    <w:rsid w:val="00F74FD3"/>
    <w:rsid w:val="00F81C5A"/>
    <w:rsid w:val="00F82854"/>
    <w:rsid w:val="00F82D51"/>
    <w:rsid w:val="00F84087"/>
    <w:rsid w:val="00F93D60"/>
    <w:rsid w:val="00F9423D"/>
    <w:rsid w:val="00F97DB3"/>
    <w:rsid w:val="00F97F87"/>
    <w:rsid w:val="00FA0013"/>
    <w:rsid w:val="00FA124C"/>
    <w:rsid w:val="00FA19FA"/>
    <w:rsid w:val="00FA2F7C"/>
    <w:rsid w:val="00FA4B77"/>
    <w:rsid w:val="00FA6B31"/>
    <w:rsid w:val="00FB031D"/>
    <w:rsid w:val="00FB059E"/>
    <w:rsid w:val="00FB294C"/>
    <w:rsid w:val="00FB3582"/>
    <w:rsid w:val="00FB37B5"/>
    <w:rsid w:val="00FC00BB"/>
    <w:rsid w:val="00FC3EB0"/>
    <w:rsid w:val="00FC5E7D"/>
    <w:rsid w:val="00FC6353"/>
    <w:rsid w:val="00FD0371"/>
    <w:rsid w:val="00FD0F53"/>
    <w:rsid w:val="00FD2431"/>
    <w:rsid w:val="00FE4D3C"/>
    <w:rsid w:val="00FF186E"/>
    <w:rsid w:val="00FF1DA8"/>
    <w:rsid w:val="00FF34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jc w:val="both"/>
      <w:outlineLvl w:val="0"/>
    </w:pPr>
    <w:rPr>
      <w:b/>
      <w:color w:val="0000FF"/>
      <w:sz w:val="22"/>
    </w:rPr>
  </w:style>
  <w:style w:type="paragraph" w:styleId="Heading2">
    <w:name w:val="heading 2"/>
    <w:basedOn w:val="Normal"/>
    <w:next w:val="Normal"/>
    <w:qFormat/>
    <w:pPr>
      <w:keepNext/>
      <w:outlineLvl w:val="1"/>
    </w:pPr>
    <w:rPr>
      <w:b/>
      <w:snapToGrid w:val="0"/>
      <w:color w:val="000000"/>
      <w:lang w:val="en-AU"/>
    </w:rPr>
  </w:style>
  <w:style w:type="paragraph" w:styleId="Heading3">
    <w:name w:val="heading 3"/>
    <w:basedOn w:val="Normal"/>
    <w:next w:val="Normal"/>
    <w:qFormat/>
    <w:pPr>
      <w:keepNext/>
      <w:outlineLvl w:val="2"/>
    </w:pPr>
    <w:rPr>
      <w:b/>
      <w:snapToGrid w:val="0"/>
      <w:color w:val="000000"/>
      <w:sz w:val="22"/>
      <w:lang w:val="en-AU"/>
    </w:rPr>
  </w:style>
  <w:style w:type="paragraph" w:styleId="Heading4">
    <w:name w:val="heading 4"/>
    <w:basedOn w:val="Normal"/>
    <w:next w:val="Normal"/>
    <w:qFormat/>
    <w:pPr>
      <w:keepNext/>
      <w:outlineLvl w:val="3"/>
    </w:pPr>
    <w:rPr>
      <w:b/>
      <w:snapToGrid w:val="0"/>
      <w:color w:val="0000FF"/>
      <w:sz w:val="22"/>
      <w:lang w:val="en-AU"/>
    </w:rPr>
  </w:style>
  <w:style w:type="paragraph" w:styleId="Heading5">
    <w:name w:val="heading 5"/>
    <w:basedOn w:val="Normal"/>
    <w:next w:val="Normal"/>
    <w:qFormat/>
    <w:pPr>
      <w:keepNext/>
      <w:jc w:val="right"/>
      <w:outlineLvl w:val="4"/>
    </w:pPr>
    <w:rPr>
      <w:b/>
      <w:snapToGrid w:val="0"/>
      <w:color w:val="0000FF"/>
      <w:lang w:val="en-AU"/>
    </w:rPr>
  </w:style>
  <w:style w:type="paragraph" w:styleId="Heading6">
    <w:name w:val="heading 6"/>
    <w:basedOn w:val="Normal"/>
    <w:next w:val="Normal"/>
    <w:qFormat/>
    <w:pPr>
      <w:keepNext/>
      <w:outlineLvl w:val="5"/>
    </w:pPr>
    <w:rPr>
      <w:rFonts w:ascii="Arial" w:hAnsi="Arial"/>
      <w:b/>
      <w:snapToGrid w:val="0"/>
      <w:color w:val="0000FF"/>
      <w:sz w:val="20"/>
      <w:lang w:val="en-AU"/>
    </w:rPr>
  </w:style>
  <w:style w:type="paragraph" w:styleId="Heading7">
    <w:name w:val="heading 7"/>
    <w:basedOn w:val="Normal"/>
    <w:next w:val="Normal"/>
    <w:qFormat/>
    <w:pPr>
      <w:keepNext/>
      <w:jc w:val="right"/>
      <w:outlineLvl w:val="6"/>
    </w:pPr>
    <w:rPr>
      <w:rFonts w:ascii="Arial" w:hAnsi="Arial"/>
      <w:b/>
      <w:snapToGrid w:val="0"/>
      <w:sz w:val="20"/>
      <w:lang w:val="en-AU"/>
    </w:rPr>
  </w:style>
  <w:style w:type="paragraph" w:styleId="Heading8">
    <w:name w:val="heading 8"/>
    <w:basedOn w:val="Normal"/>
    <w:next w:val="Normal"/>
    <w:qFormat/>
    <w:pPr>
      <w:keepNext/>
      <w:jc w:val="right"/>
      <w:outlineLvl w:val="7"/>
    </w:pPr>
    <w:rPr>
      <w:b/>
      <w:snapToGrid w:val="0"/>
      <w:color w:val="0000FF"/>
      <w:sz w:val="20"/>
      <w:lang w:val="en-AU"/>
    </w:rPr>
  </w:style>
  <w:style w:type="paragraph" w:styleId="Heading9">
    <w:name w:val="heading 9"/>
    <w:basedOn w:val="Normal"/>
    <w:next w:val="Normal"/>
    <w:qFormat/>
    <w:pPr>
      <w:keepNext/>
      <w:jc w:val="center"/>
      <w:outlineLvl w:val="8"/>
    </w:pPr>
    <w:rPr>
      <w:rFonts w:ascii="Arial" w:hAnsi="Arial"/>
      <w:b/>
      <w:snapToGrid w:val="0"/>
      <w:color w:val="0000FF"/>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Title">
    <w:name w:val="Title"/>
    <w:basedOn w:val="Normal"/>
    <w:qFormat/>
    <w:pPr>
      <w:jc w:val="center"/>
    </w:pPr>
    <w:rPr>
      <w:b/>
    </w:rPr>
  </w:style>
  <w:style w:type="paragraph" w:styleId="Subtitle">
    <w:name w:val="Subtitle"/>
    <w:basedOn w:val="Normal"/>
    <w:qFormat/>
    <w:pPr>
      <w:jc w:val="both"/>
    </w:pPr>
    <w:rPr>
      <w:b/>
    </w:rPr>
  </w:style>
  <w:style w:type="paragraph" w:styleId="BodyText">
    <w:name w:val="Body Text"/>
    <w:basedOn w:val="Normal"/>
    <w:pPr>
      <w:jc w:val="both"/>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2D3D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jc w:val="both"/>
      <w:outlineLvl w:val="0"/>
    </w:pPr>
    <w:rPr>
      <w:b/>
      <w:color w:val="0000FF"/>
      <w:sz w:val="22"/>
    </w:rPr>
  </w:style>
  <w:style w:type="paragraph" w:styleId="Heading2">
    <w:name w:val="heading 2"/>
    <w:basedOn w:val="Normal"/>
    <w:next w:val="Normal"/>
    <w:qFormat/>
    <w:pPr>
      <w:keepNext/>
      <w:outlineLvl w:val="1"/>
    </w:pPr>
    <w:rPr>
      <w:b/>
      <w:snapToGrid w:val="0"/>
      <w:color w:val="000000"/>
      <w:lang w:val="en-AU"/>
    </w:rPr>
  </w:style>
  <w:style w:type="paragraph" w:styleId="Heading3">
    <w:name w:val="heading 3"/>
    <w:basedOn w:val="Normal"/>
    <w:next w:val="Normal"/>
    <w:qFormat/>
    <w:pPr>
      <w:keepNext/>
      <w:outlineLvl w:val="2"/>
    </w:pPr>
    <w:rPr>
      <w:b/>
      <w:snapToGrid w:val="0"/>
      <w:color w:val="000000"/>
      <w:sz w:val="22"/>
      <w:lang w:val="en-AU"/>
    </w:rPr>
  </w:style>
  <w:style w:type="paragraph" w:styleId="Heading4">
    <w:name w:val="heading 4"/>
    <w:basedOn w:val="Normal"/>
    <w:next w:val="Normal"/>
    <w:qFormat/>
    <w:pPr>
      <w:keepNext/>
      <w:outlineLvl w:val="3"/>
    </w:pPr>
    <w:rPr>
      <w:b/>
      <w:snapToGrid w:val="0"/>
      <w:color w:val="0000FF"/>
      <w:sz w:val="22"/>
      <w:lang w:val="en-AU"/>
    </w:rPr>
  </w:style>
  <w:style w:type="paragraph" w:styleId="Heading5">
    <w:name w:val="heading 5"/>
    <w:basedOn w:val="Normal"/>
    <w:next w:val="Normal"/>
    <w:qFormat/>
    <w:pPr>
      <w:keepNext/>
      <w:jc w:val="right"/>
      <w:outlineLvl w:val="4"/>
    </w:pPr>
    <w:rPr>
      <w:b/>
      <w:snapToGrid w:val="0"/>
      <w:color w:val="0000FF"/>
      <w:lang w:val="en-AU"/>
    </w:rPr>
  </w:style>
  <w:style w:type="paragraph" w:styleId="Heading6">
    <w:name w:val="heading 6"/>
    <w:basedOn w:val="Normal"/>
    <w:next w:val="Normal"/>
    <w:qFormat/>
    <w:pPr>
      <w:keepNext/>
      <w:outlineLvl w:val="5"/>
    </w:pPr>
    <w:rPr>
      <w:rFonts w:ascii="Arial" w:hAnsi="Arial"/>
      <w:b/>
      <w:snapToGrid w:val="0"/>
      <w:color w:val="0000FF"/>
      <w:sz w:val="20"/>
      <w:lang w:val="en-AU"/>
    </w:rPr>
  </w:style>
  <w:style w:type="paragraph" w:styleId="Heading7">
    <w:name w:val="heading 7"/>
    <w:basedOn w:val="Normal"/>
    <w:next w:val="Normal"/>
    <w:qFormat/>
    <w:pPr>
      <w:keepNext/>
      <w:jc w:val="right"/>
      <w:outlineLvl w:val="6"/>
    </w:pPr>
    <w:rPr>
      <w:rFonts w:ascii="Arial" w:hAnsi="Arial"/>
      <w:b/>
      <w:snapToGrid w:val="0"/>
      <w:sz w:val="20"/>
      <w:lang w:val="en-AU"/>
    </w:rPr>
  </w:style>
  <w:style w:type="paragraph" w:styleId="Heading8">
    <w:name w:val="heading 8"/>
    <w:basedOn w:val="Normal"/>
    <w:next w:val="Normal"/>
    <w:qFormat/>
    <w:pPr>
      <w:keepNext/>
      <w:jc w:val="right"/>
      <w:outlineLvl w:val="7"/>
    </w:pPr>
    <w:rPr>
      <w:b/>
      <w:snapToGrid w:val="0"/>
      <w:color w:val="0000FF"/>
      <w:sz w:val="20"/>
      <w:lang w:val="en-AU"/>
    </w:rPr>
  </w:style>
  <w:style w:type="paragraph" w:styleId="Heading9">
    <w:name w:val="heading 9"/>
    <w:basedOn w:val="Normal"/>
    <w:next w:val="Normal"/>
    <w:qFormat/>
    <w:pPr>
      <w:keepNext/>
      <w:jc w:val="center"/>
      <w:outlineLvl w:val="8"/>
    </w:pPr>
    <w:rPr>
      <w:rFonts w:ascii="Arial" w:hAnsi="Arial"/>
      <w:b/>
      <w:snapToGrid w:val="0"/>
      <w:color w:val="0000FF"/>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Title">
    <w:name w:val="Title"/>
    <w:basedOn w:val="Normal"/>
    <w:qFormat/>
    <w:pPr>
      <w:jc w:val="center"/>
    </w:pPr>
    <w:rPr>
      <w:b/>
    </w:rPr>
  </w:style>
  <w:style w:type="paragraph" w:styleId="Subtitle">
    <w:name w:val="Subtitle"/>
    <w:basedOn w:val="Normal"/>
    <w:qFormat/>
    <w:pPr>
      <w:jc w:val="both"/>
    </w:pPr>
    <w:rPr>
      <w:b/>
    </w:rPr>
  </w:style>
  <w:style w:type="paragraph" w:styleId="BodyText">
    <w:name w:val="Body Text"/>
    <w:basedOn w:val="Normal"/>
    <w:pPr>
      <w:jc w:val="both"/>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2D3D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5329">
      <w:bodyDiv w:val="1"/>
      <w:marLeft w:val="0"/>
      <w:marRight w:val="0"/>
      <w:marTop w:val="0"/>
      <w:marBottom w:val="0"/>
      <w:divBdr>
        <w:top w:val="none" w:sz="0" w:space="0" w:color="auto"/>
        <w:left w:val="none" w:sz="0" w:space="0" w:color="auto"/>
        <w:bottom w:val="none" w:sz="0" w:space="0" w:color="auto"/>
        <w:right w:val="none" w:sz="0" w:space="0" w:color="auto"/>
      </w:divBdr>
    </w:div>
    <w:div w:id="505291355">
      <w:bodyDiv w:val="1"/>
      <w:marLeft w:val="0"/>
      <w:marRight w:val="0"/>
      <w:marTop w:val="0"/>
      <w:marBottom w:val="0"/>
      <w:divBdr>
        <w:top w:val="none" w:sz="0" w:space="0" w:color="auto"/>
        <w:left w:val="none" w:sz="0" w:space="0" w:color="auto"/>
        <w:bottom w:val="none" w:sz="0" w:space="0" w:color="auto"/>
        <w:right w:val="none" w:sz="0" w:space="0" w:color="auto"/>
      </w:divBdr>
    </w:div>
    <w:div w:id="711617684">
      <w:bodyDiv w:val="1"/>
      <w:marLeft w:val="0"/>
      <w:marRight w:val="0"/>
      <w:marTop w:val="0"/>
      <w:marBottom w:val="0"/>
      <w:divBdr>
        <w:top w:val="none" w:sz="0" w:space="0" w:color="auto"/>
        <w:left w:val="none" w:sz="0" w:space="0" w:color="auto"/>
        <w:bottom w:val="none" w:sz="0" w:space="0" w:color="auto"/>
        <w:right w:val="none" w:sz="0" w:space="0" w:color="auto"/>
      </w:divBdr>
    </w:div>
    <w:div w:id="838426227">
      <w:bodyDiv w:val="1"/>
      <w:marLeft w:val="0"/>
      <w:marRight w:val="0"/>
      <w:marTop w:val="0"/>
      <w:marBottom w:val="0"/>
      <w:divBdr>
        <w:top w:val="none" w:sz="0" w:space="0" w:color="auto"/>
        <w:left w:val="none" w:sz="0" w:space="0" w:color="auto"/>
        <w:bottom w:val="none" w:sz="0" w:space="0" w:color="auto"/>
        <w:right w:val="none" w:sz="0" w:space="0" w:color="auto"/>
      </w:divBdr>
    </w:div>
    <w:div w:id="853693520">
      <w:bodyDiv w:val="1"/>
      <w:marLeft w:val="0"/>
      <w:marRight w:val="0"/>
      <w:marTop w:val="0"/>
      <w:marBottom w:val="0"/>
      <w:divBdr>
        <w:top w:val="none" w:sz="0" w:space="0" w:color="auto"/>
        <w:left w:val="none" w:sz="0" w:space="0" w:color="auto"/>
        <w:bottom w:val="none" w:sz="0" w:space="0" w:color="auto"/>
        <w:right w:val="none" w:sz="0" w:space="0" w:color="auto"/>
      </w:divBdr>
    </w:div>
    <w:div w:id="988361885">
      <w:bodyDiv w:val="1"/>
      <w:marLeft w:val="0"/>
      <w:marRight w:val="0"/>
      <w:marTop w:val="0"/>
      <w:marBottom w:val="0"/>
      <w:divBdr>
        <w:top w:val="none" w:sz="0" w:space="0" w:color="auto"/>
        <w:left w:val="none" w:sz="0" w:space="0" w:color="auto"/>
        <w:bottom w:val="none" w:sz="0" w:space="0" w:color="auto"/>
        <w:right w:val="none" w:sz="0" w:space="0" w:color="auto"/>
      </w:divBdr>
    </w:div>
    <w:div w:id="1040083084">
      <w:bodyDiv w:val="1"/>
      <w:marLeft w:val="0"/>
      <w:marRight w:val="0"/>
      <w:marTop w:val="0"/>
      <w:marBottom w:val="0"/>
      <w:divBdr>
        <w:top w:val="none" w:sz="0" w:space="0" w:color="auto"/>
        <w:left w:val="none" w:sz="0" w:space="0" w:color="auto"/>
        <w:bottom w:val="none" w:sz="0" w:space="0" w:color="auto"/>
        <w:right w:val="none" w:sz="0" w:space="0" w:color="auto"/>
      </w:divBdr>
    </w:div>
    <w:div w:id="1428423315">
      <w:bodyDiv w:val="1"/>
      <w:marLeft w:val="0"/>
      <w:marRight w:val="0"/>
      <w:marTop w:val="0"/>
      <w:marBottom w:val="0"/>
      <w:divBdr>
        <w:top w:val="none" w:sz="0" w:space="0" w:color="auto"/>
        <w:left w:val="none" w:sz="0" w:space="0" w:color="auto"/>
        <w:bottom w:val="none" w:sz="0" w:space="0" w:color="auto"/>
        <w:right w:val="none" w:sz="0" w:space="0" w:color="auto"/>
      </w:divBdr>
    </w:div>
    <w:div w:id="1492060690">
      <w:bodyDiv w:val="1"/>
      <w:marLeft w:val="0"/>
      <w:marRight w:val="0"/>
      <w:marTop w:val="0"/>
      <w:marBottom w:val="0"/>
      <w:divBdr>
        <w:top w:val="none" w:sz="0" w:space="0" w:color="auto"/>
        <w:left w:val="none" w:sz="0" w:space="0" w:color="auto"/>
        <w:bottom w:val="none" w:sz="0" w:space="0" w:color="auto"/>
        <w:right w:val="none" w:sz="0" w:space="0" w:color="auto"/>
      </w:divBdr>
    </w:div>
    <w:div w:id="1802261231">
      <w:bodyDiv w:val="1"/>
      <w:marLeft w:val="0"/>
      <w:marRight w:val="0"/>
      <w:marTop w:val="0"/>
      <w:marBottom w:val="0"/>
      <w:divBdr>
        <w:top w:val="none" w:sz="0" w:space="0" w:color="auto"/>
        <w:left w:val="none" w:sz="0" w:space="0" w:color="auto"/>
        <w:bottom w:val="none" w:sz="0" w:space="0" w:color="auto"/>
        <w:right w:val="none" w:sz="0" w:space="0" w:color="auto"/>
      </w:divBdr>
    </w:div>
    <w:div w:id="197810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tbbdosyas\mev\Bankac&#305;l&#305;k%20G&#246;stergeleri%20Sunumlar\Ara&#351;t&#305;rma%20raporlar&#305;\Ucayl&#305;k\&#304;MKB%20Eyl&#252;l%20201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401879565091601"/>
          <c:y val="0.10280405107346145"/>
          <c:w val="0.8168231754008245"/>
          <c:h val="0.68847561476469643"/>
        </c:manualLayout>
      </c:layout>
      <c:barChart>
        <c:barDir val="col"/>
        <c:grouping val="clustered"/>
        <c:varyColors val="0"/>
        <c:ser>
          <c:idx val="1"/>
          <c:order val="0"/>
          <c:tx>
            <c:strRef>
              <c:f>müsvedde!$G$38</c:f>
              <c:strCache>
                <c:ptCount val="1"/>
                <c:pt idx="0">
                  <c:v>Net Kar</c:v>
                </c:pt>
              </c:strCache>
            </c:strRef>
          </c:tx>
          <c:spPr>
            <a:solidFill>
              <a:srgbClr val="0000FF"/>
            </a:solidFill>
            <a:ln w="12700">
              <a:solidFill>
                <a:srgbClr val="0000FF"/>
              </a:solidFill>
              <a:prstDash val="solid"/>
            </a:ln>
          </c:spPr>
          <c:invertIfNegative val="0"/>
          <c:cat>
            <c:strRef>
              <c:f>müsvedde!$F$39:$F$69</c:f>
              <c:strCache>
                <c:ptCount val="31"/>
                <c:pt idx="0">
                  <c:v>04</c:v>
                </c:pt>
                <c:pt idx="1">
                  <c:v>05/1</c:v>
                </c:pt>
                <c:pt idx="2">
                  <c:v>05/2</c:v>
                </c:pt>
                <c:pt idx="3">
                  <c:v>05/3</c:v>
                </c:pt>
                <c:pt idx="4">
                  <c:v>05</c:v>
                </c:pt>
                <c:pt idx="5">
                  <c:v>06/1</c:v>
                </c:pt>
                <c:pt idx="6">
                  <c:v>06/2</c:v>
                </c:pt>
                <c:pt idx="7">
                  <c:v>06/3</c:v>
                </c:pt>
                <c:pt idx="8">
                  <c:v>06/4</c:v>
                </c:pt>
                <c:pt idx="9">
                  <c:v>07/1</c:v>
                </c:pt>
                <c:pt idx="10">
                  <c:v>07/2</c:v>
                </c:pt>
                <c:pt idx="11">
                  <c:v>07/3</c:v>
                </c:pt>
                <c:pt idx="12">
                  <c:v>07/4</c:v>
                </c:pt>
                <c:pt idx="13">
                  <c:v>08/1</c:v>
                </c:pt>
                <c:pt idx="14">
                  <c:v>08/2</c:v>
                </c:pt>
                <c:pt idx="15">
                  <c:v>08/3</c:v>
                </c:pt>
                <c:pt idx="16">
                  <c:v>08/4</c:v>
                </c:pt>
                <c:pt idx="17">
                  <c:v>09/1</c:v>
                </c:pt>
                <c:pt idx="18">
                  <c:v>09/2</c:v>
                </c:pt>
                <c:pt idx="19">
                  <c:v>09/3</c:v>
                </c:pt>
                <c:pt idx="20">
                  <c:v>09/4</c:v>
                </c:pt>
                <c:pt idx="21">
                  <c:v>10/3</c:v>
                </c:pt>
                <c:pt idx="22">
                  <c:v>10/6</c:v>
                </c:pt>
                <c:pt idx="23">
                  <c:v>10/9</c:v>
                </c:pt>
                <c:pt idx="24">
                  <c:v>10/12</c:v>
                </c:pt>
                <c:pt idx="25">
                  <c:v>11/3</c:v>
                </c:pt>
                <c:pt idx="26">
                  <c:v>11/6</c:v>
                </c:pt>
                <c:pt idx="27">
                  <c:v>11/9</c:v>
                </c:pt>
                <c:pt idx="28">
                  <c:v>11/12</c:v>
                </c:pt>
                <c:pt idx="29">
                  <c:v>12/3</c:v>
                </c:pt>
                <c:pt idx="30">
                  <c:v>12/06</c:v>
                </c:pt>
              </c:strCache>
            </c:strRef>
          </c:cat>
          <c:val>
            <c:numRef>
              <c:f>müsvedde!$G$39:$G$69</c:f>
              <c:numCache>
                <c:formatCode>#,##0</c:formatCode>
                <c:ptCount val="31"/>
                <c:pt idx="0">
                  <c:v>3746.3380000000002</c:v>
                </c:pt>
                <c:pt idx="1">
                  <c:v>4250.2470000000003</c:v>
                </c:pt>
                <c:pt idx="2">
                  <c:v>4446.1510343999998</c:v>
                </c:pt>
                <c:pt idx="3">
                  <c:v>2112.527</c:v>
                </c:pt>
                <c:pt idx="4">
                  <c:v>1951.645</c:v>
                </c:pt>
                <c:pt idx="5">
                  <c:v>2514.4519999999993</c:v>
                </c:pt>
                <c:pt idx="6">
                  <c:v>2977.2419656000002</c:v>
                </c:pt>
                <c:pt idx="7">
                  <c:v>6177.549</c:v>
                </c:pt>
                <c:pt idx="8">
                  <c:v>7213.6917386999994</c:v>
                </c:pt>
                <c:pt idx="9">
                  <c:v>7611.2577387000001</c:v>
                </c:pt>
                <c:pt idx="10">
                  <c:v>9540.4547386999984</c:v>
                </c:pt>
                <c:pt idx="11">
                  <c:v>9937</c:v>
                </c:pt>
                <c:pt idx="12">
                  <c:v>10155</c:v>
                </c:pt>
                <c:pt idx="13">
                  <c:v>10828.718000000001</c:v>
                </c:pt>
                <c:pt idx="14">
                  <c:v>10408.827000000001</c:v>
                </c:pt>
                <c:pt idx="15">
                  <c:v>9622</c:v>
                </c:pt>
                <c:pt idx="16">
                  <c:v>8938</c:v>
                </c:pt>
                <c:pt idx="17">
                  <c:v>9612</c:v>
                </c:pt>
                <c:pt idx="18">
                  <c:v>10664</c:v>
                </c:pt>
                <c:pt idx="19">
                  <c:v>12053</c:v>
                </c:pt>
                <c:pt idx="20">
                  <c:v>14028</c:v>
                </c:pt>
                <c:pt idx="21">
                  <c:v>15194</c:v>
                </c:pt>
                <c:pt idx="22">
                  <c:v>15498</c:v>
                </c:pt>
                <c:pt idx="23">
                  <c:v>15569</c:v>
                </c:pt>
                <c:pt idx="24">
                  <c:v>16119</c:v>
                </c:pt>
                <c:pt idx="25">
                  <c:v>15623.207</c:v>
                </c:pt>
                <c:pt idx="26">
                  <c:v>15258</c:v>
                </c:pt>
                <c:pt idx="27">
                  <c:v>15159</c:v>
                </c:pt>
                <c:pt idx="28">
                  <c:v>15359</c:v>
                </c:pt>
                <c:pt idx="29">
                  <c:v>15509.793</c:v>
                </c:pt>
                <c:pt idx="30">
                  <c:v>15678</c:v>
                </c:pt>
              </c:numCache>
            </c:numRef>
          </c:val>
        </c:ser>
        <c:dLbls>
          <c:showLegendKey val="0"/>
          <c:showVal val="0"/>
          <c:showCatName val="0"/>
          <c:showSerName val="0"/>
          <c:showPercent val="0"/>
          <c:showBubbleSize val="0"/>
        </c:dLbls>
        <c:gapWidth val="150"/>
        <c:axId val="114559616"/>
        <c:axId val="114561408"/>
      </c:barChart>
      <c:lineChart>
        <c:grouping val="standard"/>
        <c:varyColors val="0"/>
        <c:ser>
          <c:idx val="0"/>
          <c:order val="1"/>
          <c:tx>
            <c:strRef>
              <c:f>müsvedde!$H$38</c:f>
              <c:strCache>
                <c:ptCount val="1"/>
                <c:pt idx="0">
                  <c:v>Özkaynak Karlılığı</c:v>
                </c:pt>
              </c:strCache>
            </c:strRef>
          </c:tx>
          <c:spPr>
            <a:ln w="38100">
              <a:solidFill>
                <a:srgbClr val="FF0000"/>
              </a:solidFill>
              <a:prstDash val="solid"/>
            </a:ln>
          </c:spPr>
          <c:marker>
            <c:symbol val="none"/>
          </c:marker>
          <c:cat>
            <c:strRef>
              <c:f>müsvedde!$F$39:$F$69</c:f>
              <c:strCache>
                <c:ptCount val="31"/>
                <c:pt idx="0">
                  <c:v>04</c:v>
                </c:pt>
                <c:pt idx="1">
                  <c:v>05/1</c:v>
                </c:pt>
                <c:pt idx="2">
                  <c:v>05/2</c:v>
                </c:pt>
                <c:pt idx="3">
                  <c:v>05/3</c:v>
                </c:pt>
                <c:pt idx="4">
                  <c:v>05</c:v>
                </c:pt>
                <c:pt idx="5">
                  <c:v>06/1</c:v>
                </c:pt>
                <c:pt idx="6">
                  <c:v>06/2</c:v>
                </c:pt>
                <c:pt idx="7">
                  <c:v>06/3</c:v>
                </c:pt>
                <c:pt idx="8">
                  <c:v>06/4</c:v>
                </c:pt>
                <c:pt idx="9">
                  <c:v>07/1</c:v>
                </c:pt>
                <c:pt idx="10">
                  <c:v>07/2</c:v>
                </c:pt>
                <c:pt idx="11">
                  <c:v>07/3</c:v>
                </c:pt>
                <c:pt idx="12">
                  <c:v>07/4</c:v>
                </c:pt>
                <c:pt idx="13">
                  <c:v>08/1</c:v>
                </c:pt>
                <c:pt idx="14">
                  <c:v>08/2</c:v>
                </c:pt>
                <c:pt idx="15">
                  <c:v>08/3</c:v>
                </c:pt>
                <c:pt idx="16">
                  <c:v>08/4</c:v>
                </c:pt>
                <c:pt idx="17">
                  <c:v>09/1</c:v>
                </c:pt>
                <c:pt idx="18">
                  <c:v>09/2</c:v>
                </c:pt>
                <c:pt idx="19">
                  <c:v>09/3</c:v>
                </c:pt>
                <c:pt idx="20">
                  <c:v>09/4</c:v>
                </c:pt>
                <c:pt idx="21">
                  <c:v>10/3</c:v>
                </c:pt>
                <c:pt idx="22">
                  <c:v>10/6</c:v>
                </c:pt>
                <c:pt idx="23">
                  <c:v>10/9</c:v>
                </c:pt>
                <c:pt idx="24">
                  <c:v>10/12</c:v>
                </c:pt>
                <c:pt idx="25">
                  <c:v>11/3</c:v>
                </c:pt>
                <c:pt idx="26">
                  <c:v>11/6</c:v>
                </c:pt>
                <c:pt idx="27">
                  <c:v>11/9</c:v>
                </c:pt>
                <c:pt idx="28">
                  <c:v>11/12</c:v>
                </c:pt>
                <c:pt idx="29">
                  <c:v>12/3</c:v>
                </c:pt>
                <c:pt idx="30">
                  <c:v>12/06</c:v>
                </c:pt>
              </c:strCache>
            </c:strRef>
          </c:cat>
          <c:val>
            <c:numRef>
              <c:f>müsvedde!$H$39:$H$69</c:f>
              <c:numCache>
                <c:formatCode>#,##0.0</c:formatCode>
                <c:ptCount val="31"/>
                <c:pt idx="0">
                  <c:v>12.264979538385989</c:v>
                </c:pt>
                <c:pt idx="1">
                  <c:v>13.633510825982359</c:v>
                </c:pt>
                <c:pt idx="2">
                  <c:v>14.424315580067478</c:v>
                </c:pt>
                <c:pt idx="3">
                  <c:v>6.9472737437516443</c:v>
                </c:pt>
                <c:pt idx="4">
                  <c:v>5.7888266002254252</c:v>
                </c:pt>
                <c:pt idx="5">
                  <c:v>7.1876397107166312</c:v>
                </c:pt>
                <c:pt idx="6">
                  <c:v>9.3700571712721104</c:v>
                </c:pt>
                <c:pt idx="7">
                  <c:v>17.432482997996441</c:v>
                </c:pt>
                <c:pt idx="8">
                  <c:v>18.608295255378422</c:v>
                </c:pt>
                <c:pt idx="9">
                  <c:v>18.092319139271197</c:v>
                </c:pt>
                <c:pt idx="10">
                  <c:v>21.311355995934502</c:v>
                </c:pt>
                <c:pt idx="11">
                  <c:v>20.638448118301902</c:v>
                </c:pt>
                <c:pt idx="12">
                  <c:v>20.01734639569494</c:v>
                </c:pt>
                <c:pt idx="13">
                  <c:v>21.730014247586944</c:v>
                </c:pt>
                <c:pt idx="14">
                  <c:v>20.321008551013239</c:v>
                </c:pt>
                <c:pt idx="15">
                  <c:v>17.439057544177615</c:v>
                </c:pt>
                <c:pt idx="16">
                  <c:v>15.724288378311812</c:v>
                </c:pt>
                <c:pt idx="17">
                  <c:v>16.026945009504118</c:v>
                </c:pt>
                <c:pt idx="18">
                  <c:v>16.37868804619945</c:v>
                </c:pt>
                <c:pt idx="19">
                  <c:v>17.056292983896075</c:v>
                </c:pt>
                <c:pt idx="20">
                  <c:v>18.847745472134143</c:v>
                </c:pt>
                <c:pt idx="21">
                  <c:v>19.34801986501974</c:v>
                </c:pt>
                <c:pt idx="22">
                  <c:v>19.188054823013783</c:v>
                </c:pt>
                <c:pt idx="23">
                  <c:v>17.99801165264034</c:v>
                </c:pt>
                <c:pt idx="24">
                  <c:v>17.554972144455455</c:v>
                </c:pt>
                <c:pt idx="25">
                  <c:v>16.890528521884494</c:v>
                </c:pt>
                <c:pt idx="26">
                  <c:v>15.963617599314015</c:v>
                </c:pt>
                <c:pt idx="27">
                  <c:v>15.634319587068319</c:v>
                </c:pt>
                <c:pt idx="28">
                  <c:v>15.512104471130053</c:v>
                </c:pt>
                <c:pt idx="29">
                  <c:v>14.719921986219465</c:v>
                </c:pt>
                <c:pt idx="30">
                  <c:v>14.257134023243548</c:v>
                </c:pt>
              </c:numCache>
            </c:numRef>
          </c:val>
          <c:smooth val="0"/>
        </c:ser>
        <c:dLbls>
          <c:showLegendKey val="0"/>
          <c:showVal val="0"/>
          <c:showCatName val="0"/>
          <c:showSerName val="0"/>
          <c:showPercent val="0"/>
          <c:showBubbleSize val="0"/>
        </c:dLbls>
        <c:marker val="1"/>
        <c:smooth val="0"/>
        <c:axId val="114563328"/>
        <c:axId val="114565120"/>
      </c:lineChart>
      <c:catAx>
        <c:axId val="114559616"/>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114561408"/>
        <c:crosses val="autoZero"/>
        <c:auto val="0"/>
        <c:lblAlgn val="ctr"/>
        <c:lblOffset val="100"/>
        <c:tickLblSkip val="3"/>
        <c:tickMarkSkip val="1"/>
        <c:noMultiLvlLbl val="0"/>
      </c:catAx>
      <c:valAx>
        <c:axId val="114561408"/>
        <c:scaling>
          <c:orientation val="minMax"/>
        </c:scaling>
        <c:delete val="0"/>
        <c:axPos val="l"/>
        <c:majorGridlines>
          <c:spPr>
            <a:ln w="3175">
              <a:solidFill>
                <a:srgbClr val="000000"/>
              </a:solidFill>
              <a:prstDash val="sysDash"/>
            </a:ln>
          </c:spPr>
        </c:majorGridlines>
        <c:title>
          <c:tx>
            <c:rich>
              <a:bodyPr rot="0" vert="horz"/>
              <a:lstStyle/>
              <a:p>
                <a:pPr algn="ctr">
                  <a:defRPr sz="900" b="0" i="0" u="none" strike="noStrike" baseline="0">
                    <a:solidFill>
                      <a:srgbClr val="000000"/>
                    </a:solidFill>
                    <a:latin typeface="Arial"/>
                    <a:ea typeface="Arial"/>
                    <a:cs typeface="Arial"/>
                  </a:defRPr>
                </a:pPr>
                <a:r>
                  <a:rPr lang="tr-TR"/>
                  <a:t>Milyon TL</a:t>
                </a:r>
              </a:p>
            </c:rich>
          </c:tx>
          <c:layout>
            <c:manualLayout>
              <c:xMode val="edge"/>
              <c:yMode val="edge"/>
              <c:x val="4.1121495327102804E-2"/>
              <c:y val="1.5576323987538941E-2"/>
            </c:manualLayout>
          </c:layout>
          <c:overlay val="0"/>
          <c:spPr>
            <a:noFill/>
            <a:ln w="25400">
              <a:noFill/>
            </a:ln>
          </c:spPr>
        </c:title>
        <c:numFmt formatCode="#,##0"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114559616"/>
        <c:crosses val="autoZero"/>
        <c:crossBetween val="between"/>
      </c:valAx>
      <c:catAx>
        <c:axId val="114563328"/>
        <c:scaling>
          <c:orientation val="minMax"/>
        </c:scaling>
        <c:delete val="1"/>
        <c:axPos val="b"/>
        <c:majorTickMark val="out"/>
        <c:minorTickMark val="none"/>
        <c:tickLblPos val="nextTo"/>
        <c:crossAx val="114565120"/>
        <c:crosses val="autoZero"/>
        <c:auto val="0"/>
        <c:lblAlgn val="ctr"/>
        <c:lblOffset val="100"/>
        <c:noMultiLvlLbl val="0"/>
      </c:catAx>
      <c:valAx>
        <c:axId val="114565120"/>
        <c:scaling>
          <c:orientation val="minMax"/>
        </c:scaling>
        <c:delete val="0"/>
        <c:axPos val="r"/>
        <c:title>
          <c:tx>
            <c:rich>
              <a:bodyPr rot="0" vert="horz"/>
              <a:lstStyle/>
              <a:p>
                <a:pPr algn="ctr">
                  <a:defRPr sz="900" b="0" i="0" u="none" strike="noStrike" baseline="0">
                    <a:solidFill>
                      <a:srgbClr val="000000"/>
                    </a:solidFill>
                    <a:latin typeface="Arial"/>
                    <a:ea typeface="Arial"/>
                    <a:cs typeface="Arial"/>
                  </a:defRPr>
                </a:pPr>
                <a:r>
                  <a:rPr lang="tr-TR"/>
                  <a:t>yüzde</a:t>
                </a:r>
              </a:p>
            </c:rich>
          </c:tx>
          <c:layout>
            <c:manualLayout>
              <c:xMode val="edge"/>
              <c:yMode val="edge"/>
              <c:x val="0.91215031765889076"/>
              <c:y val="1.5576323987538941E-2"/>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114563328"/>
        <c:crosses val="max"/>
        <c:crossBetween val="between"/>
      </c:valAx>
      <c:spPr>
        <a:solidFill>
          <a:srgbClr val="FFFFFF"/>
        </a:solidFill>
        <a:ln w="12700">
          <a:solidFill>
            <a:srgbClr val="808080"/>
          </a:solidFill>
          <a:prstDash val="solid"/>
        </a:ln>
      </c:spPr>
    </c:plotArea>
    <c:legend>
      <c:legendPos val="b"/>
      <c:layout>
        <c:manualLayout>
          <c:xMode val="edge"/>
          <c:yMode val="edge"/>
          <c:x val="0.23177589717173203"/>
          <c:y val="0.9003141429751188"/>
          <c:w val="0.5962622709544485"/>
          <c:h val="6.2305623012076761E-2"/>
        </c:manualLayout>
      </c:layout>
      <c:overlay val="0"/>
      <c:spPr>
        <a:solidFill>
          <a:srgbClr val="FFFFFF"/>
        </a:solidFill>
        <a:ln w="3175">
          <a:noFill/>
          <a:prstDash val="solid"/>
        </a:ln>
      </c:spPr>
      <c:txPr>
        <a:bodyPr/>
        <a:lstStyle/>
        <a:p>
          <a:pPr>
            <a:defRPr sz="825" b="0" i="0" u="none" strike="noStrike" baseline="0">
              <a:solidFill>
                <a:srgbClr val="000000"/>
              </a:solidFill>
              <a:latin typeface="Arial"/>
              <a:ea typeface="Arial"/>
              <a:cs typeface="Arial"/>
            </a:defRPr>
          </a:pPr>
          <a:endParaRPr lang="tr-TR"/>
        </a:p>
      </c:txPr>
    </c:legend>
    <c:plotVisOnly val="1"/>
    <c:dispBlanksAs val="gap"/>
    <c:showDLblsOverMax val="0"/>
  </c:chart>
  <c:txPr>
    <a:bodyPr/>
    <a:lstStyle/>
    <a:p>
      <a:pPr>
        <a:defRPr sz="1000" b="0" i="0" u="none" strike="noStrike" baseline="0">
          <a:solidFill>
            <a:srgbClr val="000000"/>
          </a:solidFill>
          <a:latin typeface="Arial"/>
          <a:ea typeface="Arial"/>
          <a:cs typeface="Arial"/>
        </a:defRPr>
      </a:pPr>
      <a:endParaRPr lang="tr-T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7EE0E-CC99-448B-8216-FD6874971DF9}">
  <ds:schemaRefs>
    <ds:schemaRef ds:uri="http://purl.org/dc/elements/1.1/"/>
    <ds:schemaRef ds:uri="http://schemas.microsoft.com/office/2006/documentManagement/types"/>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D5892A2-4DF7-4398-AE5B-1F1573C50BA1}">
  <ds:schemaRefs>
    <ds:schemaRef ds:uri="http://schemas.microsoft.com/sharepoint/v3/contenttype/forms"/>
  </ds:schemaRefs>
</ds:datastoreItem>
</file>

<file path=customXml/itemProps3.xml><?xml version="1.0" encoding="utf-8"?>
<ds:datastoreItem xmlns:ds="http://schemas.openxmlformats.org/officeDocument/2006/customXml" ds:itemID="{88080A7A-C042-470D-B646-5CE1B81C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967662F-C1C5-47EB-9641-204AD216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4234</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İMKB’de İşlem Gören Ticaret Bankaları</vt:lpstr>
    </vt:vector>
  </TitlesOfParts>
  <Company>A</Company>
  <LinksUpToDate>false</LinksUpToDate>
  <CharactersWithSpaces>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İMKB’de İşlem Gören Ticaret Bankaları</dc:title>
  <dc:creator>gKilinc</dc:creator>
  <cp:lastModifiedBy>Aslı Özaktan</cp:lastModifiedBy>
  <cp:revision>2</cp:revision>
  <cp:lastPrinted>2012-05-22T08:24:00Z</cp:lastPrinted>
  <dcterms:created xsi:type="dcterms:W3CDTF">2012-08-17T07:13:00Z</dcterms:created>
  <dcterms:modified xsi:type="dcterms:W3CDTF">2012-08-17T07:13:00Z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