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B4" w:rsidRPr="00B22B67" w:rsidRDefault="007176B4" w:rsidP="00D416CA">
      <w:pPr>
        <w:pStyle w:val="Title"/>
        <w:jc w:val="left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4723E4" w:rsidRPr="00B22B67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4723E4" w:rsidRPr="00B22B67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154624" w:rsidRPr="00777A17" w:rsidRDefault="00154624" w:rsidP="00D34B4A">
      <w:pPr>
        <w:pStyle w:val="Title"/>
        <w:rPr>
          <w:rFonts w:ascii="Arial" w:hAnsi="Arial" w:cs="Arial"/>
          <w:color w:val="000000" w:themeColor="text1"/>
          <w:sz w:val="26"/>
          <w:szCs w:val="26"/>
        </w:rPr>
      </w:pPr>
      <w:r w:rsidRPr="00777A17">
        <w:rPr>
          <w:rFonts w:ascii="Arial" w:hAnsi="Arial" w:cs="Arial"/>
          <w:color w:val="000000" w:themeColor="text1"/>
          <w:sz w:val="26"/>
          <w:szCs w:val="26"/>
        </w:rPr>
        <w:t>Borsa İstanbul’da</w:t>
      </w:r>
      <w:r w:rsidR="00D734D4" w:rsidRPr="00777A17">
        <w:rPr>
          <w:rFonts w:ascii="Arial" w:hAnsi="Arial" w:cs="Arial"/>
          <w:color w:val="000000" w:themeColor="text1"/>
          <w:sz w:val="26"/>
          <w:szCs w:val="26"/>
        </w:rPr>
        <w:t xml:space="preserve"> (</w:t>
      </w:r>
      <w:r w:rsidRPr="00777A17">
        <w:rPr>
          <w:rFonts w:ascii="Arial" w:hAnsi="Arial" w:cs="Arial"/>
          <w:color w:val="000000" w:themeColor="text1"/>
          <w:sz w:val="26"/>
          <w:szCs w:val="26"/>
        </w:rPr>
        <w:t>BIST</w:t>
      </w:r>
      <w:r w:rsidR="00D734D4" w:rsidRPr="00777A17">
        <w:rPr>
          <w:rFonts w:ascii="Arial" w:hAnsi="Arial" w:cs="Arial"/>
          <w:color w:val="000000" w:themeColor="text1"/>
          <w:sz w:val="26"/>
          <w:szCs w:val="26"/>
        </w:rPr>
        <w:t>)</w:t>
      </w:r>
      <w:r w:rsidR="007060EC" w:rsidRPr="00777A17">
        <w:rPr>
          <w:rFonts w:ascii="Arial" w:hAnsi="Arial" w:cs="Arial"/>
          <w:color w:val="000000" w:themeColor="text1"/>
          <w:sz w:val="26"/>
          <w:szCs w:val="26"/>
        </w:rPr>
        <w:t xml:space="preserve"> İşlem Gören Mevduat Bankaları, </w:t>
      </w:r>
    </w:p>
    <w:p w:rsidR="00544DFA" w:rsidRPr="00777A17" w:rsidRDefault="00F47596" w:rsidP="00D34B4A">
      <w:pPr>
        <w:pStyle w:val="Title"/>
        <w:rPr>
          <w:rFonts w:ascii="Arial" w:hAnsi="Arial" w:cs="Arial"/>
          <w:color w:val="000000" w:themeColor="text1"/>
          <w:sz w:val="26"/>
          <w:szCs w:val="26"/>
        </w:rPr>
      </w:pPr>
      <w:r w:rsidRPr="00777A17">
        <w:rPr>
          <w:rFonts w:ascii="Arial" w:hAnsi="Arial" w:cs="Arial"/>
          <w:color w:val="000000" w:themeColor="text1"/>
          <w:sz w:val="26"/>
          <w:szCs w:val="26"/>
        </w:rPr>
        <w:t>Eylül</w:t>
      </w:r>
      <w:r w:rsidR="00B20EB2" w:rsidRPr="00777A1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7060EC" w:rsidRPr="00777A17">
        <w:rPr>
          <w:rFonts w:ascii="Arial" w:hAnsi="Arial" w:cs="Arial"/>
          <w:color w:val="000000" w:themeColor="text1"/>
          <w:sz w:val="26"/>
          <w:szCs w:val="26"/>
        </w:rPr>
        <w:t>20</w:t>
      </w:r>
      <w:r w:rsidR="00290CE8" w:rsidRPr="00777A17">
        <w:rPr>
          <w:rFonts w:ascii="Arial" w:hAnsi="Arial" w:cs="Arial"/>
          <w:color w:val="000000" w:themeColor="text1"/>
          <w:sz w:val="26"/>
          <w:szCs w:val="26"/>
        </w:rPr>
        <w:t>1</w:t>
      </w:r>
      <w:r w:rsidR="00B20EB2" w:rsidRPr="00777A17">
        <w:rPr>
          <w:rFonts w:ascii="Arial" w:hAnsi="Arial" w:cs="Arial"/>
          <w:color w:val="000000" w:themeColor="text1"/>
          <w:sz w:val="26"/>
          <w:szCs w:val="26"/>
        </w:rPr>
        <w:t>3</w:t>
      </w:r>
      <w:r w:rsidR="00932962" w:rsidRPr="00777A17">
        <w:rPr>
          <w:rStyle w:val="FootnoteReference"/>
          <w:rFonts w:ascii="Arial" w:hAnsi="Arial" w:cs="Arial"/>
          <w:color w:val="000000" w:themeColor="text1"/>
          <w:sz w:val="26"/>
          <w:szCs w:val="26"/>
        </w:rPr>
        <w:footnoteReference w:id="1"/>
      </w:r>
    </w:p>
    <w:p w:rsidR="004440D6" w:rsidRPr="00777A17" w:rsidRDefault="004440D6" w:rsidP="00544DFA">
      <w:pPr>
        <w:pStyle w:val="Subtitle"/>
        <w:rPr>
          <w:rFonts w:ascii="Arial" w:hAnsi="Arial" w:cs="Arial"/>
          <w:color w:val="000000" w:themeColor="text1"/>
          <w:szCs w:val="24"/>
        </w:rPr>
      </w:pPr>
      <w:bookmarkStart w:id="1" w:name="OLE_LINK3"/>
      <w:bookmarkStart w:id="2" w:name="OLE_LINK4"/>
    </w:p>
    <w:p w:rsidR="00544DFA" w:rsidRPr="00777A17" w:rsidRDefault="00D34B4A" w:rsidP="00544DFA">
      <w:pPr>
        <w:pStyle w:val="Subtitle"/>
        <w:rPr>
          <w:rFonts w:ascii="Arial" w:hAnsi="Arial" w:cs="Arial"/>
          <w:color w:val="000000" w:themeColor="text1"/>
          <w:szCs w:val="24"/>
        </w:rPr>
      </w:pPr>
      <w:r w:rsidRPr="00777A17">
        <w:rPr>
          <w:rFonts w:ascii="Arial" w:hAnsi="Arial" w:cs="Arial"/>
          <w:color w:val="000000" w:themeColor="text1"/>
          <w:szCs w:val="24"/>
        </w:rPr>
        <w:t>1</w:t>
      </w:r>
      <w:r w:rsidR="00A97252" w:rsidRPr="00777A17">
        <w:rPr>
          <w:rFonts w:ascii="Arial" w:hAnsi="Arial" w:cs="Arial"/>
          <w:color w:val="000000" w:themeColor="text1"/>
          <w:szCs w:val="24"/>
        </w:rPr>
        <w:t xml:space="preserve">. </w:t>
      </w:r>
      <w:r w:rsidR="00154624" w:rsidRPr="00777A17">
        <w:rPr>
          <w:rFonts w:ascii="Arial" w:hAnsi="Arial" w:cs="Arial"/>
          <w:color w:val="000000" w:themeColor="text1"/>
          <w:szCs w:val="24"/>
        </w:rPr>
        <w:t>BIST</w:t>
      </w:r>
      <w:r w:rsidR="00544DFA" w:rsidRPr="00777A17">
        <w:rPr>
          <w:rFonts w:ascii="Arial" w:hAnsi="Arial" w:cs="Arial"/>
          <w:color w:val="000000" w:themeColor="text1"/>
          <w:szCs w:val="24"/>
        </w:rPr>
        <w:t>’de İ</w:t>
      </w:r>
      <w:r w:rsidR="002C5A1A" w:rsidRPr="00777A17">
        <w:rPr>
          <w:rFonts w:ascii="Arial" w:hAnsi="Arial" w:cs="Arial"/>
          <w:color w:val="000000" w:themeColor="text1"/>
          <w:szCs w:val="24"/>
        </w:rPr>
        <w:t>şlem Gören Mevduat Bankalarının</w:t>
      </w:r>
      <w:r w:rsidR="00544DFA" w:rsidRPr="00777A17">
        <w:rPr>
          <w:rFonts w:ascii="Arial" w:hAnsi="Arial" w:cs="Arial"/>
          <w:color w:val="000000" w:themeColor="text1"/>
          <w:szCs w:val="24"/>
        </w:rPr>
        <w:t xml:space="preserve"> Bankacılık Sektörü İçindeki Yeri</w:t>
      </w:r>
    </w:p>
    <w:p w:rsidR="00544DFA" w:rsidRPr="00777A17" w:rsidRDefault="00544DFA" w:rsidP="00544DFA">
      <w:pPr>
        <w:pStyle w:val="Subtitle"/>
        <w:rPr>
          <w:rFonts w:ascii="Arial" w:hAnsi="Arial" w:cs="Arial"/>
          <w:color w:val="000000" w:themeColor="text1"/>
          <w:sz w:val="22"/>
          <w:szCs w:val="22"/>
        </w:rPr>
      </w:pPr>
    </w:p>
    <w:p w:rsidR="00544DFA" w:rsidRPr="00777A17" w:rsidRDefault="00965490" w:rsidP="00544DFA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B20EB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2013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itibariyle, </w:t>
      </w:r>
      <w:r w:rsidR="0070101B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BIST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’de işlem gören mevduat banka</w:t>
      </w:r>
      <w:r w:rsidR="009F29D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sı sayısı 12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olmuştur.</w:t>
      </w:r>
      <w:r w:rsidR="00DF1B8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Bu bankalar,</w:t>
      </w:r>
      <w:r w:rsidR="004D17D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8</w:t>
      </w:r>
      <w:r w:rsidR="00D5004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176</w:t>
      </w:r>
      <w:r w:rsidR="00AD1B4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şube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ve 146</w:t>
      </w:r>
      <w:r w:rsidR="00D5004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727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personel ile sektördeki </w:t>
      </w:r>
      <w:r w:rsidR="006D04A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şubelerin </w:t>
      </w:r>
      <w:r w:rsidR="0070101B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75</w:t>
      </w:r>
      <w:r w:rsidR="0048538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’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ine</w:t>
      </w:r>
      <w:r w:rsidR="00BF033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72685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sahipti</w:t>
      </w:r>
      <w:r w:rsidR="00005663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r</w:t>
      </w:r>
      <w:r w:rsidR="0072685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ler ve </w:t>
      </w:r>
      <w:r w:rsidR="006D04A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personelin yüzde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75’ini</w:t>
      </w:r>
      <w:r w:rsidR="0072685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istihdam etmektedirler.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</w:p>
    <w:p w:rsidR="0072685A" w:rsidRPr="00777A17" w:rsidRDefault="0072685A" w:rsidP="00544DFA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544DFA" w:rsidRPr="00777A17" w:rsidRDefault="0070101B" w:rsidP="00544DFA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BIST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’de işlem gören mevduat bankalarının, 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Haziran</w:t>
      </w:r>
      <w:r w:rsidR="007B2B4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2013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itibariyle, sektör toplam </w:t>
      </w:r>
      <w:r w:rsidR="008A402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aktifleri içindeki payı yüzde</w:t>
      </w:r>
      <w:r w:rsidR="0011016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7</w:t>
      </w:r>
      <w:r w:rsidR="007B2B4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6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 toplam</w:t>
      </w:r>
      <w:r w:rsidR="0060121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kredil</w:t>
      </w:r>
      <w:r w:rsidR="00694C7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er içindeki payı yüzde </w:t>
      </w:r>
      <w:r w:rsidR="008A479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8</w:t>
      </w:r>
      <w:r w:rsidR="00C9361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ve topla</w:t>
      </w:r>
      <w:r w:rsidR="00710A7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m mevduat içindeki payı yüzde </w:t>
      </w:r>
      <w:r w:rsidR="008A479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8</w:t>
      </w:r>
      <w:r w:rsidR="00814A2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544DF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olmuştur.</w:t>
      </w:r>
    </w:p>
    <w:p w:rsidR="00544DFA" w:rsidRPr="00777A17" w:rsidRDefault="00544DFA" w:rsidP="00544DF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73BB1" w:rsidRPr="00777A17" w:rsidRDefault="005839EF" w:rsidP="00373BB1">
      <w:pPr>
        <w:pStyle w:val="Subtitle"/>
        <w:rPr>
          <w:rFonts w:ascii="Arial" w:hAnsi="Arial" w:cs="Arial"/>
          <w:color w:val="000000" w:themeColor="text1"/>
          <w:szCs w:val="24"/>
        </w:rPr>
      </w:pPr>
      <w:r w:rsidRPr="00777A17">
        <w:rPr>
          <w:rFonts w:ascii="Arial" w:hAnsi="Arial" w:cs="Arial"/>
          <w:color w:val="000000" w:themeColor="text1"/>
          <w:szCs w:val="24"/>
        </w:rPr>
        <w:t>2</w:t>
      </w:r>
      <w:r w:rsidR="00A97252" w:rsidRPr="00777A17">
        <w:rPr>
          <w:rFonts w:ascii="Arial" w:hAnsi="Arial" w:cs="Arial"/>
          <w:color w:val="000000" w:themeColor="text1"/>
          <w:szCs w:val="24"/>
        </w:rPr>
        <w:t xml:space="preserve">. </w:t>
      </w:r>
      <w:r w:rsidR="0070101B" w:rsidRPr="00777A17">
        <w:rPr>
          <w:rFonts w:ascii="Arial" w:hAnsi="Arial" w:cs="Arial"/>
          <w:color w:val="000000" w:themeColor="text1"/>
          <w:szCs w:val="24"/>
        </w:rPr>
        <w:t>BIST</w:t>
      </w:r>
      <w:r w:rsidR="00373BB1" w:rsidRPr="00777A17">
        <w:rPr>
          <w:rFonts w:ascii="Arial" w:hAnsi="Arial" w:cs="Arial"/>
          <w:color w:val="000000" w:themeColor="text1"/>
          <w:szCs w:val="24"/>
        </w:rPr>
        <w:t>’de İşlem Gören Mevduat Bankalarındaki Gelişmeler</w:t>
      </w:r>
    </w:p>
    <w:p w:rsidR="00373BB1" w:rsidRPr="00777A17" w:rsidRDefault="00373BB1" w:rsidP="00373BB1">
      <w:pPr>
        <w:pStyle w:val="Subtitle"/>
        <w:rPr>
          <w:rFonts w:ascii="Arial" w:hAnsi="Arial" w:cs="Arial"/>
          <w:color w:val="000000" w:themeColor="text1"/>
          <w:sz w:val="22"/>
          <w:szCs w:val="22"/>
        </w:rPr>
      </w:pPr>
    </w:p>
    <w:p w:rsidR="00373BB1" w:rsidRPr="00777A17" w:rsidRDefault="0070101B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BIST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’de işlem gören mevduat bankalarının toplam aktifleri</w:t>
      </w:r>
      <w:r w:rsidR="00583A9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EC68B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AC226D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87259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201</w:t>
      </w:r>
      <w:r w:rsidR="007B2B4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583A9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itibariyle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bir yıl önceye göre yüzde </w:t>
      </w:r>
      <w:r w:rsidR="00EC68B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24</w:t>
      </w:r>
      <w:r w:rsidR="0069440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artarak, </w:t>
      </w:r>
      <w:r w:rsidR="00EC68B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1.173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milyar TL’ye yükselmiştir. </w:t>
      </w:r>
    </w:p>
    <w:p w:rsidR="00373BB1" w:rsidRPr="00777A17" w:rsidRDefault="00373BB1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373BB1" w:rsidRPr="00777A17" w:rsidRDefault="00373BB1" w:rsidP="00373BB1">
      <w:pPr>
        <w:pStyle w:val="Subtitle"/>
        <w:jc w:val="center"/>
        <w:rPr>
          <w:rFonts w:ascii="Arial" w:hAnsi="Arial" w:cs="Arial"/>
          <w:color w:val="000000" w:themeColor="text1"/>
          <w:szCs w:val="24"/>
        </w:rPr>
      </w:pPr>
      <w:r w:rsidRPr="00777A17">
        <w:rPr>
          <w:rFonts w:ascii="Arial" w:hAnsi="Arial" w:cs="Arial"/>
          <w:color w:val="000000" w:themeColor="text1"/>
          <w:szCs w:val="24"/>
        </w:rPr>
        <w:t>Aktif Kalemlerdeki Gelişmeler (Milyon TL)</w:t>
      </w:r>
    </w:p>
    <w:p w:rsidR="00315335" w:rsidRPr="00777A17" w:rsidRDefault="00315335" w:rsidP="00373BB1">
      <w:pPr>
        <w:pStyle w:val="Subtitle"/>
        <w:jc w:val="center"/>
        <w:rPr>
          <w:rFonts w:ascii="Arial" w:hAnsi="Arial" w:cs="Arial"/>
          <w:color w:val="000000" w:themeColor="text1"/>
          <w:szCs w:val="24"/>
        </w:rPr>
      </w:pP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030"/>
        <w:gridCol w:w="1196"/>
        <w:gridCol w:w="325"/>
        <w:gridCol w:w="1276"/>
        <w:gridCol w:w="1418"/>
      </w:tblGrid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FE1947" w:rsidP="008610C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6F3695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FE1947" w:rsidP="008610C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6F3695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Yıllık yüzde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Yüzde pay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2013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2012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8610C7" w:rsidP="008610C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değişme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10C7" w:rsidRPr="00777A17" w:rsidRDefault="00FE1947" w:rsidP="008610C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6F3695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  <w:r w:rsidR="008610C7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2013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Likit aktifler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164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061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119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876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4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Menkul değerler cüzdanı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215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849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208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="006F3695" w:rsidRPr="00777A17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86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6F3695"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6F3695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8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Krediler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740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775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580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068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6F3695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-Takipteki krediler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21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17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404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-Özel karşılıklar (-)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="006F369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584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highlight w:val="yellow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13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568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Duran aktifler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4205F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30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558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4205F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27.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900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Diğer aktifler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05F5" w:rsidRPr="00777A17" w:rsidRDefault="00FE1947" w:rsidP="004205F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22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175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4205F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12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530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6F3695"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Toplam aktifler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1.173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419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949</w:t>
            </w:r>
            <w:r w:rsidR="006F369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060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100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767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806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640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857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</w:tr>
      <w:tr w:rsidR="00777A17" w:rsidRPr="00777A17" w:rsidTr="006F175C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405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613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308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203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4205F5" w:rsidP="008610C7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FE1947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205F5" w:rsidRPr="00777A17" w:rsidRDefault="00C56A04" w:rsidP="008610C7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4205F5"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  <w:r w:rsidR="00FE1947" w:rsidRPr="00777A17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</w:tr>
    </w:tbl>
    <w:p w:rsidR="00373BB1" w:rsidRPr="00777A17" w:rsidRDefault="00373BB1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6D7755" w:rsidRPr="00777A17" w:rsidRDefault="00373BB1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Bir yıl önceye göre,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8610C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2013</w:t>
      </w:r>
      <w:r w:rsidR="00A4454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itibariyle likit aktifler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56717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37</w:t>
      </w:r>
      <w:r w:rsidR="00A4454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1D540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büyümüştür</w:t>
      </w:r>
      <w:r w:rsidR="00A4454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31533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Menkul değerler cüzdanı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yüzde </w:t>
      </w:r>
      <w:r w:rsidR="0060518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1D540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, </w:t>
      </w:r>
      <w:r w:rsidR="00CA32CB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kredil</w:t>
      </w:r>
      <w:r w:rsidR="00A4454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er </w:t>
      </w:r>
      <w:r w:rsidR="00F16D4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ise </w:t>
      </w:r>
      <w:r w:rsidR="00A4454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28</w:t>
      </w:r>
      <w:r w:rsidR="0031533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oranında artmıştır</w:t>
      </w:r>
      <w:r w:rsidR="006538F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  <w:r w:rsidR="001D540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2F24C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Kredi büyümesi bilanço büyümesi üzerinde belirleyici rol oynamıştır.</w:t>
      </w:r>
    </w:p>
    <w:p w:rsidR="001D540E" w:rsidRPr="00777A17" w:rsidRDefault="001D540E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373BB1" w:rsidRPr="00777A17" w:rsidRDefault="006538FE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Yıllık bazda bakıldığında, k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redilerin toplam</w:t>
      </w:r>
      <w:r w:rsidR="001D745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aktifler içi</w:t>
      </w:r>
      <w:r w:rsidR="007526A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ndeki payı yüzde </w:t>
      </w:r>
      <w:r w:rsidR="008D3FC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6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’</w:t>
      </w:r>
      <w:r w:rsidR="008D3FC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</w:t>
      </w:r>
      <w:r w:rsidR="0083473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543A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yükselmiştir</w:t>
      </w:r>
      <w:r w:rsidR="0083473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. 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Takipteki krediler</w:t>
      </w:r>
      <w:r w:rsidR="001D745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31533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21</w:t>
      </w:r>
      <w:r w:rsidR="00C87E78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83473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özel karşılıklar </w:t>
      </w:r>
      <w:r w:rsidR="00DD33E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ise 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22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oranında </w:t>
      </w:r>
      <w:r w:rsidR="008D3FC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artmıştır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. Özel karşılıkların takipteki kr</w:t>
      </w:r>
      <w:r w:rsidR="00532BF8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dileri k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arşılama oranı yüzde 79</w:t>
      </w:r>
      <w:r w:rsidR="00373BB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83473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olmuştur. 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Tahsili gecikmiş alacakların kredilere oranı</w:t>
      </w:r>
      <w:r w:rsidR="00301D4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(brüt)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C87E78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201</w:t>
      </w:r>
      <w:r w:rsidR="00AE635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</w:t>
      </w:r>
      <w:r w:rsidR="005C39D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tarihine göre 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önemli bir değişiklik göstermemiş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ve</w:t>
      </w:r>
      <w:r w:rsidR="007526A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7526A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C87E78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201</w:t>
      </w:r>
      <w:r w:rsidR="00AE635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1D540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itibariyle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7F5D5D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AE635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düzeyinde 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lastRenderedPageBreak/>
        <w:t xml:space="preserve">gerçekleşmiştir. </w:t>
      </w:r>
      <w:r w:rsidR="005C39D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Toplam kredilerin yüzde 1</w:t>
      </w:r>
      <w:r w:rsidR="002D67D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’</w:t>
      </w:r>
      <w:r w:rsidR="0013152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i</w:t>
      </w:r>
      <w:r w:rsidR="00FC00BB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(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7</w:t>
      </w:r>
      <w:r w:rsidR="0013152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9</w:t>
      </w:r>
      <w:r w:rsidR="002D67D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milyar TL) bankanın dahil olduğu risk grubuna aittir.  </w:t>
      </w:r>
    </w:p>
    <w:p w:rsidR="00373BB1" w:rsidRPr="00777A17" w:rsidRDefault="00373BB1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373BB1" w:rsidRPr="00777A17" w:rsidRDefault="00373BB1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TL mevduat, geçen y</w:t>
      </w:r>
      <w:r w:rsidR="00CA32CB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ılın aynı dönemine göre yüzd</w:t>
      </w:r>
      <w:r w:rsidR="001D745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e </w:t>
      </w:r>
      <w:r w:rsidR="00D9497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</w:t>
      </w:r>
      <w:r w:rsidR="00E14E9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6</w:t>
      </w:r>
      <w:r w:rsidR="001D000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oranında, YP mevduatın TL karşılığı ise yüzde </w:t>
      </w:r>
      <w:r w:rsidR="00E14E9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29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oranında artmıştır. </w:t>
      </w:r>
      <w:r w:rsidR="00C4175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Toplam </w:t>
      </w:r>
      <w:r w:rsidR="00240C2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mevduatın yüzde 4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240C2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’ü</w:t>
      </w:r>
      <w:r w:rsidR="00A05A4D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(</w:t>
      </w:r>
      <w:r w:rsidR="0013152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8</w:t>
      </w:r>
      <w:r w:rsidR="00F62EE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,2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A7328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milyar TL) bankanın dahil ol</w:t>
      </w:r>
      <w:r w:rsidR="002D67D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duğu risk grubuna aittir.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</w:p>
    <w:p w:rsidR="005F72BB" w:rsidRPr="00777A17" w:rsidRDefault="005F72BB" w:rsidP="00373BB1">
      <w:pPr>
        <w:pStyle w:val="Subtitle"/>
        <w:rPr>
          <w:rFonts w:ascii="Arial" w:hAnsi="Arial" w:cs="Arial"/>
          <w:color w:val="000000" w:themeColor="text1"/>
          <w:szCs w:val="24"/>
        </w:rPr>
      </w:pPr>
    </w:p>
    <w:p w:rsidR="002D67D5" w:rsidRPr="00777A17" w:rsidRDefault="002D67D5" w:rsidP="005E3060">
      <w:pPr>
        <w:pStyle w:val="Subtitle"/>
        <w:jc w:val="center"/>
        <w:rPr>
          <w:rFonts w:ascii="Arial" w:hAnsi="Arial" w:cs="Arial"/>
          <w:color w:val="000000" w:themeColor="text1"/>
          <w:szCs w:val="24"/>
        </w:rPr>
      </w:pPr>
      <w:r w:rsidRPr="00777A17">
        <w:rPr>
          <w:rFonts w:ascii="Arial" w:hAnsi="Arial" w:cs="Arial"/>
          <w:color w:val="000000" w:themeColor="text1"/>
          <w:szCs w:val="24"/>
        </w:rPr>
        <w:t>Pasif Kalemlerdeki Gelişmeler (Milyon TL)</w:t>
      </w:r>
    </w:p>
    <w:p w:rsidR="005F72BB" w:rsidRPr="00777A17" w:rsidRDefault="005F72BB" w:rsidP="005E3060">
      <w:pPr>
        <w:pStyle w:val="Subtitle"/>
        <w:jc w:val="center"/>
        <w:rPr>
          <w:rFonts w:ascii="Arial" w:hAnsi="Arial" w:cs="Arial"/>
          <w:color w:val="000000" w:themeColor="text1"/>
          <w:szCs w:val="24"/>
        </w:rPr>
      </w:pP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030"/>
        <w:gridCol w:w="960"/>
        <w:gridCol w:w="325"/>
        <w:gridCol w:w="1701"/>
        <w:gridCol w:w="1417"/>
      </w:tblGrid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D69CF" w:rsidP="000D69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F3289" w:rsidP="000D69C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69499C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F3289" w:rsidP="000D69C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69499C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D69CF" w:rsidP="000D69C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D69CF" w:rsidP="000D69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12 aylık yüzde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D69CF" w:rsidP="000D69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Yüzde pay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D69CF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B13103" w:rsidP="003A4B0D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201</w:t>
            </w:r>
            <w:r w:rsidR="003A4B0D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B13103" w:rsidP="003A4B0D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201</w:t>
            </w:r>
            <w:r w:rsidR="003A4B0D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D69CF" w:rsidP="000D69C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D69CF" w:rsidP="000D69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değişme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D69CF" w:rsidRPr="00777A17" w:rsidRDefault="000F3289" w:rsidP="00091F8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69499C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  <w:r w:rsidR="00091F8C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</w:t>
            </w:r>
            <w:r w:rsidR="00B13103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201</w:t>
            </w:r>
            <w:r w:rsidR="00091F8C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3</w:t>
            </w:r>
            <w:r w:rsidR="000D69CF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 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>Mevduat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702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583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815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60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9A037A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429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371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7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45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7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273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69499C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21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2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070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>Mevduat dışı 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726C6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241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69499C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8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3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149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777A17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>SBK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3A4B0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16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3A4B0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7.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423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69499C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>Özkaynaklar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3A4B0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129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3A4B0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116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541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777A17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 xml:space="preserve">  Dönem Kar/zararı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3A4B0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15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12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660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>Diğer pasifler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53757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99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.5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65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556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8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>Toplam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53757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1.173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949</w:t>
            </w:r>
            <w:r w:rsidR="0069499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061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100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53757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702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597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334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0</w:t>
            </w:r>
          </w:p>
        </w:tc>
      </w:tr>
      <w:tr w:rsidR="00777A17" w:rsidRPr="00777A17" w:rsidTr="00DD33E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470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F3289" w:rsidP="000D69C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351</w:t>
            </w:r>
            <w:r w:rsidR="00091F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727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091F8C" w:rsidP="000D69CF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1F8C" w:rsidRPr="00777A17" w:rsidRDefault="004D5A79" w:rsidP="000D69C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0F3289" w:rsidRPr="00777A17">
              <w:rPr>
                <w:rFonts w:ascii="Arial" w:hAnsi="Arial" w:cs="Arial"/>
                <w:color w:val="000000" w:themeColor="text1"/>
                <w:sz w:val="20"/>
              </w:rPr>
              <w:t>40</w:t>
            </w:r>
          </w:p>
        </w:tc>
      </w:tr>
    </w:tbl>
    <w:p w:rsidR="002D67D5" w:rsidRPr="00777A17" w:rsidRDefault="002D67D5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234523" w:rsidRPr="00777A17" w:rsidRDefault="003D228A" w:rsidP="00234523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Mevduat dışı kaynaklar,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toplam kaynakların yüzde 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21’</w:t>
      </w:r>
      <w:r w:rsidR="00091F8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ini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oluşturmuştur. </w:t>
      </w:r>
      <w:r w:rsidR="0013152C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Ö</w:t>
      </w:r>
      <w:r w:rsidR="00427C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zkaynaklardaki artış hızı bilanço</w:t>
      </w:r>
      <w:r w:rsidR="00A47BD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nun gerisinde kalmıştır. </w:t>
      </w:r>
    </w:p>
    <w:p w:rsidR="005E3060" w:rsidRPr="00777A17" w:rsidRDefault="005E3060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373BB1" w:rsidRPr="00777A17" w:rsidRDefault="00373BB1" w:rsidP="00373BB1">
      <w:pPr>
        <w:pStyle w:val="Subtitle"/>
        <w:jc w:val="center"/>
        <w:rPr>
          <w:rFonts w:ascii="Arial" w:hAnsi="Arial" w:cs="Arial"/>
          <w:color w:val="000000" w:themeColor="text1"/>
          <w:szCs w:val="24"/>
        </w:rPr>
      </w:pPr>
      <w:r w:rsidRPr="00777A17">
        <w:rPr>
          <w:rFonts w:ascii="Arial" w:hAnsi="Arial" w:cs="Arial"/>
          <w:color w:val="000000" w:themeColor="text1"/>
          <w:szCs w:val="24"/>
        </w:rPr>
        <w:t>Seçilmiş Gelir-Gider Dengesi Kalemleri (Milyon TL)</w:t>
      </w:r>
    </w:p>
    <w:tbl>
      <w:tblPr>
        <w:tblW w:w="554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752"/>
        <w:gridCol w:w="971"/>
        <w:gridCol w:w="1156"/>
      </w:tblGrid>
      <w:tr w:rsidR="00777A17" w:rsidRPr="00777A17" w:rsidTr="00D06BF9">
        <w:trPr>
          <w:trHeight w:val="78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777A17" w:rsidRDefault="002C3493" w:rsidP="002C3493">
            <w:pPr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777A17" w:rsidRDefault="00E14E9C" w:rsidP="00D06BF9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130280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  <w:r w:rsidR="00D67174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201</w:t>
            </w:r>
            <w:r w:rsidR="00D06BF9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777A17" w:rsidRDefault="00E14E9C" w:rsidP="00D06BF9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Eyl</w:t>
            </w:r>
            <w:r w:rsidR="00130280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.</w:t>
            </w:r>
            <w:r w:rsidR="00D67174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201</w:t>
            </w:r>
            <w:r w:rsidR="00D06BF9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3493" w:rsidRPr="00777A17" w:rsidRDefault="002C3493" w:rsidP="002C3493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Yıllık yüzde değ.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Faiz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60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366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60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="00BB62C7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0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86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BB62C7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0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Faiz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DD6570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28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172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33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154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r w:rsidR="001A198C" w:rsidRPr="00777A17">
              <w:rPr>
                <w:rFonts w:ascii="Arial" w:hAnsi="Arial" w:cs="Arial"/>
                <w:color w:val="000000" w:themeColor="text1"/>
                <w:sz w:val="20"/>
              </w:rPr>
              <w:t>15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Net faiz geliri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091F8C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  <w:r w:rsidR="000A5B4D"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194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091F8C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26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932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0A5B4D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1A198C" w:rsidRPr="00777A17">
              <w:rPr>
                <w:rFonts w:ascii="Arial" w:hAnsi="Arial" w:cs="Arial"/>
                <w:color w:val="000000" w:themeColor="text1"/>
                <w:sz w:val="20"/>
              </w:rPr>
              <w:t>0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Net ücret ve kom.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9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607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7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843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1A198C"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Net ticari kar/zarar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0A5B4D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1.</w:t>
            </w:r>
            <w:r w:rsidR="001A198C" w:rsidRPr="00777A17">
              <w:rPr>
                <w:rFonts w:ascii="Arial" w:hAnsi="Arial" w:cs="Arial"/>
                <w:color w:val="000000" w:themeColor="text1"/>
                <w:sz w:val="20"/>
              </w:rPr>
              <w:t>625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677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140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Diğer faal.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3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536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0A5B4D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2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="001A198C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831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0A5B4D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1A198C" w:rsidRPr="00777A17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Faaliyet gelir/giderleri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D06BF9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47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795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39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535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21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 xml:space="preserve"> -</w:t>
            </w:r>
            <w:r w:rsidR="00D06BF9"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Diğer faal.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.5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39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17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="000A5B4D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0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1A198C" w:rsidRPr="00777A17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</w:tr>
      <w:tr w:rsidR="00777A17" w:rsidRPr="00777A17" w:rsidTr="00D06BF9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Net faaliyet karı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FC377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17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784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16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083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11</w:t>
            </w:r>
          </w:p>
        </w:tc>
      </w:tr>
      <w:tr w:rsidR="00777A17" w:rsidRPr="00777A17" w:rsidTr="00D06BF9">
        <w:trPr>
          <w:trHeight w:val="27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D06BF9" w:rsidP="002C349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tr-TR"/>
              </w:rPr>
              <w:t>Net dönem kar/zararı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6BF9" w:rsidRPr="00777A17" w:rsidRDefault="001A198C" w:rsidP="00FC377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15</w:t>
            </w:r>
            <w:r w:rsidR="00D06BF9" w:rsidRPr="00777A17">
              <w:rPr>
                <w:rFonts w:ascii="Arial" w:hAnsi="Arial" w:cs="Arial"/>
                <w:color w:val="000000" w:themeColor="text1"/>
                <w:sz w:val="20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</w:rPr>
              <w:t>063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12</w:t>
            </w:r>
            <w:r w:rsidR="000A5B4D"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.</w:t>
            </w:r>
            <w:r w:rsidRPr="00777A17">
              <w:rPr>
                <w:rFonts w:ascii="Arial" w:hAnsi="Arial" w:cs="Arial"/>
                <w:color w:val="000000" w:themeColor="text1"/>
                <w:sz w:val="20"/>
                <w:lang w:eastAsia="tr-TR"/>
              </w:rPr>
              <w:t>660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06BF9" w:rsidRPr="00777A17" w:rsidRDefault="001A198C" w:rsidP="002C349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 w:rsidRPr="00777A17">
              <w:rPr>
                <w:rFonts w:ascii="Arial" w:hAnsi="Arial" w:cs="Arial"/>
                <w:color w:val="000000" w:themeColor="text1"/>
                <w:sz w:val="20"/>
              </w:rPr>
              <w:t>19</w:t>
            </w:r>
          </w:p>
        </w:tc>
      </w:tr>
    </w:tbl>
    <w:p w:rsidR="00373BB1" w:rsidRPr="00777A17" w:rsidRDefault="00373BB1" w:rsidP="00373BB1">
      <w:pPr>
        <w:pStyle w:val="Subtitle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5E3060" w:rsidRPr="00777A17" w:rsidRDefault="00480020" w:rsidP="005E3060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BIST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’de işlem gören mevduat bankalarının özkaynakları </w:t>
      </w:r>
      <w:r w:rsidR="002230B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C87E78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201</w:t>
      </w:r>
      <w:r w:rsidR="00D06BF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itibariyle geçen yı</w:t>
      </w:r>
      <w:r w:rsidR="002C3493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lın aynı dönemin</w:t>
      </w:r>
      <w:r w:rsidR="00C87E78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e göre yüzde </w:t>
      </w:r>
      <w:r w:rsidR="002230B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11</w:t>
      </w:r>
      <w:r w:rsidR="002C3493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oranında artmıştır. </w:t>
      </w:r>
      <w:r w:rsidR="00C9361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Haziran ayında faiz oranlarının artmaya başlaması, özkaynak büyümesini sınırlandırmış, yılın geri kalanında özkaynak artışı bilanço büyümesiyle paralel seyretmiştir.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Özkaynakların</w:t>
      </w:r>
      <w:r w:rsidR="00C87E78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toplam aktiflere oranı yüzde 1</w:t>
      </w:r>
      <w:r w:rsidR="002230B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düzeyindedir. </w:t>
      </w:r>
    </w:p>
    <w:p w:rsidR="005E3060" w:rsidRPr="00777A17" w:rsidRDefault="005E3060" w:rsidP="005E3060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5E3060" w:rsidRPr="00777A17" w:rsidRDefault="002170BE" w:rsidP="005E3060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B632C7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201</w:t>
      </w:r>
      <w:r w:rsidR="00D06BF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itibariyle, YP aktiflerin toplam aktifler içi</w:t>
      </w:r>
      <w:r w:rsidR="00CE632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ndeki payı </w:t>
      </w:r>
      <w:r w:rsidR="00593CD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yüzde 3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5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 YP pasiflerin toplam pasifler içindek</w:t>
      </w:r>
      <w:r w:rsidR="00CE632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i payı ise 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yüzde 40</w:t>
      </w:r>
      <w:r w:rsidR="00D06BF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seviyesinde</w:t>
      </w:r>
      <w:r w:rsidR="002C3493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D06BF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gerçekleşmiştir.</w:t>
      </w:r>
      <w:r w:rsidR="005E306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</w:p>
    <w:p w:rsidR="00234523" w:rsidRPr="00777A17" w:rsidRDefault="00234523" w:rsidP="002D67D5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2D67D5" w:rsidRPr="00777A17" w:rsidRDefault="00B632C7" w:rsidP="002D67D5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lastRenderedPageBreak/>
        <w:t>201</w:t>
      </w:r>
      <w:r w:rsidR="00D06BF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7C75D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D06BF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yılı</w:t>
      </w:r>
      <w:r w:rsidR="0052039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nın ilk </w:t>
      </w:r>
      <w:r w:rsidR="002170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dokuz ayında</w:t>
      </w:r>
      <w:r w:rsidR="0052039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 BIST</w:t>
      </w:r>
      <w:r w:rsidR="002D67D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’de işlem gören mevduat bankalarının faiz gelirleri </w:t>
      </w:r>
      <w:r w:rsidR="0052039A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önemli bir değişiklik göstermez iken,</w:t>
      </w:r>
      <w:r w:rsidR="00FB37B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faiz giderleri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yüzde </w:t>
      </w:r>
      <w:r w:rsidR="002170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15</w:t>
      </w:r>
      <w:r w:rsidR="00BE3BD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oranında </w:t>
      </w:r>
      <w:r w:rsidR="0047383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a</w:t>
      </w:r>
      <w:r w:rsidR="00D06BF9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zalmıştır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. Net faiz </w:t>
      </w:r>
      <w:r w:rsidR="00BE3BD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geliri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FB37B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ise </w:t>
      </w:r>
      <w:r w:rsidR="00363946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2170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20</w:t>
      </w:r>
      <w:r w:rsidR="00DC56DB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oranında </w:t>
      </w:r>
      <w:r w:rsidR="00DC56DB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art</w:t>
      </w:r>
      <w:r w:rsidR="009B0203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mıştır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. </w:t>
      </w:r>
    </w:p>
    <w:p w:rsidR="004440D6" w:rsidRPr="00777A17" w:rsidRDefault="004440D6" w:rsidP="00373BB1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373BB1" w:rsidRPr="00777A17" w:rsidRDefault="009E5EED" w:rsidP="00373BB1">
      <w:pPr>
        <w:pStyle w:val="Subtitle"/>
        <w:jc w:val="center"/>
        <w:rPr>
          <w:rFonts w:ascii="Arial" w:hAnsi="Arial" w:cs="Arial"/>
          <w:color w:val="000000" w:themeColor="text1"/>
          <w:szCs w:val="24"/>
        </w:rPr>
      </w:pPr>
      <w:r w:rsidRPr="00777A17">
        <w:rPr>
          <w:rFonts w:ascii="Arial" w:hAnsi="Arial" w:cs="Arial"/>
          <w:color w:val="000000" w:themeColor="text1"/>
          <w:szCs w:val="24"/>
        </w:rPr>
        <w:t xml:space="preserve">Net Kar (milyon TL)  ve </w:t>
      </w:r>
      <w:r w:rsidR="00C54487" w:rsidRPr="00777A17">
        <w:rPr>
          <w:rFonts w:ascii="Arial" w:hAnsi="Arial" w:cs="Arial"/>
          <w:color w:val="000000" w:themeColor="text1"/>
          <w:szCs w:val="24"/>
        </w:rPr>
        <w:t>Özkaynak Karlılığı (y</w:t>
      </w:r>
      <w:r w:rsidR="00373BB1" w:rsidRPr="00777A17">
        <w:rPr>
          <w:rFonts w:ascii="Arial" w:hAnsi="Arial" w:cs="Arial"/>
          <w:color w:val="000000" w:themeColor="text1"/>
          <w:szCs w:val="24"/>
        </w:rPr>
        <w:t>ıllık</w:t>
      </w:r>
      <w:r w:rsidR="00360C27" w:rsidRPr="00777A17">
        <w:rPr>
          <w:rFonts w:ascii="Arial" w:hAnsi="Arial" w:cs="Arial"/>
          <w:color w:val="000000" w:themeColor="text1"/>
          <w:szCs w:val="24"/>
        </w:rPr>
        <w:t>, yüzde</w:t>
      </w:r>
      <w:r w:rsidR="00373BB1" w:rsidRPr="00777A17">
        <w:rPr>
          <w:rFonts w:ascii="Arial" w:hAnsi="Arial" w:cs="Arial"/>
          <w:color w:val="000000" w:themeColor="text1"/>
          <w:szCs w:val="24"/>
        </w:rPr>
        <w:t>)</w:t>
      </w:r>
      <w:r w:rsidRPr="00777A17">
        <w:rPr>
          <w:rFonts w:ascii="Arial" w:hAnsi="Arial" w:cs="Arial"/>
          <w:color w:val="000000" w:themeColor="text1"/>
          <w:szCs w:val="24"/>
        </w:rPr>
        <w:t xml:space="preserve"> </w:t>
      </w:r>
      <w:r w:rsidR="00C54487" w:rsidRPr="00777A17">
        <w:rPr>
          <w:rFonts w:ascii="Arial" w:hAnsi="Arial" w:cs="Arial"/>
          <w:color w:val="000000" w:themeColor="text1"/>
          <w:szCs w:val="24"/>
        </w:rPr>
        <w:t xml:space="preserve"> </w:t>
      </w:r>
    </w:p>
    <w:p w:rsidR="00373BB1" w:rsidRPr="00777A17" w:rsidRDefault="001C5B5F" w:rsidP="00373BB1">
      <w:pPr>
        <w:pStyle w:val="Subtitle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77A17">
        <w:rPr>
          <w:noProof/>
          <w:color w:val="000000" w:themeColor="text1"/>
          <w:lang w:eastAsia="tr-TR"/>
        </w:rPr>
        <w:drawing>
          <wp:inline distT="0" distB="0" distL="0" distR="0" wp14:anchorId="73AABF7B" wp14:editId="24E65F79">
            <wp:extent cx="4970145" cy="2982087"/>
            <wp:effectExtent l="0" t="0" r="20955" b="2794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D7755" w:rsidRPr="00777A17" w:rsidRDefault="006D7755" w:rsidP="00544DFA">
      <w:pPr>
        <w:pStyle w:val="Subtitle"/>
        <w:rPr>
          <w:rFonts w:ascii="Arial" w:hAnsi="Arial" w:cs="Arial"/>
          <w:color w:val="000000" w:themeColor="text1"/>
          <w:szCs w:val="24"/>
        </w:rPr>
      </w:pPr>
    </w:p>
    <w:p w:rsidR="002D67D5" w:rsidRPr="00777A17" w:rsidRDefault="00D87B03" w:rsidP="002D67D5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N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et dönem karı </w:t>
      </w:r>
      <w:r w:rsidR="00BE3BD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yüzde </w:t>
      </w:r>
      <w:r w:rsidR="002170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19</w:t>
      </w:r>
      <w:r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artarak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2170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15</w:t>
      </w:r>
      <w:r w:rsidR="003E1EA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2170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1</w:t>
      </w:r>
      <w:r w:rsidR="00DD33E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BE3BD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milyar TL</w:t>
      </w:r>
      <w:r w:rsidR="00BF0D5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olmuştur. </w:t>
      </w:r>
      <w:r w:rsidR="002170BE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Eylül</w:t>
      </w:r>
      <w:r w:rsidR="005F539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89034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201</w:t>
      </w:r>
      <w:r w:rsidR="005F539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C042AF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’de</w:t>
      </w:r>
      <w:r w:rsidR="002D67D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5F539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yıllık </w:t>
      </w:r>
      <w:r w:rsidR="002D67D5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bazda özkaynak karlılığı</w:t>
      </w:r>
      <w:r w:rsidR="005F539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F40DE4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yüzde 1</w:t>
      </w:r>
      <w:r w:rsidR="00C733A1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5,6</w:t>
      </w:r>
      <w:r w:rsidR="00B15CA2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5F5390" w:rsidRPr="00777A17">
        <w:rPr>
          <w:rFonts w:ascii="Arial" w:hAnsi="Arial" w:cs="Arial"/>
          <w:b w:val="0"/>
          <w:color w:val="000000" w:themeColor="text1"/>
          <w:sz w:val="22"/>
          <w:szCs w:val="22"/>
        </w:rPr>
        <w:t>seviyesinde gerçekleşmiştir.</w:t>
      </w:r>
    </w:p>
    <w:p w:rsidR="005E3060" w:rsidRPr="00777A17" w:rsidRDefault="005E3060" w:rsidP="00544DFA">
      <w:pPr>
        <w:pStyle w:val="Subtitle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544DFA" w:rsidRPr="00777A17" w:rsidRDefault="00D34B4A" w:rsidP="00544DFA">
      <w:pPr>
        <w:pStyle w:val="Subtitle"/>
        <w:rPr>
          <w:rFonts w:ascii="Arial" w:hAnsi="Arial" w:cs="Arial"/>
          <w:color w:val="000000" w:themeColor="text1"/>
          <w:szCs w:val="24"/>
        </w:rPr>
      </w:pPr>
      <w:r w:rsidRPr="00777A17">
        <w:rPr>
          <w:rFonts w:ascii="Arial" w:hAnsi="Arial" w:cs="Arial"/>
          <w:color w:val="000000" w:themeColor="text1"/>
          <w:szCs w:val="24"/>
        </w:rPr>
        <w:t>3</w:t>
      </w:r>
      <w:r w:rsidR="00DD41D0" w:rsidRPr="00777A17">
        <w:rPr>
          <w:rFonts w:ascii="Arial" w:hAnsi="Arial" w:cs="Arial"/>
          <w:color w:val="000000" w:themeColor="text1"/>
          <w:szCs w:val="24"/>
        </w:rPr>
        <w:t>. BİST</w:t>
      </w:r>
      <w:r w:rsidR="00544DFA" w:rsidRPr="00777A17">
        <w:rPr>
          <w:rFonts w:ascii="Arial" w:hAnsi="Arial" w:cs="Arial"/>
          <w:color w:val="000000" w:themeColor="text1"/>
          <w:szCs w:val="24"/>
        </w:rPr>
        <w:t>’de İşle</w:t>
      </w:r>
      <w:r w:rsidR="00DD41D0" w:rsidRPr="00777A17">
        <w:rPr>
          <w:rFonts w:ascii="Arial" w:hAnsi="Arial" w:cs="Arial"/>
          <w:color w:val="000000" w:themeColor="text1"/>
          <w:szCs w:val="24"/>
        </w:rPr>
        <w:t xml:space="preserve">m Gören Mevduat Bankalarının </w:t>
      </w:r>
      <w:r w:rsidR="00544DFA" w:rsidRPr="00777A17">
        <w:rPr>
          <w:rFonts w:ascii="Arial" w:hAnsi="Arial" w:cs="Arial"/>
          <w:color w:val="000000" w:themeColor="text1"/>
          <w:szCs w:val="24"/>
        </w:rPr>
        <w:t>B</w:t>
      </w:r>
      <w:r w:rsidR="00DD41D0" w:rsidRPr="00777A17">
        <w:rPr>
          <w:rFonts w:ascii="Arial" w:hAnsi="Arial" w:cs="Arial"/>
          <w:color w:val="000000" w:themeColor="text1"/>
          <w:szCs w:val="24"/>
        </w:rPr>
        <w:t>İST</w:t>
      </w:r>
      <w:r w:rsidR="00544DFA" w:rsidRPr="00777A17">
        <w:rPr>
          <w:rFonts w:ascii="Arial" w:hAnsi="Arial" w:cs="Arial"/>
          <w:color w:val="000000" w:themeColor="text1"/>
          <w:szCs w:val="24"/>
        </w:rPr>
        <w:t xml:space="preserve"> İçindeki Yeri</w:t>
      </w:r>
    </w:p>
    <w:p w:rsidR="00544DFA" w:rsidRPr="00777A17" w:rsidRDefault="00544DFA" w:rsidP="00544DFA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4723E4" w:rsidRPr="00777A17" w:rsidRDefault="00DD41D0" w:rsidP="004723E4">
      <w:pPr>
        <w:pStyle w:val="BodyText"/>
        <w:rPr>
          <w:rFonts w:ascii="Arial" w:hAnsi="Arial" w:cs="Arial"/>
          <w:color w:val="000000" w:themeColor="text1"/>
          <w:sz w:val="22"/>
          <w:szCs w:val="22"/>
        </w:rPr>
      </w:pPr>
      <w:r w:rsidRPr="00777A17">
        <w:rPr>
          <w:rFonts w:ascii="Arial" w:hAnsi="Arial" w:cs="Arial"/>
          <w:color w:val="000000" w:themeColor="text1"/>
          <w:sz w:val="22"/>
          <w:szCs w:val="22"/>
        </w:rPr>
        <w:t>BIST</w:t>
      </w:r>
      <w:r w:rsidR="004723E4" w:rsidRPr="00777A17">
        <w:rPr>
          <w:rFonts w:ascii="Arial" w:hAnsi="Arial" w:cs="Arial"/>
          <w:color w:val="000000" w:themeColor="text1"/>
          <w:sz w:val="22"/>
          <w:szCs w:val="22"/>
        </w:rPr>
        <w:t xml:space="preserve">’de işlem gören hisse senetlerinin toplam piyasa değeri, </w:t>
      </w:r>
      <w:r w:rsidR="001C5B5F" w:rsidRPr="00777A17">
        <w:rPr>
          <w:rFonts w:ascii="Arial" w:hAnsi="Arial" w:cs="Arial"/>
          <w:color w:val="000000" w:themeColor="text1"/>
          <w:sz w:val="22"/>
          <w:szCs w:val="22"/>
        </w:rPr>
        <w:t>Eylül</w:t>
      </w:r>
      <w:r w:rsidR="00AB6F65" w:rsidRPr="00777A17">
        <w:rPr>
          <w:rFonts w:ascii="Arial" w:hAnsi="Arial" w:cs="Arial"/>
          <w:color w:val="000000" w:themeColor="text1"/>
          <w:sz w:val="22"/>
          <w:szCs w:val="22"/>
        </w:rPr>
        <w:t xml:space="preserve"> 201</w:t>
      </w:r>
      <w:r w:rsidR="00BB7569" w:rsidRPr="00777A17">
        <w:rPr>
          <w:rFonts w:ascii="Arial" w:hAnsi="Arial" w:cs="Arial"/>
          <w:color w:val="000000" w:themeColor="text1"/>
          <w:sz w:val="22"/>
          <w:szCs w:val="22"/>
        </w:rPr>
        <w:t>3</w:t>
      </w:r>
      <w:r w:rsidR="00CA550F" w:rsidRPr="00777A17">
        <w:rPr>
          <w:rFonts w:ascii="Arial" w:hAnsi="Arial" w:cs="Arial"/>
          <w:color w:val="000000" w:themeColor="text1"/>
          <w:sz w:val="22"/>
          <w:szCs w:val="22"/>
        </w:rPr>
        <w:t xml:space="preserve"> itibariyle </w:t>
      </w:r>
      <w:r w:rsidR="00E419D7" w:rsidRPr="00777A17">
        <w:rPr>
          <w:rFonts w:ascii="Arial" w:hAnsi="Arial" w:cs="Arial"/>
          <w:color w:val="000000" w:themeColor="text1"/>
          <w:sz w:val="22"/>
          <w:szCs w:val="22"/>
        </w:rPr>
        <w:t>568</w:t>
      </w:r>
      <w:r w:rsidR="004723E4" w:rsidRPr="00777A17">
        <w:rPr>
          <w:rFonts w:ascii="Arial" w:hAnsi="Arial" w:cs="Arial"/>
          <w:color w:val="000000" w:themeColor="text1"/>
          <w:sz w:val="22"/>
          <w:szCs w:val="22"/>
        </w:rPr>
        <w:t xml:space="preserve"> milyar</w:t>
      </w:r>
      <w:r w:rsidRPr="00777A17">
        <w:rPr>
          <w:rFonts w:ascii="Arial" w:hAnsi="Arial" w:cs="Arial"/>
          <w:color w:val="000000" w:themeColor="text1"/>
          <w:sz w:val="22"/>
          <w:szCs w:val="22"/>
        </w:rPr>
        <w:t xml:space="preserve"> TL olarak gerçekleşmiştir. BİST</w:t>
      </w:r>
      <w:r w:rsidR="004723E4" w:rsidRPr="00777A17">
        <w:rPr>
          <w:rFonts w:ascii="Arial" w:hAnsi="Arial" w:cs="Arial"/>
          <w:color w:val="000000" w:themeColor="text1"/>
          <w:sz w:val="22"/>
          <w:szCs w:val="22"/>
        </w:rPr>
        <w:t xml:space="preserve">’de işlem gören </w:t>
      </w:r>
      <w:r w:rsidR="00F126EF" w:rsidRPr="00777A17">
        <w:rPr>
          <w:rFonts w:ascii="Arial" w:hAnsi="Arial" w:cs="Arial"/>
          <w:color w:val="000000" w:themeColor="text1"/>
          <w:sz w:val="22"/>
          <w:szCs w:val="22"/>
        </w:rPr>
        <w:t>finansal</w:t>
      </w:r>
      <w:r w:rsidR="004723E4" w:rsidRPr="00777A1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126EF" w:rsidRPr="00777A17">
        <w:rPr>
          <w:rFonts w:ascii="Arial" w:hAnsi="Arial" w:cs="Arial"/>
          <w:color w:val="000000" w:themeColor="text1"/>
          <w:sz w:val="22"/>
          <w:szCs w:val="22"/>
        </w:rPr>
        <w:t>kurumların</w:t>
      </w:r>
      <w:r w:rsidR="004723E4" w:rsidRPr="00777A17">
        <w:rPr>
          <w:rFonts w:ascii="Arial" w:hAnsi="Arial" w:cs="Arial"/>
          <w:color w:val="000000" w:themeColor="text1"/>
          <w:sz w:val="22"/>
          <w:szCs w:val="22"/>
        </w:rPr>
        <w:t xml:space="preserve"> piyasa değeri ise </w:t>
      </w:r>
      <w:r w:rsidR="00E419D7" w:rsidRPr="00777A17">
        <w:rPr>
          <w:rFonts w:ascii="Arial" w:hAnsi="Arial" w:cs="Arial"/>
          <w:color w:val="000000" w:themeColor="text1"/>
          <w:sz w:val="22"/>
          <w:szCs w:val="22"/>
        </w:rPr>
        <w:t>171</w:t>
      </w:r>
      <w:r w:rsidR="004723E4" w:rsidRPr="00777A17">
        <w:rPr>
          <w:rFonts w:ascii="Arial" w:hAnsi="Arial" w:cs="Arial"/>
          <w:color w:val="000000" w:themeColor="text1"/>
          <w:sz w:val="22"/>
          <w:szCs w:val="22"/>
        </w:rPr>
        <w:t xml:space="preserve"> milyar TL ile</w:t>
      </w:r>
      <w:r w:rsidR="00B742C3" w:rsidRPr="00777A1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61E4" w:rsidRPr="00777A17">
        <w:rPr>
          <w:rFonts w:ascii="Arial" w:hAnsi="Arial" w:cs="Arial"/>
          <w:color w:val="000000" w:themeColor="text1"/>
          <w:sz w:val="22"/>
          <w:szCs w:val="22"/>
        </w:rPr>
        <w:t>toplam piyasa değerinin yüzde 3</w:t>
      </w:r>
      <w:r w:rsidR="00E419D7" w:rsidRPr="00777A17">
        <w:rPr>
          <w:rFonts w:ascii="Arial" w:hAnsi="Arial" w:cs="Arial"/>
          <w:color w:val="000000" w:themeColor="text1"/>
          <w:sz w:val="22"/>
          <w:szCs w:val="22"/>
        </w:rPr>
        <w:t>0’unu</w:t>
      </w:r>
      <w:r w:rsidR="004723E4" w:rsidRPr="00777A17">
        <w:rPr>
          <w:rFonts w:ascii="Arial" w:hAnsi="Arial" w:cs="Arial"/>
          <w:color w:val="000000" w:themeColor="text1"/>
          <w:sz w:val="22"/>
          <w:szCs w:val="22"/>
        </w:rPr>
        <w:t xml:space="preserve"> oluşturmuştur.</w:t>
      </w:r>
    </w:p>
    <w:bookmarkEnd w:id="1"/>
    <w:bookmarkEnd w:id="2"/>
    <w:p w:rsidR="00BF0D5E" w:rsidRPr="00777A17" w:rsidRDefault="00BF0D5E" w:rsidP="00544DFA">
      <w:pPr>
        <w:pStyle w:val="BodyText"/>
        <w:rPr>
          <w:rFonts w:ascii="Arial" w:hAnsi="Arial" w:cs="Arial"/>
          <w:color w:val="000000" w:themeColor="text1"/>
          <w:sz w:val="22"/>
          <w:szCs w:val="22"/>
        </w:rPr>
      </w:pPr>
    </w:p>
    <w:sectPr w:rsidR="00BF0D5E" w:rsidRPr="00777A17" w:rsidSect="00D416C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2381" w:right="2268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63F" w:rsidRDefault="0088763F">
      <w:r>
        <w:separator/>
      </w:r>
    </w:p>
  </w:endnote>
  <w:endnote w:type="continuationSeparator" w:id="0">
    <w:p w:rsidR="0088763F" w:rsidRDefault="0088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Raporlar/BIST</w:t>
    </w:r>
    <w:r w:rsidRPr="001A244F">
      <w:rPr>
        <w:rFonts w:ascii="Arial" w:hAnsi="Arial" w:cs="Arial"/>
        <w:sz w:val="18"/>
      </w:rPr>
      <w:t>’de İşlem</w:t>
    </w:r>
    <w:r w:rsidR="00D06BF9">
      <w:rPr>
        <w:rFonts w:ascii="Arial" w:hAnsi="Arial" w:cs="Arial"/>
        <w:sz w:val="18"/>
      </w:rPr>
      <w:t xml:space="preserve"> Gören Mevduat Bankaları/</w:t>
    </w:r>
    <w:r w:rsidR="002170BE">
      <w:rPr>
        <w:rFonts w:ascii="Arial" w:hAnsi="Arial" w:cs="Arial"/>
        <w:sz w:val="18"/>
      </w:rPr>
      <w:t>Eylül</w:t>
    </w:r>
    <w:r w:rsidR="00D06BF9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201</w:t>
    </w:r>
    <w:r w:rsidR="00D06BF9">
      <w:rPr>
        <w:rFonts w:ascii="Arial" w:hAnsi="Arial" w:cs="Arial"/>
        <w:sz w:val="18"/>
      </w:rPr>
      <w:t>3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F0719E">
      <w:rPr>
        <w:rFonts w:ascii="Arial" w:hAnsi="Arial" w:cs="Arial"/>
        <w:noProof/>
        <w:sz w:val="18"/>
        <w:szCs w:val="18"/>
      </w:rPr>
      <w:t>iii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63F" w:rsidRDefault="0088763F">
      <w:r>
        <w:separator/>
      </w:r>
    </w:p>
  </w:footnote>
  <w:footnote w:type="continuationSeparator" w:id="0">
    <w:p w:rsidR="0088763F" w:rsidRDefault="0088763F">
      <w:r>
        <w:continuationSeparator/>
      </w:r>
    </w:p>
  </w:footnote>
  <w:footnote w:id="1">
    <w:p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Akbank T.A.Ş., Alternatifbank A.Ş., Denizbank A.Ş., Finans Bank A.Ş., Şekerbank T.A.Ş., Tekstil Bankası A.Ş., Türk Ekonomi Bankası A.Ş., Türkiye Halk Bankası</w:t>
      </w:r>
      <w:r w:rsidR="0071090F">
        <w:rPr>
          <w:rFonts w:ascii="Arial" w:hAnsi="Arial" w:cs="Arial"/>
          <w:sz w:val="18"/>
          <w:szCs w:val="18"/>
        </w:rPr>
        <w:t xml:space="preserve"> A.Ş.</w:t>
      </w:r>
      <w:r w:rsidRPr="00060DA1">
        <w:rPr>
          <w:rFonts w:ascii="Arial" w:hAnsi="Arial" w:cs="Arial"/>
          <w:sz w:val="18"/>
          <w:szCs w:val="18"/>
        </w:rPr>
        <w:t>, Türkiye Garanti Bankası A.Ş., Türkiye İş Bankası A.Ş., Türkiye Vakıflar Bankası T.A.O. ve Yapı ve Kredi Bankası A.Ş.’yi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BEC361E" wp14:editId="0053EFA7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5FE50067" wp14:editId="23A05E1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E29"/>
    <w:rsid w:val="00027542"/>
    <w:rsid w:val="0003146D"/>
    <w:rsid w:val="000337BE"/>
    <w:rsid w:val="000344BC"/>
    <w:rsid w:val="0004336A"/>
    <w:rsid w:val="00050A0A"/>
    <w:rsid w:val="000574D1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90CBF"/>
    <w:rsid w:val="00091F8C"/>
    <w:rsid w:val="00097808"/>
    <w:rsid w:val="000A01E6"/>
    <w:rsid w:val="000A2B7A"/>
    <w:rsid w:val="000A5B4D"/>
    <w:rsid w:val="000A7B3A"/>
    <w:rsid w:val="000B2996"/>
    <w:rsid w:val="000B3C9F"/>
    <w:rsid w:val="000B457C"/>
    <w:rsid w:val="000C48B2"/>
    <w:rsid w:val="000C58D6"/>
    <w:rsid w:val="000C5A0D"/>
    <w:rsid w:val="000C6659"/>
    <w:rsid w:val="000C77B2"/>
    <w:rsid w:val="000D45AA"/>
    <w:rsid w:val="000D52E7"/>
    <w:rsid w:val="000D69CF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68D7"/>
    <w:rsid w:val="00107091"/>
    <w:rsid w:val="00107DCC"/>
    <w:rsid w:val="00110161"/>
    <w:rsid w:val="0011151D"/>
    <w:rsid w:val="00112B10"/>
    <w:rsid w:val="00112B9E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7C05"/>
    <w:rsid w:val="00140928"/>
    <w:rsid w:val="00142011"/>
    <w:rsid w:val="00144589"/>
    <w:rsid w:val="00146BE4"/>
    <w:rsid w:val="001515D7"/>
    <w:rsid w:val="00154624"/>
    <w:rsid w:val="0015577B"/>
    <w:rsid w:val="00161692"/>
    <w:rsid w:val="00163489"/>
    <w:rsid w:val="00167BF5"/>
    <w:rsid w:val="00170249"/>
    <w:rsid w:val="00171AFF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6DFA"/>
    <w:rsid w:val="001B7094"/>
    <w:rsid w:val="001C1071"/>
    <w:rsid w:val="001C2060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1B4B"/>
    <w:rsid w:val="001E4CF9"/>
    <w:rsid w:val="001E5DA7"/>
    <w:rsid w:val="001E6811"/>
    <w:rsid w:val="001F3908"/>
    <w:rsid w:val="001F7734"/>
    <w:rsid w:val="001F7FCE"/>
    <w:rsid w:val="002004E8"/>
    <w:rsid w:val="0020749D"/>
    <w:rsid w:val="0021271F"/>
    <w:rsid w:val="002159C0"/>
    <w:rsid w:val="002170BE"/>
    <w:rsid w:val="00217C37"/>
    <w:rsid w:val="00220627"/>
    <w:rsid w:val="002230B9"/>
    <w:rsid w:val="002248F2"/>
    <w:rsid w:val="00225B06"/>
    <w:rsid w:val="00225EB5"/>
    <w:rsid w:val="00227388"/>
    <w:rsid w:val="00234523"/>
    <w:rsid w:val="00234AAA"/>
    <w:rsid w:val="00237A14"/>
    <w:rsid w:val="0024036D"/>
    <w:rsid w:val="00240C25"/>
    <w:rsid w:val="00240E2F"/>
    <w:rsid w:val="00242C53"/>
    <w:rsid w:val="00245CC4"/>
    <w:rsid w:val="00246E5F"/>
    <w:rsid w:val="00247827"/>
    <w:rsid w:val="00250E81"/>
    <w:rsid w:val="002621F6"/>
    <w:rsid w:val="002625DF"/>
    <w:rsid w:val="00267D7A"/>
    <w:rsid w:val="002702F1"/>
    <w:rsid w:val="00271995"/>
    <w:rsid w:val="00277452"/>
    <w:rsid w:val="002775E7"/>
    <w:rsid w:val="00280A9B"/>
    <w:rsid w:val="0028168E"/>
    <w:rsid w:val="002830E0"/>
    <w:rsid w:val="002848B2"/>
    <w:rsid w:val="00287873"/>
    <w:rsid w:val="00290CE8"/>
    <w:rsid w:val="002929E9"/>
    <w:rsid w:val="002960D3"/>
    <w:rsid w:val="002A6334"/>
    <w:rsid w:val="002A7A15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67D5"/>
    <w:rsid w:val="002E0926"/>
    <w:rsid w:val="002E17DE"/>
    <w:rsid w:val="002E1FAE"/>
    <w:rsid w:val="002F0DE6"/>
    <w:rsid w:val="002F24CF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6018"/>
    <w:rsid w:val="00327D4B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F2D"/>
    <w:rsid w:val="003637A6"/>
    <w:rsid w:val="00363946"/>
    <w:rsid w:val="00373BB1"/>
    <w:rsid w:val="00374986"/>
    <w:rsid w:val="003761C6"/>
    <w:rsid w:val="00376A74"/>
    <w:rsid w:val="00381E6B"/>
    <w:rsid w:val="00382FF2"/>
    <w:rsid w:val="00386F3C"/>
    <w:rsid w:val="0038766A"/>
    <w:rsid w:val="00395635"/>
    <w:rsid w:val="00396F07"/>
    <w:rsid w:val="0039711C"/>
    <w:rsid w:val="00397652"/>
    <w:rsid w:val="003A0244"/>
    <w:rsid w:val="003A0730"/>
    <w:rsid w:val="003A4B0D"/>
    <w:rsid w:val="003A4E37"/>
    <w:rsid w:val="003A6021"/>
    <w:rsid w:val="003B3D8F"/>
    <w:rsid w:val="003B4FEB"/>
    <w:rsid w:val="003B6F11"/>
    <w:rsid w:val="003B7153"/>
    <w:rsid w:val="003B72EF"/>
    <w:rsid w:val="003C2ACB"/>
    <w:rsid w:val="003C5895"/>
    <w:rsid w:val="003C6085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3493"/>
    <w:rsid w:val="00454D3F"/>
    <w:rsid w:val="00457F1E"/>
    <w:rsid w:val="00457F61"/>
    <w:rsid w:val="00460AAF"/>
    <w:rsid w:val="00462761"/>
    <w:rsid w:val="004635A9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B19F7"/>
    <w:rsid w:val="004B1E2A"/>
    <w:rsid w:val="004B3375"/>
    <w:rsid w:val="004B3FB7"/>
    <w:rsid w:val="004B4D0D"/>
    <w:rsid w:val="004B547B"/>
    <w:rsid w:val="004B6E31"/>
    <w:rsid w:val="004C374A"/>
    <w:rsid w:val="004C419B"/>
    <w:rsid w:val="004D17D7"/>
    <w:rsid w:val="004D2EF7"/>
    <w:rsid w:val="004D5A79"/>
    <w:rsid w:val="004E0368"/>
    <w:rsid w:val="004E1FDB"/>
    <w:rsid w:val="004E3BB6"/>
    <w:rsid w:val="004F4F22"/>
    <w:rsid w:val="004F7254"/>
    <w:rsid w:val="005010CA"/>
    <w:rsid w:val="00511F4E"/>
    <w:rsid w:val="00514D84"/>
    <w:rsid w:val="0052039A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2433"/>
    <w:rsid w:val="00552EEB"/>
    <w:rsid w:val="0055363E"/>
    <w:rsid w:val="0055481A"/>
    <w:rsid w:val="00555638"/>
    <w:rsid w:val="005561ED"/>
    <w:rsid w:val="005629AB"/>
    <w:rsid w:val="0056307D"/>
    <w:rsid w:val="005655E6"/>
    <w:rsid w:val="00565B0B"/>
    <w:rsid w:val="005670AF"/>
    <w:rsid w:val="00567171"/>
    <w:rsid w:val="005730C3"/>
    <w:rsid w:val="005757BA"/>
    <w:rsid w:val="00576AF6"/>
    <w:rsid w:val="00580A13"/>
    <w:rsid w:val="0058353E"/>
    <w:rsid w:val="005839EF"/>
    <w:rsid w:val="00583A9A"/>
    <w:rsid w:val="00584765"/>
    <w:rsid w:val="00587DD8"/>
    <w:rsid w:val="005927DF"/>
    <w:rsid w:val="0059316B"/>
    <w:rsid w:val="00593CD0"/>
    <w:rsid w:val="005A4254"/>
    <w:rsid w:val="005A7FAF"/>
    <w:rsid w:val="005B14F4"/>
    <w:rsid w:val="005B1D48"/>
    <w:rsid w:val="005B2EDB"/>
    <w:rsid w:val="005B54D6"/>
    <w:rsid w:val="005B5E79"/>
    <w:rsid w:val="005B61D6"/>
    <w:rsid w:val="005C0915"/>
    <w:rsid w:val="005C1C6E"/>
    <w:rsid w:val="005C39DE"/>
    <w:rsid w:val="005D351C"/>
    <w:rsid w:val="005D427A"/>
    <w:rsid w:val="005D5F86"/>
    <w:rsid w:val="005E0EB8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CE2"/>
    <w:rsid w:val="00613C90"/>
    <w:rsid w:val="0061706E"/>
    <w:rsid w:val="00622936"/>
    <w:rsid w:val="00622C1C"/>
    <w:rsid w:val="006240D7"/>
    <w:rsid w:val="00624300"/>
    <w:rsid w:val="00631227"/>
    <w:rsid w:val="006316BD"/>
    <w:rsid w:val="00633BD7"/>
    <w:rsid w:val="00635323"/>
    <w:rsid w:val="00650D5B"/>
    <w:rsid w:val="00650F04"/>
    <w:rsid w:val="006519C2"/>
    <w:rsid w:val="00652C94"/>
    <w:rsid w:val="006538FE"/>
    <w:rsid w:val="00653CB7"/>
    <w:rsid w:val="00660DE2"/>
    <w:rsid w:val="00662973"/>
    <w:rsid w:val="00663612"/>
    <w:rsid w:val="00663701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501C"/>
    <w:rsid w:val="00685C31"/>
    <w:rsid w:val="006861E6"/>
    <w:rsid w:val="00693E45"/>
    <w:rsid w:val="00694405"/>
    <w:rsid w:val="0069499C"/>
    <w:rsid w:val="00694C70"/>
    <w:rsid w:val="006A016C"/>
    <w:rsid w:val="006A1A36"/>
    <w:rsid w:val="006A7A07"/>
    <w:rsid w:val="006B0957"/>
    <w:rsid w:val="006B4CC7"/>
    <w:rsid w:val="006C04AC"/>
    <w:rsid w:val="006C11B5"/>
    <w:rsid w:val="006C75F2"/>
    <w:rsid w:val="006D04A6"/>
    <w:rsid w:val="006D0795"/>
    <w:rsid w:val="006D1A7B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75C"/>
    <w:rsid w:val="006F17C4"/>
    <w:rsid w:val="006F3695"/>
    <w:rsid w:val="006F493A"/>
    <w:rsid w:val="006F6C51"/>
    <w:rsid w:val="0070101B"/>
    <w:rsid w:val="00701A22"/>
    <w:rsid w:val="00702446"/>
    <w:rsid w:val="007060EC"/>
    <w:rsid w:val="0071029A"/>
    <w:rsid w:val="0071090F"/>
    <w:rsid w:val="00710A75"/>
    <w:rsid w:val="007144E6"/>
    <w:rsid w:val="00716A11"/>
    <w:rsid w:val="00716CE3"/>
    <w:rsid w:val="007176B4"/>
    <w:rsid w:val="00722B3D"/>
    <w:rsid w:val="00723864"/>
    <w:rsid w:val="00724768"/>
    <w:rsid w:val="0072482D"/>
    <w:rsid w:val="0072503B"/>
    <w:rsid w:val="007257BA"/>
    <w:rsid w:val="0072627E"/>
    <w:rsid w:val="0072685A"/>
    <w:rsid w:val="00726C63"/>
    <w:rsid w:val="007277F2"/>
    <w:rsid w:val="00732510"/>
    <w:rsid w:val="00733010"/>
    <w:rsid w:val="007346BC"/>
    <w:rsid w:val="00736A95"/>
    <w:rsid w:val="00742AD6"/>
    <w:rsid w:val="00743F56"/>
    <w:rsid w:val="00751096"/>
    <w:rsid w:val="007526A6"/>
    <w:rsid w:val="00757819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5D68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E6"/>
    <w:rsid w:val="007D5E9B"/>
    <w:rsid w:val="007E071E"/>
    <w:rsid w:val="007E218B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B8E"/>
    <w:rsid w:val="00814A25"/>
    <w:rsid w:val="008220D8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D99"/>
    <w:rsid w:val="00855D97"/>
    <w:rsid w:val="008610C7"/>
    <w:rsid w:val="00867B10"/>
    <w:rsid w:val="0087259E"/>
    <w:rsid w:val="00872982"/>
    <w:rsid w:val="00874202"/>
    <w:rsid w:val="00877572"/>
    <w:rsid w:val="00883FA9"/>
    <w:rsid w:val="00884CB2"/>
    <w:rsid w:val="0088763F"/>
    <w:rsid w:val="00890340"/>
    <w:rsid w:val="00890481"/>
    <w:rsid w:val="00890E03"/>
    <w:rsid w:val="00893E30"/>
    <w:rsid w:val="008970E7"/>
    <w:rsid w:val="0089784F"/>
    <w:rsid w:val="008A0D0F"/>
    <w:rsid w:val="008A4022"/>
    <w:rsid w:val="008A479E"/>
    <w:rsid w:val="008A6B52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204E"/>
    <w:rsid w:val="00955785"/>
    <w:rsid w:val="00955947"/>
    <w:rsid w:val="00956DC6"/>
    <w:rsid w:val="00957ECC"/>
    <w:rsid w:val="00960151"/>
    <w:rsid w:val="00960646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52C9"/>
    <w:rsid w:val="009863CA"/>
    <w:rsid w:val="009905A9"/>
    <w:rsid w:val="0099182F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6D05"/>
    <w:rsid w:val="009C70AD"/>
    <w:rsid w:val="009D0E3A"/>
    <w:rsid w:val="009D3197"/>
    <w:rsid w:val="009D3B74"/>
    <w:rsid w:val="009D54F6"/>
    <w:rsid w:val="009D7997"/>
    <w:rsid w:val="009E5EED"/>
    <w:rsid w:val="009E660C"/>
    <w:rsid w:val="009E6D57"/>
    <w:rsid w:val="009F29D7"/>
    <w:rsid w:val="009F3297"/>
    <w:rsid w:val="009F6D60"/>
    <w:rsid w:val="00A01208"/>
    <w:rsid w:val="00A05A4D"/>
    <w:rsid w:val="00A0764C"/>
    <w:rsid w:val="00A122C3"/>
    <w:rsid w:val="00A14997"/>
    <w:rsid w:val="00A24D51"/>
    <w:rsid w:val="00A25469"/>
    <w:rsid w:val="00A2732B"/>
    <w:rsid w:val="00A36F63"/>
    <w:rsid w:val="00A42DBC"/>
    <w:rsid w:val="00A435E0"/>
    <w:rsid w:val="00A44544"/>
    <w:rsid w:val="00A463F1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4D4B"/>
    <w:rsid w:val="00A96553"/>
    <w:rsid w:val="00A97252"/>
    <w:rsid w:val="00A97969"/>
    <w:rsid w:val="00AA061F"/>
    <w:rsid w:val="00AA1A38"/>
    <w:rsid w:val="00AA3C83"/>
    <w:rsid w:val="00AA524B"/>
    <w:rsid w:val="00AA6DA4"/>
    <w:rsid w:val="00AB545C"/>
    <w:rsid w:val="00AB6F65"/>
    <w:rsid w:val="00AB770B"/>
    <w:rsid w:val="00AC226D"/>
    <w:rsid w:val="00AC43E1"/>
    <w:rsid w:val="00AC67A3"/>
    <w:rsid w:val="00AC7B6E"/>
    <w:rsid w:val="00AD1B45"/>
    <w:rsid w:val="00AD779B"/>
    <w:rsid w:val="00AE117C"/>
    <w:rsid w:val="00AE2535"/>
    <w:rsid w:val="00AE4EAD"/>
    <w:rsid w:val="00AE5A13"/>
    <w:rsid w:val="00AE6354"/>
    <w:rsid w:val="00AF0BD3"/>
    <w:rsid w:val="00AF2370"/>
    <w:rsid w:val="00AF3F96"/>
    <w:rsid w:val="00B01F34"/>
    <w:rsid w:val="00B02377"/>
    <w:rsid w:val="00B05DA4"/>
    <w:rsid w:val="00B10A83"/>
    <w:rsid w:val="00B11478"/>
    <w:rsid w:val="00B13103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E24"/>
    <w:rsid w:val="00B4452B"/>
    <w:rsid w:val="00B53222"/>
    <w:rsid w:val="00B56E20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5D10"/>
    <w:rsid w:val="00B867F7"/>
    <w:rsid w:val="00B911BA"/>
    <w:rsid w:val="00B931E6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5E88"/>
    <w:rsid w:val="00BB62C7"/>
    <w:rsid w:val="00BB7569"/>
    <w:rsid w:val="00BC4874"/>
    <w:rsid w:val="00BC5E9F"/>
    <w:rsid w:val="00BC5F85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7DA3"/>
    <w:rsid w:val="00C23974"/>
    <w:rsid w:val="00C2508B"/>
    <w:rsid w:val="00C25D29"/>
    <w:rsid w:val="00C261E5"/>
    <w:rsid w:val="00C270D2"/>
    <w:rsid w:val="00C3577A"/>
    <w:rsid w:val="00C379B4"/>
    <w:rsid w:val="00C4175C"/>
    <w:rsid w:val="00C41FF2"/>
    <w:rsid w:val="00C45413"/>
    <w:rsid w:val="00C54487"/>
    <w:rsid w:val="00C54AD7"/>
    <w:rsid w:val="00C56A04"/>
    <w:rsid w:val="00C577D3"/>
    <w:rsid w:val="00C61B4B"/>
    <w:rsid w:val="00C61FB1"/>
    <w:rsid w:val="00C65B99"/>
    <w:rsid w:val="00C71218"/>
    <w:rsid w:val="00C71B5D"/>
    <w:rsid w:val="00C72888"/>
    <w:rsid w:val="00C733A1"/>
    <w:rsid w:val="00C80B1F"/>
    <w:rsid w:val="00C869C6"/>
    <w:rsid w:val="00C87E78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550F"/>
    <w:rsid w:val="00CB0D2A"/>
    <w:rsid w:val="00CB10CB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739C"/>
    <w:rsid w:val="00D02D13"/>
    <w:rsid w:val="00D06BF9"/>
    <w:rsid w:val="00D107E7"/>
    <w:rsid w:val="00D10A14"/>
    <w:rsid w:val="00D11ABF"/>
    <w:rsid w:val="00D13E15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7174"/>
    <w:rsid w:val="00D7259F"/>
    <w:rsid w:val="00D734D4"/>
    <w:rsid w:val="00D740D5"/>
    <w:rsid w:val="00D74A37"/>
    <w:rsid w:val="00D761E4"/>
    <w:rsid w:val="00D87B03"/>
    <w:rsid w:val="00D9128E"/>
    <w:rsid w:val="00D925C2"/>
    <w:rsid w:val="00D92991"/>
    <w:rsid w:val="00D9497C"/>
    <w:rsid w:val="00DA7EE4"/>
    <w:rsid w:val="00DB0928"/>
    <w:rsid w:val="00DB21FB"/>
    <w:rsid w:val="00DB4801"/>
    <w:rsid w:val="00DB7EFE"/>
    <w:rsid w:val="00DC56DB"/>
    <w:rsid w:val="00DC79A8"/>
    <w:rsid w:val="00DD33E5"/>
    <w:rsid w:val="00DD370F"/>
    <w:rsid w:val="00DD41D0"/>
    <w:rsid w:val="00DD6570"/>
    <w:rsid w:val="00DE2198"/>
    <w:rsid w:val="00DF162A"/>
    <w:rsid w:val="00DF1951"/>
    <w:rsid w:val="00DF1B81"/>
    <w:rsid w:val="00DF263C"/>
    <w:rsid w:val="00E11872"/>
    <w:rsid w:val="00E12BD0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6303"/>
    <w:rsid w:val="00E41042"/>
    <w:rsid w:val="00E419D7"/>
    <w:rsid w:val="00E41A64"/>
    <w:rsid w:val="00E43392"/>
    <w:rsid w:val="00E4362A"/>
    <w:rsid w:val="00E4511B"/>
    <w:rsid w:val="00E47799"/>
    <w:rsid w:val="00E52525"/>
    <w:rsid w:val="00E55209"/>
    <w:rsid w:val="00E55FE0"/>
    <w:rsid w:val="00E56CEB"/>
    <w:rsid w:val="00E57C01"/>
    <w:rsid w:val="00E60031"/>
    <w:rsid w:val="00E6049F"/>
    <w:rsid w:val="00E60B1D"/>
    <w:rsid w:val="00E66459"/>
    <w:rsid w:val="00E668C2"/>
    <w:rsid w:val="00E70480"/>
    <w:rsid w:val="00E755AB"/>
    <w:rsid w:val="00E75CAF"/>
    <w:rsid w:val="00E80E69"/>
    <w:rsid w:val="00E811FB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B034E"/>
    <w:rsid w:val="00EB3B9B"/>
    <w:rsid w:val="00EB7CA0"/>
    <w:rsid w:val="00EC16EE"/>
    <w:rsid w:val="00EC68BF"/>
    <w:rsid w:val="00EC75A1"/>
    <w:rsid w:val="00ED1D6F"/>
    <w:rsid w:val="00EE1D99"/>
    <w:rsid w:val="00EE1EC3"/>
    <w:rsid w:val="00EE25FA"/>
    <w:rsid w:val="00EE45F2"/>
    <w:rsid w:val="00EE68A9"/>
    <w:rsid w:val="00EF3D70"/>
    <w:rsid w:val="00F0278F"/>
    <w:rsid w:val="00F02A42"/>
    <w:rsid w:val="00F067BC"/>
    <w:rsid w:val="00F0719E"/>
    <w:rsid w:val="00F126EF"/>
    <w:rsid w:val="00F12A0D"/>
    <w:rsid w:val="00F1364A"/>
    <w:rsid w:val="00F16D4F"/>
    <w:rsid w:val="00F17128"/>
    <w:rsid w:val="00F233FE"/>
    <w:rsid w:val="00F254B1"/>
    <w:rsid w:val="00F313B2"/>
    <w:rsid w:val="00F33313"/>
    <w:rsid w:val="00F40DE4"/>
    <w:rsid w:val="00F43E87"/>
    <w:rsid w:val="00F46A0E"/>
    <w:rsid w:val="00F47596"/>
    <w:rsid w:val="00F551A4"/>
    <w:rsid w:val="00F558F6"/>
    <w:rsid w:val="00F562D5"/>
    <w:rsid w:val="00F56EB9"/>
    <w:rsid w:val="00F57209"/>
    <w:rsid w:val="00F57FA2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DB3"/>
    <w:rsid w:val="00F97F87"/>
    <w:rsid w:val="00FA0013"/>
    <w:rsid w:val="00FA124C"/>
    <w:rsid w:val="00FA19FA"/>
    <w:rsid w:val="00FA2F7C"/>
    <w:rsid w:val="00FA4B77"/>
    <w:rsid w:val="00FA6B31"/>
    <w:rsid w:val="00FB031D"/>
    <w:rsid w:val="00FB059E"/>
    <w:rsid w:val="00FB294C"/>
    <w:rsid w:val="00FB3582"/>
    <w:rsid w:val="00FB37B5"/>
    <w:rsid w:val="00FC00BB"/>
    <w:rsid w:val="00FC109E"/>
    <w:rsid w:val="00FC3771"/>
    <w:rsid w:val="00FC3EB0"/>
    <w:rsid w:val="00FC5E7D"/>
    <w:rsid w:val="00FD0371"/>
    <w:rsid w:val="00FD0F53"/>
    <w:rsid w:val="00FD2431"/>
    <w:rsid w:val="00FE1947"/>
    <w:rsid w:val="00FE4D3C"/>
    <w:rsid w:val="00FF186E"/>
    <w:rsid w:val="00FF1DA8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tbbdosyas\mev\Bankac&#305;l&#305;k%20G&#246;stergeleri%20Sunumlar\Ara&#351;t&#305;rma%20raporlar&#305;\Ucayl&#305;k\&#304;MKB%20Eyl&#252;l%20201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01879565091601"/>
          <c:y val="0.10280405107346145"/>
          <c:w val="0.8168231754008245"/>
          <c:h val="0.68847561476469643"/>
        </c:manualLayout>
      </c:layout>
      <c:barChart>
        <c:barDir val="col"/>
        <c:grouping val="clustered"/>
        <c:varyColors val="0"/>
        <c:ser>
          <c:idx val="1"/>
          <c:order val="0"/>
          <c:tx>
            <c:v>Net Kar</c:v>
          </c:tx>
          <c:spPr>
            <a:solidFill>
              <a:srgbClr val="0000FF"/>
            </a:solidFill>
            <a:ln w="12700">
              <a:solidFill>
                <a:srgbClr val="0000FF"/>
              </a:solidFill>
              <a:prstDash val="solid"/>
            </a:ln>
          </c:spPr>
          <c:invertIfNegative val="0"/>
          <c:cat>
            <c:strRef>
              <c:f>müsvedde!$F$60:$F$74</c:f>
              <c:strCache>
                <c:ptCount val="15"/>
                <c:pt idx="0">
                  <c:v>10/3</c:v>
                </c:pt>
                <c:pt idx="1">
                  <c:v>10/6</c:v>
                </c:pt>
                <c:pt idx="2">
                  <c:v>10/9</c:v>
                </c:pt>
                <c:pt idx="3">
                  <c:v>10/12</c:v>
                </c:pt>
                <c:pt idx="4">
                  <c:v>11/3</c:v>
                </c:pt>
                <c:pt idx="5">
                  <c:v>11/6</c:v>
                </c:pt>
                <c:pt idx="6">
                  <c:v>11/9</c:v>
                </c:pt>
                <c:pt idx="7">
                  <c:v>11/12</c:v>
                </c:pt>
                <c:pt idx="8">
                  <c:v>12/3</c:v>
                </c:pt>
                <c:pt idx="9">
                  <c:v>12/06</c:v>
                </c:pt>
                <c:pt idx="10">
                  <c:v>12/09</c:v>
                </c:pt>
                <c:pt idx="11">
                  <c:v>12/12</c:v>
                </c:pt>
                <c:pt idx="12">
                  <c:v>13/3</c:v>
                </c:pt>
                <c:pt idx="13">
                  <c:v>13/6</c:v>
                </c:pt>
                <c:pt idx="14">
                  <c:v>13/9</c:v>
                </c:pt>
              </c:strCache>
            </c:strRef>
          </c:cat>
          <c:val>
            <c:numRef>
              <c:f>müsvedde!$G$60:$G$74</c:f>
              <c:numCache>
                <c:formatCode>#,##0</c:formatCode>
                <c:ptCount val="15"/>
                <c:pt idx="0">
                  <c:v>15194</c:v>
                </c:pt>
                <c:pt idx="1">
                  <c:v>15498</c:v>
                </c:pt>
                <c:pt idx="2">
                  <c:v>15569</c:v>
                </c:pt>
                <c:pt idx="3">
                  <c:v>16119</c:v>
                </c:pt>
                <c:pt idx="4">
                  <c:v>15623.207</c:v>
                </c:pt>
                <c:pt idx="5">
                  <c:v>15258</c:v>
                </c:pt>
                <c:pt idx="6">
                  <c:v>15159</c:v>
                </c:pt>
                <c:pt idx="7">
                  <c:v>15359</c:v>
                </c:pt>
                <c:pt idx="8">
                  <c:v>15509.793</c:v>
                </c:pt>
                <c:pt idx="9">
                  <c:v>15701</c:v>
                </c:pt>
                <c:pt idx="10">
                  <c:v>16646</c:v>
                </c:pt>
                <c:pt idx="11">
                  <c:v>17835</c:v>
                </c:pt>
                <c:pt idx="12">
                  <c:v>18855</c:v>
                </c:pt>
                <c:pt idx="13" formatCode="General">
                  <c:v>19744</c:v>
                </c:pt>
                <c:pt idx="14">
                  <c:v>20238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518464"/>
        <c:axId val="25520000"/>
      </c:barChart>
      <c:lineChart>
        <c:grouping val="standard"/>
        <c:varyColors val="0"/>
        <c:ser>
          <c:idx val="0"/>
          <c:order val="1"/>
          <c:tx>
            <c:v>Özkaynak Karlılığı (sağ eksen)</c:v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none"/>
          </c:marker>
          <c:cat>
            <c:strRef>
              <c:f>müsvedde!$F$60:$F$74</c:f>
              <c:strCache>
                <c:ptCount val="15"/>
                <c:pt idx="0">
                  <c:v>10/3</c:v>
                </c:pt>
                <c:pt idx="1">
                  <c:v>10/6</c:v>
                </c:pt>
                <c:pt idx="2">
                  <c:v>10/9</c:v>
                </c:pt>
                <c:pt idx="3">
                  <c:v>10/12</c:v>
                </c:pt>
                <c:pt idx="4">
                  <c:v>11/3</c:v>
                </c:pt>
                <c:pt idx="5">
                  <c:v>11/6</c:v>
                </c:pt>
                <c:pt idx="6">
                  <c:v>11/9</c:v>
                </c:pt>
                <c:pt idx="7">
                  <c:v>11/12</c:v>
                </c:pt>
                <c:pt idx="8">
                  <c:v>12/3</c:v>
                </c:pt>
                <c:pt idx="9">
                  <c:v>12/06</c:v>
                </c:pt>
                <c:pt idx="10">
                  <c:v>12/09</c:v>
                </c:pt>
                <c:pt idx="11">
                  <c:v>12/12</c:v>
                </c:pt>
                <c:pt idx="12">
                  <c:v>13/3</c:v>
                </c:pt>
                <c:pt idx="13">
                  <c:v>13/6</c:v>
                </c:pt>
                <c:pt idx="14">
                  <c:v>13/9</c:v>
                </c:pt>
              </c:strCache>
            </c:strRef>
          </c:cat>
          <c:val>
            <c:numRef>
              <c:f>müsvedde!$H$60:$H$74</c:f>
              <c:numCache>
                <c:formatCode>#,##0.0</c:formatCode>
                <c:ptCount val="15"/>
                <c:pt idx="0">
                  <c:v>19.34801986501974</c:v>
                </c:pt>
                <c:pt idx="1">
                  <c:v>19.188054823013783</c:v>
                </c:pt>
                <c:pt idx="2">
                  <c:v>17.99801165264034</c:v>
                </c:pt>
                <c:pt idx="3">
                  <c:v>17.554972144455455</c:v>
                </c:pt>
                <c:pt idx="4">
                  <c:v>16.890528521884494</c:v>
                </c:pt>
                <c:pt idx="5">
                  <c:v>15.963617599314015</c:v>
                </c:pt>
                <c:pt idx="6">
                  <c:v>15.634319587068319</c:v>
                </c:pt>
                <c:pt idx="7">
                  <c:v>15.512104471130053</c:v>
                </c:pt>
                <c:pt idx="8">
                  <c:v>14.719921986219465</c:v>
                </c:pt>
                <c:pt idx="9">
                  <c:v>14.278049578960768</c:v>
                </c:pt>
                <c:pt idx="10">
                  <c:v>14.283385246393973</c:v>
                </c:pt>
                <c:pt idx="11">
                  <c:v>14.024423807314559</c:v>
                </c:pt>
                <c:pt idx="12">
                  <c:v>14.485681666178369</c:v>
                </c:pt>
                <c:pt idx="13">
                  <c:v>15.558952859777145</c:v>
                </c:pt>
                <c:pt idx="14">
                  <c:v>15.618150949220558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534464"/>
        <c:axId val="25536000"/>
      </c:lineChart>
      <c:catAx>
        <c:axId val="255184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25520000"/>
        <c:crosses val="autoZero"/>
        <c:auto val="0"/>
        <c:lblAlgn val="ctr"/>
        <c:lblOffset val="100"/>
        <c:tickLblSkip val="2"/>
        <c:tickMarkSkip val="1"/>
        <c:noMultiLvlLbl val="0"/>
      </c:catAx>
      <c:valAx>
        <c:axId val="25520000"/>
        <c:scaling>
          <c:orientation val="minMax"/>
          <c:min val="1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Milyon TL</a:t>
                </a:r>
              </a:p>
            </c:rich>
          </c:tx>
          <c:layout>
            <c:manualLayout>
              <c:xMode val="edge"/>
              <c:yMode val="edge"/>
              <c:x val="4.1121495327102804E-2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25518464"/>
        <c:crosses val="autoZero"/>
        <c:crossBetween val="between"/>
      </c:valAx>
      <c:catAx>
        <c:axId val="25534464"/>
        <c:scaling>
          <c:orientation val="minMax"/>
        </c:scaling>
        <c:delete val="1"/>
        <c:axPos val="b"/>
        <c:majorTickMark val="out"/>
        <c:minorTickMark val="none"/>
        <c:tickLblPos val="nextTo"/>
        <c:crossAx val="25536000"/>
        <c:crosses val="autoZero"/>
        <c:auto val="0"/>
        <c:lblAlgn val="ctr"/>
        <c:lblOffset val="100"/>
        <c:noMultiLvlLbl val="0"/>
      </c:catAx>
      <c:valAx>
        <c:axId val="25536000"/>
        <c:scaling>
          <c:orientation val="minMax"/>
          <c:min val="10"/>
        </c:scaling>
        <c:delete val="0"/>
        <c:axPos val="r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yüzde</a:t>
                </a:r>
              </a:p>
            </c:rich>
          </c:tx>
          <c:layout>
            <c:manualLayout>
              <c:xMode val="edge"/>
              <c:yMode val="edge"/>
              <c:x val="0.91215031765889076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25534464"/>
        <c:crosses val="max"/>
        <c:crossBetween val="between"/>
        <c:majorUnit val="2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177589717173203"/>
          <c:y val="0.9003141429751188"/>
          <c:w val="0.5962622709544485"/>
          <c:h val="6.2305623012076761E-2"/>
        </c:manualLayout>
      </c:layout>
      <c:overlay val="0"/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tr-TR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EE0E-CC99-448B-8216-FD6874971DF9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7B2EAC-A6DC-4633-81BF-72B5B767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3979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Aslı Özaktan</cp:lastModifiedBy>
  <cp:revision>2</cp:revision>
  <cp:lastPrinted>2013-11-20T12:54:00Z</cp:lastPrinted>
  <dcterms:created xsi:type="dcterms:W3CDTF">2013-11-21T07:54:00Z</dcterms:created>
  <dcterms:modified xsi:type="dcterms:W3CDTF">2013-11-21T07:54:00Z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