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B4" w:rsidRPr="00B22B67" w:rsidRDefault="007176B4" w:rsidP="00D416CA">
      <w:pPr>
        <w:pStyle w:val="Title"/>
        <w:jc w:val="left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4723E4" w:rsidRPr="00B22B67" w:rsidRDefault="004723E4" w:rsidP="00D34B4A">
      <w:pPr>
        <w:pStyle w:val="Title"/>
        <w:rPr>
          <w:rFonts w:ascii="Arial" w:hAnsi="Arial" w:cs="Arial"/>
          <w:sz w:val="26"/>
          <w:szCs w:val="26"/>
        </w:rPr>
      </w:pPr>
    </w:p>
    <w:p w:rsidR="004723E4" w:rsidRPr="00B22B67" w:rsidRDefault="004723E4" w:rsidP="00D34B4A">
      <w:pPr>
        <w:pStyle w:val="Title"/>
        <w:rPr>
          <w:rFonts w:ascii="Arial" w:hAnsi="Arial" w:cs="Arial"/>
          <w:sz w:val="26"/>
          <w:szCs w:val="26"/>
        </w:rPr>
      </w:pPr>
    </w:p>
    <w:p w:rsidR="00154624" w:rsidRPr="00777A17" w:rsidRDefault="00154624" w:rsidP="00D34B4A">
      <w:pPr>
        <w:pStyle w:val="Title"/>
        <w:rPr>
          <w:rFonts w:ascii="Arial" w:hAnsi="Arial" w:cs="Arial"/>
          <w:color w:val="000000" w:themeColor="text1"/>
          <w:sz w:val="26"/>
          <w:szCs w:val="26"/>
        </w:rPr>
      </w:pPr>
      <w:r w:rsidRPr="00777A17">
        <w:rPr>
          <w:rFonts w:ascii="Arial" w:hAnsi="Arial" w:cs="Arial"/>
          <w:color w:val="000000" w:themeColor="text1"/>
          <w:sz w:val="26"/>
          <w:szCs w:val="26"/>
        </w:rPr>
        <w:t>Borsa İstanbul’da</w:t>
      </w:r>
      <w:r w:rsidR="00D734D4" w:rsidRPr="00777A17">
        <w:rPr>
          <w:rFonts w:ascii="Arial" w:hAnsi="Arial" w:cs="Arial"/>
          <w:color w:val="000000" w:themeColor="text1"/>
          <w:sz w:val="26"/>
          <w:szCs w:val="26"/>
        </w:rPr>
        <w:t xml:space="preserve"> (</w:t>
      </w:r>
      <w:r w:rsidRPr="00777A17">
        <w:rPr>
          <w:rFonts w:ascii="Arial" w:hAnsi="Arial" w:cs="Arial"/>
          <w:color w:val="000000" w:themeColor="text1"/>
          <w:sz w:val="26"/>
          <w:szCs w:val="26"/>
        </w:rPr>
        <w:t>BIST</w:t>
      </w:r>
      <w:r w:rsidR="00D734D4" w:rsidRPr="00777A17">
        <w:rPr>
          <w:rFonts w:ascii="Arial" w:hAnsi="Arial" w:cs="Arial"/>
          <w:color w:val="000000" w:themeColor="text1"/>
          <w:sz w:val="26"/>
          <w:szCs w:val="26"/>
        </w:rPr>
        <w:t>)</w:t>
      </w:r>
      <w:r w:rsidR="007060EC" w:rsidRPr="00777A17">
        <w:rPr>
          <w:rFonts w:ascii="Arial" w:hAnsi="Arial" w:cs="Arial"/>
          <w:color w:val="000000" w:themeColor="text1"/>
          <w:sz w:val="26"/>
          <w:szCs w:val="26"/>
        </w:rPr>
        <w:t xml:space="preserve"> İşlem Gören Mevduat Bankaları, </w:t>
      </w:r>
    </w:p>
    <w:p w:rsidR="00544DFA" w:rsidRPr="00777A17" w:rsidRDefault="00367936" w:rsidP="00D34B4A">
      <w:pPr>
        <w:pStyle w:val="Title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Mart </w:t>
      </w:r>
      <w:r w:rsidR="007060EC" w:rsidRPr="00777A17">
        <w:rPr>
          <w:rFonts w:ascii="Arial" w:hAnsi="Arial" w:cs="Arial"/>
          <w:color w:val="000000" w:themeColor="text1"/>
          <w:sz w:val="26"/>
          <w:szCs w:val="26"/>
        </w:rPr>
        <w:t>20</w:t>
      </w:r>
      <w:r w:rsidR="00290CE8" w:rsidRPr="00777A17">
        <w:rPr>
          <w:rFonts w:ascii="Arial" w:hAnsi="Arial" w:cs="Arial"/>
          <w:color w:val="000000" w:themeColor="text1"/>
          <w:sz w:val="26"/>
          <w:szCs w:val="26"/>
        </w:rPr>
        <w:t>1</w:t>
      </w:r>
      <w:r>
        <w:rPr>
          <w:rFonts w:ascii="Arial" w:hAnsi="Arial" w:cs="Arial"/>
          <w:color w:val="000000" w:themeColor="text1"/>
          <w:sz w:val="26"/>
          <w:szCs w:val="26"/>
        </w:rPr>
        <w:t>4</w:t>
      </w:r>
      <w:r w:rsidR="00932962" w:rsidRPr="00777A17">
        <w:rPr>
          <w:rStyle w:val="FootnoteReference"/>
          <w:rFonts w:ascii="Arial" w:hAnsi="Arial" w:cs="Arial"/>
          <w:color w:val="000000" w:themeColor="text1"/>
          <w:sz w:val="26"/>
          <w:szCs w:val="26"/>
        </w:rPr>
        <w:footnoteReference w:id="1"/>
      </w:r>
    </w:p>
    <w:p w:rsidR="004440D6" w:rsidRPr="00777A17" w:rsidRDefault="004440D6" w:rsidP="00544DFA">
      <w:pPr>
        <w:pStyle w:val="Subtitle"/>
        <w:rPr>
          <w:rFonts w:ascii="Arial" w:hAnsi="Arial" w:cs="Arial"/>
          <w:color w:val="000000" w:themeColor="text1"/>
          <w:szCs w:val="24"/>
        </w:rPr>
      </w:pPr>
      <w:bookmarkStart w:id="1" w:name="OLE_LINK3"/>
      <w:bookmarkStart w:id="2" w:name="OLE_LINK4"/>
    </w:p>
    <w:p w:rsidR="00544DFA" w:rsidRPr="00517505" w:rsidRDefault="00D34B4A" w:rsidP="00544DFA">
      <w:pPr>
        <w:pStyle w:val="Subtitle"/>
        <w:rPr>
          <w:rFonts w:ascii="Arial" w:hAnsi="Arial" w:cs="Arial"/>
          <w:szCs w:val="24"/>
        </w:rPr>
      </w:pPr>
      <w:r w:rsidRPr="00517505">
        <w:rPr>
          <w:rFonts w:ascii="Arial" w:hAnsi="Arial" w:cs="Arial"/>
          <w:szCs w:val="24"/>
        </w:rPr>
        <w:t>1</w:t>
      </w:r>
      <w:r w:rsidR="00A97252" w:rsidRPr="00517505">
        <w:rPr>
          <w:rFonts w:ascii="Arial" w:hAnsi="Arial" w:cs="Arial"/>
          <w:szCs w:val="24"/>
        </w:rPr>
        <w:t xml:space="preserve">. </w:t>
      </w:r>
      <w:r w:rsidR="00154624" w:rsidRPr="00517505">
        <w:rPr>
          <w:rFonts w:ascii="Arial" w:hAnsi="Arial" w:cs="Arial"/>
          <w:szCs w:val="24"/>
        </w:rPr>
        <w:t>BIST</w:t>
      </w:r>
      <w:r w:rsidR="00544DFA" w:rsidRPr="00517505">
        <w:rPr>
          <w:rFonts w:ascii="Arial" w:hAnsi="Arial" w:cs="Arial"/>
          <w:szCs w:val="24"/>
        </w:rPr>
        <w:t>’de İ</w:t>
      </w:r>
      <w:r w:rsidR="002C5A1A" w:rsidRPr="00517505">
        <w:rPr>
          <w:rFonts w:ascii="Arial" w:hAnsi="Arial" w:cs="Arial"/>
          <w:szCs w:val="24"/>
        </w:rPr>
        <w:t>şlem Gören Mevduat Bankalarının</w:t>
      </w:r>
      <w:r w:rsidR="00544DFA" w:rsidRPr="00517505">
        <w:rPr>
          <w:rFonts w:ascii="Arial" w:hAnsi="Arial" w:cs="Arial"/>
          <w:szCs w:val="24"/>
        </w:rPr>
        <w:t xml:space="preserve"> Bankacılık Sektörü İçindeki Yeri</w:t>
      </w:r>
    </w:p>
    <w:p w:rsidR="00544DFA" w:rsidRPr="00517505" w:rsidRDefault="00544DFA" w:rsidP="00544DFA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544DFA" w:rsidRPr="00367936" w:rsidRDefault="00517505" w:rsidP="00544DFA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  <w:r w:rsidRPr="00517505">
        <w:rPr>
          <w:rFonts w:ascii="Arial" w:hAnsi="Arial" w:cs="Arial"/>
          <w:b w:val="0"/>
          <w:sz w:val="22"/>
          <w:szCs w:val="22"/>
        </w:rPr>
        <w:t>Mart 2014</w:t>
      </w:r>
      <w:r w:rsidR="00544DFA" w:rsidRPr="00517505">
        <w:rPr>
          <w:rFonts w:ascii="Arial" w:hAnsi="Arial" w:cs="Arial"/>
          <w:b w:val="0"/>
          <w:sz w:val="22"/>
          <w:szCs w:val="22"/>
        </w:rPr>
        <w:t xml:space="preserve"> itibariyle, </w:t>
      </w:r>
      <w:r w:rsidR="0070101B" w:rsidRPr="00517505">
        <w:rPr>
          <w:rFonts w:ascii="Arial" w:hAnsi="Arial" w:cs="Arial"/>
          <w:b w:val="0"/>
          <w:sz w:val="22"/>
          <w:szCs w:val="22"/>
        </w:rPr>
        <w:t>BIST</w:t>
      </w:r>
      <w:r w:rsidR="00544DFA" w:rsidRPr="00517505">
        <w:rPr>
          <w:rFonts w:ascii="Arial" w:hAnsi="Arial" w:cs="Arial"/>
          <w:b w:val="0"/>
          <w:sz w:val="22"/>
          <w:szCs w:val="22"/>
        </w:rPr>
        <w:t>’de işlem gören mevduat banka</w:t>
      </w:r>
      <w:r w:rsidR="009F29D7" w:rsidRPr="00517505">
        <w:rPr>
          <w:rFonts w:ascii="Arial" w:hAnsi="Arial" w:cs="Arial"/>
          <w:b w:val="0"/>
          <w:sz w:val="22"/>
          <w:szCs w:val="22"/>
        </w:rPr>
        <w:t>sı sayısı 12</w:t>
      </w:r>
      <w:r w:rsidR="00544DFA" w:rsidRPr="00517505">
        <w:rPr>
          <w:rFonts w:ascii="Arial" w:hAnsi="Arial" w:cs="Arial"/>
          <w:b w:val="0"/>
          <w:sz w:val="22"/>
          <w:szCs w:val="22"/>
        </w:rPr>
        <w:t xml:space="preserve"> olmuştur.</w:t>
      </w:r>
      <w:r w:rsidR="00DF1B81" w:rsidRPr="00517505">
        <w:rPr>
          <w:rFonts w:ascii="Arial" w:hAnsi="Arial" w:cs="Arial"/>
          <w:b w:val="0"/>
          <w:sz w:val="22"/>
          <w:szCs w:val="22"/>
        </w:rPr>
        <w:t xml:space="preserve"> Bu bankalar,</w:t>
      </w:r>
      <w:r w:rsidR="004D17D7" w:rsidRPr="00517505">
        <w:rPr>
          <w:rFonts w:ascii="Arial" w:hAnsi="Arial" w:cs="Arial"/>
          <w:b w:val="0"/>
          <w:sz w:val="22"/>
          <w:szCs w:val="22"/>
        </w:rPr>
        <w:t xml:space="preserve"> </w:t>
      </w:r>
      <w:r w:rsidR="002F24CF" w:rsidRPr="00517505">
        <w:rPr>
          <w:rFonts w:ascii="Arial" w:hAnsi="Arial" w:cs="Arial"/>
          <w:b w:val="0"/>
          <w:sz w:val="22"/>
          <w:szCs w:val="22"/>
        </w:rPr>
        <w:t>8</w:t>
      </w:r>
      <w:r w:rsidR="00D50042" w:rsidRPr="00517505">
        <w:rPr>
          <w:rFonts w:ascii="Arial" w:hAnsi="Arial" w:cs="Arial"/>
          <w:b w:val="0"/>
          <w:sz w:val="22"/>
          <w:szCs w:val="22"/>
        </w:rPr>
        <w:t>.</w:t>
      </w:r>
      <w:r w:rsidR="004A361F" w:rsidRPr="00517505">
        <w:rPr>
          <w:rFonts w:ascii="Arial" w:hAnsi="Arial" w:cs="Arial"/>
          <w:b w:val="0"/>
          <w:sz w:val="22"/>
          <w:szCs w:val="22"/>
        </w:rPr>
        <w:t>3</w:t>
      </w:r>
      <w:r w:rsidRPr="00517505">
        <w:rPr>
          <w:rFonts w:ascii="Arial" w:hAnsi="Arial" w:cs="Arial"/>
          <w:b w:val="0"/>
          <w:sz w:val="22"/>
          <w:szCs w:val="22"/>
        </w:rPr>
        <w:t>36</w:t>
      </w:r>
      <w:r w:rsidR="00AD1B45" w:rsidRPr="00517505">
        <w:rPr>
          <w:rFonts w:ascii="Arial" w:hAnsi="Arial" w:cs="Arial"/>
          <w:b w:val="0"/>
          <w:sz w:val="22"/>
          <w:szCs w:val="22"/>
        </w:rPr>
        <w:t xml:space="preserve"> şube </w:t>
      </w:r>
      <w:r w:rsidR="002F24CF" w:rsidRPr="00517505">
        <w:rPr>
          <w:rFonts w:ascii="Arial" w:hAnsi="Arial" w:cs="Arial"/>
          <w:b w:val="0"/>
          <w:sz w:val="22"/>
          <w:szCs w:val="22"/>
        </w:rPr>
        <w:t>ve 14</w:t>
      </w:r>
      <w:r w:rsidRPr="00517505">
        <w:rPr>
          <w:rFonts w:ascii="Arial" w:hAnsi="Arial" w:cs="Arial"/>
          <w:b w:val="0"/>
          <w:sz w:val="22"/>
          <w:szCs w:val="22"/>
        </w:rPr>
        <w:t>8</w:t>
      </w:r>
      <w:r w:rsidR="00D50042" w:rsidRPr="00517505">
        <w:rPr>
          <w:rFonts w:ascii="Arial" w:hAnsi="Arial" w:cs="Arial"/>
          <w:b w:val="0"/>
          <w:sz w:val="22"/>
          <w:szCs w:val="22"/>
        </w:rPr>
        <w:t>.</w:t>
      </w:r>
      <w:r w:rsidRPr="00517505">
        <w:rPr>
          <w:rFonts w:ascii="Arial" w:hAnsi="Arial" w:cs="Arial"/>
          <w:b w:val="0"/>
          <w:sz w:val="22"/>
          <w:szCs w:val="22"/>
        </w:rPr>
        <w:t>961</w:t>
      </w:r>
      <w:r w:rsidR="00544DFA" w:rsidRPr="00517505">
        <w:rPr>
          <w:rFonts w:ascii="Arial" w:hAnsi="Arial" w:cs="Arial"/>
          <w:b w:val="0"/>
          <w:sz w:val="22"/>
          <w:szCs w:val="22"/>
        </w:rPr>
        <w:t xml:space="preserve"> personel ile sektördeki </w:t>
      </w:r>
      <w:r w:rsidR="006D04A6" w:rsidRPr="00517505">
        <w:rPr>
          <w:rFonts w:ascii="Arial" w:hAnsi="Arial" w:cs="Arial"/>
          <w:b w:val="0"/>
          <w:sz w:val="22"/>
          <w:szCs w:val="22"/>
        </w:rPr>
        <w:t xml:space="preserve">şubelerin </w:t>
      </w:r>
      <w:r w:rsidR="0070101B" w:rsidRPr="00517505">
        <w:rPr>
          <w:rFonts w:ascii="Arial" w:hAnsi="Arial" w:cs="Arial"/>
          <w:b w:val="0"/>
          <w:sz w:val="22"/>
          <w:szCs w:val="22"/>
        </w:rPr>
        <w:t xml:space="preserve">yüzde </w:t>
      </w:r>
      <w:r w:rsidR="002F24CF" w:rsidRPr="00517505">
        <w:rPr>
          <w:rFonts w:ascii="Arial" w:hAnsi="Arial" w:cs="Arial"/>
          <w:b w:val="0"/>
          <w:sz w:val="22"/>
          <w:szCs w:val="22"/>
        </w:rPr>
        <w:t>75</w:t>
      </w:r>
      <w:r w:rsidR="0048538F" w:rsidRPr="00517505">
        <w:rPr>
          <w:rFonts w:ascii="Arial" w:hAnsi="Arial" w:cs="Arial"/>
          <w:b w:val="0"/>
          <w:sz w:val="22"/>
          <w:szCs w:val="22"/>
        </w:rPr>
        <w:t>’</w:t>
      </w:r>
      <w:r w:rsidR="002F24CF" w:rsidRPr="00517505">
        <w:rPr>
          <w:rFonts w:ascii="Arial" w:hAnsi="Arial" w:cs="Arial"/>
          <w:b w:val="0"/>
          <w:sz w:val="22"/>
          <w:szCs w:val="22"/>
        </w:rPr>
        <w:t>ine</w:t>
      </w:r>
      <w:r w:rsidR="00BF033E" w:rsidRPr="00517505">
        <w:rPr>
          <w:rFonts w:ascii="Arial" w:hAnsi="Arial" w:cs="Arial"/>
          <w:b w:val="0"/>
          <w:sz w:val="22"/>
          <w:szCs w:val="22"/>
        </w:rPr>
        <w:t xml:space="preserve"> </w:t>
      </w:r>
      <w:r w:rsidR="0072685A" w:rsidRPr="00517505">
        <w:rPr>
          <w:rFonts w:ascii="Arial" w:hAnsi="Arial" w:cs="Arial"/>
          <w:b w:val="0"/>
          <w:sz w:val="22"/>
          <w:szCs w:val="22"/>
        </w:rPr>
        <w:t>sahipti</w:t>
      </w:r>
      <w:r w:rsidR="00005663" w:rsidRPr="00517505">
        <w:rPr>
          <w:rFonts w:ascii="Arial" w:hAnsi="Arial" w:cs="Arial"/>
          <w:b w:val="0"/>
          <w:sz w:val="22"/>
          <w:szCs w:val="22"/>
        </w:rPr>
        <w:t>r</w:t>
      </w:r>
      <w:r w:rsidR="0072685A" w:rsidRPr="00517505">
        <w:rPr>
          <w:rFonts w:ascii="Arial" w:hAnsi="Arial" w:cs="Arial"/>
          <w:b w:val="0"/>
          <w:sz w:val="22"/>
          <w:szCs w:val="22"/>
        </w:rPr>
        <w:t xml:space="preserve">ler ve </w:t>
      </w:r>
      <w:r w:rsidR="006D04A6" w:rsidRPr="00517505">
        <w:rPr>
          <w:rFonts w:ascii="Arial" w:hAnsi="Arial" w:cs="Arial"/>
          <w:b w:val="0"/>
          <w:sz w:val="22"/>
          <w:szCs w:val="22"/>
        </w:rPr>
        <w:t xml:space="preserve">personelin yüzde </w:t>
      </w:r>
      <w:r w:rsidR="002F24CF" w:rsidRPr="00517505">
        <w:rPr>
          <w:rFonts w:ascii="Arial" w:hAnsi="Arial" w:cs="Arial"/>
          <w:b w:val="0"/>
          <w:sz w:val="22"/>
          <w:szCs w:val="22"/>
        </w:rPr>
        <w:t>75’ini</w:t>
      </w:r>
      <w:r w:rsidR="0072685A" w:rsidRPr="00517505">
        <w:rPr>
          <w:rFonts w:ascii="Arial" w:hAnsi="Arial" w:cs="Arial"/>
          <w:b w:val="0"/>
          <w:sz w:val="22"/>
          <w:szCs w:val="22"/>
        </w:rPr>
        <w:t xml:space="preserve"> istihdam etmektedirler</w:t>
      </w:r>
      <w:r w:rsidR="0072685A" w:rsidRPr="00367936">
        <w:rPr>
          <w:rFonts w:ascii="Arial" w:hAnsi="Arial" w:cs="Arial"/>
          <w:b w:val="0"/>
          <w:color w:val="FF0000"/>
          <w:sz w:val="22"/>
          <w:szCs w:val="22"/>
        </w:rPr>
        <w:t>.</w:t>
      </w:r>
      <w:r w:rsidR="00544DFA" w:rsidRPr="00367936">
        <w:rPr>
          <w:rFonts w:ascii="Arial" w:hAnsi="Arial" w:cs="Arial"/>
          <w:b w:val="0"/>
          <w:color w:val="FF0000"/>
          <w:sz w:val="22"/>
          <w:szCs w:val="22"/>
        </w:rPr>
        <w:t xml:space="preserve"> </w:t>
      </w:r>
    </w:p>
    <w:p w:rsidR="0072685A" w:rsidRPr="00367936" w:rsidRDefault="0072685A" w:rsidP="00544DFA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:rsidR="00544DFA" w:rsidRPr="00B92854" w:rsidRDefault="0070101B" w:rsidP="00544DFA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B92854">
        <w:rPr>
          <w:rFonts w:ascii="Arial" w:hAnsi="Arial" w:cs="Arial"/>
          <w:b w:val="0"/>
          <w:sz w:val="22"/>
          <w:szCs w:val="22"/>
        </w:rPr>
        <w:t>BIST</w:t>
      </w:r>
      <w:r w:rsidR="00544DFA" w:rsidRPr="00B92854">
        <w:rPr>
          <w:rFonts w:ascii="Arial" w:hAnsi="Arial" w:cs="Arial"/>
          <w:b w:val="0"/>
          <w:sz w:val="22"/>
          <w:szCs w:val="22"/>
        </w:rPr>
        <w:t xml:space="preserve">’de işlem gören mevduat bankalarının, </w:t>
      </w:r>
      <w:r w:rsidR="00517505" w:rsidRPr="00B92854">
        <w:rPr>
          <w:rFonts w:ascii="Arial" w:hAnsi="Arial" w:cs="Arial"/>
          <w:b w:val="0"/>
          <w:sz w:val="22"/>
          <w:szCs w:val="22"/>
        </w:rPr>
        <w:t>Mart</w:t>
      </w:r>
      <w:r w:rsidR="00323632" w:rsidRPr="00B92854">
        <w:rPr>
          <w:rFonts w:ascii="Arial" w:hAnsi="Arial" w:cs="Arial"/>
          <w:b w:val="0"/>
          <w:sz w:val="22"/>
          <w:szCs w:val="22"/>
        </w:rPr>
        <w:t xml:space="preserve"> </w:t>
      </w:r>
      <w:r w:rsidR="00B92854">
        <w:rPr>
          <w:rFonts w:ascii="Arial" w:hAnsi="Arial" w:cs="Arial"/>
          <w:b w:val="0"/>
          <w:sz w:val="22"/>
          <w:szCs w:val="22"/>
        </w:rPr>
        <w:t>2014</w:t>
      </w:r>
      <w:r w:rsidR="00544DFA" w:rsidRPr="00B92854">
        <w:rPr>
          <w:rFonts w:ascii="Arial" w:hAnsi="Arial" w:cs="Arial"/>
          <w:b w:val="0"/>
          <w:sz w:val="22"/>
          <w:szCs w:val="22"/>
        </w:rPr>
        <w:t xml:space="preserve"> itibariyle, sektör toplam </w:t>
      </w:r>
      <w:r w:rsidR="008A4022" w:rsidRPr="00B92854">
        <w:rPr>
          <w:rFonts w:ascii="Arial" w:hAnsi="Arial" w:cs="Arial"/>
          <w:b w:val="0"/>
          <w:sz w:val="22"/>
          <w:szCs w:val="22"/>
        </w:rPr>
        <w:t xml:space="preserve">aktifleri içindeki payı </w:t>
      </w:r>
      <w:r w:rsidR="00B92854" w:rsidRPr="00B92854">
        <w:rPr>
          <w:rFonts w:ascii="Arial" w:hAnsi="Arial" w:cs="Arial"/>
          <w:b w:val="0"/>
          <w:sz w:val="22"/>
          <w:szCs w:val="22"/>
        </w:rPr>
        <w:t xml:space="preserve">bir önceki çeyreğe göre 1 puan azalarak </w:t>
      </w:r>
      <w:r w:rsidR="008A4022" w:rsidRPr="00B92854">
        <w:rPr>
          <w:rFonts w:ascii="Arial" w:hAnsi="Arial" w:cs="Arial"/>
          <w:b w:val="0"/>
          <w:sz w:val="22"/>
          <w:szCs w:val="22"/>
        </w:rPr>
        <w:t>yüzde</w:t>
      </w:r>
      <w:r w:rsidR="00110161" w:rsidRPr="00B92854">
        <w:rPr>
          <w:rFonts w:ascii="Arial" w:hAnsi="Arial" w:cs="Arial"/>
          <w:b w:val="0"/>
          <w:sz w:val="22"/>
          <w:szCs w:val="22"/>
        </w:rPr>
        <w:t xml:space="preserve"> 7</w:t>
      </w:r>
      <w:r w:rsidR="00B92854" w:rsidRPr="00B92854">
        <w:rPr>
          <w:rFonts w:ascii="Arial" w:hAnsi="Arial" w:cs="Arial"/>
          <w:b w:val="0"/>
          <w:sz w:val="22"/>
          <w:szCs w:val="22"/>
        </w:rPr>
        <w:t xml:space="preserve">4 olurken, </w:t>
      </w:r>
      <w:r w:rsidR="00544DFA" w:rsidRPr="00B92854">
        <w:rPr>
          <w:rFonts w:ascii="Arial" w:hAnsi="Arial" w:cs="Arial"/>
          <w:b w:val="0"/>
          <w:sz w:val="22"/>
          <w:szCs w:val="22"/>
        </w:rPr>
        <w:t>toplam</w:t>
      </w:r>
      <w:r w:rsidR="00601214" w:rsidRPr="00B92854">
        <w:rPr>
          <w:rFonts w:ascii="Arial" w:hAnsi="Arial" w:cs="Arial"/>
          <w:b w:val="0"/>
          <w:sz w:val="22"/>
          <w:szCs w:val="22"/>
        </w:rPr>
        <w:t xml:space="preserve"> kredil</w:t>
      </w:r>
      <w:r w:rsidR="00694C70" w:rsidRPr="00B92854">
        <w:rPr>
          <w:rFonts w:ascii="Arial" w:hAnsi="Arial" w:cs="Arial"/>
          <w:b w:val="0"/>
          <w:sz w:val="22"/>
          <w:szCs w:val="22"/>
        </w:rPr>
        <w:t xml:space="preserve">er içindeki payı yüzde </w:t>
      </w:r>
      <w:r w:rsidR="00323632" w:rsidRPr="00B92854">
        <w:rPr>
          <w:rFonts w:ascii="Arial" w:hAnsi="Arial" w:cs="Arial"/>
          <w:b w:val="0"/>
          <w:sz w:val="22"/>
          <w:szCs w:val="22"/>
        </w:rPr>
        <w:t>7</w:t>
      </w:r>
      <w:r w:rsidR="00B92854" w:rsidRPr="00B92854">
        <w:rPr>
          <w:rFonts w:ascii="Arial" w:hAnsi="Arial" w:cs="Arial"/>
          <w:b w:val="0"/>
          <w:sz w:val="22"/>
          <w:szCs w:val="22"/>
        </w:rPr>
        <w:t>7</w:t>
      </w:r>
      <w:r w:rsidR="00544DFA" w:rsidRPr="00B92854">
        <w:rPr>
          <w:rFonts w:ascii="Arial" w:hAnsi="Arial" w:cs="Arial"/>
          <w:b w:val="0"/>
          <w:sz w:val="22"/>
          <w:szCs w:val="22"/>
        </w:rPr>
        <w:t xml:space="preserve"> ve topla</w:t>
      </w:r>
      <w:r w:rsidR="00710A75" w:rsidRPr="00B92854">
        <w:rPr>
          <w:rFonts w:ascii="Arial" w:hAnsi="Arial" w:cs="Arial"/>
          <w:b w:val="0"/>
          <w:sz w:val="22"/>
          <w:szCs w:val="22"/>
        </w:rPr>
        <w:t xml:space="preserve">m mevduat içindeki payı yüzde </w:t>
      </w:r>
      <w:r w:rsidR="008A479E" w:rsidRPr="00B92854">
        <w:rPr>
          <w:rFonts w:ascii="Arial" w:hAnsi="Arial" w:cs="Arial"/>
          <w:b w:val="0"/>
          <w:sz w:val="22"/>
          <w:szCs w:val="22"/>
        </w:rPr>
        <w:t>8</w:t>
      </w:r>
      <w:r w:rsidR="00814A25" w:rsidRPr="00B92854">
        <w:rPr>
          <w:rFonts w:ascii="Arial" w:hAnsi="Arial" w:cs="Arial"/>
          <w:b w:val="0"/>
          <w:sz w:val="22"/>
          <w:szCs w:val="22"/>
        </w:rPr>
        <w:t>3</w:t>
      </w:r>
      <w:r w:rsidR="00544DFA" w:rsidRPr="00B92854">
        <w:rPr>
          <w:rFonts w:ascii="Arial" w:hAnsi="Arial" w:cs="Arial"/>
          <w:b w:val="0"/>
          <w:sz w:val="22"/>
          <w:szCs w:val="22"/>
        </w:rPr>
        <w:t xml:space="preserve"> olmuştur.</w:t>
      </w:r>
    </w:p>
    <w:p w:rsidR="00544DFA" w:rsidRPr="00B92854" w:rsidRDefault="00544DFA" w:rsidP="00544DFA">
      <w:pPr>
        <w:rPr>
          <w:rFonts w:ascii="Arial" w:hAnsi="Arial" w:cs="Arial"/>
          <w:b/>
          <w:sz w:val="22"/>
          <w:szCs w:val="22"/>
        </w:rPr>
      </w:pPr>
    </w:p>
    <w:p w:rsidR="00373BB1" w:rsidRPr="00B92854" w:rsidRDefault="005839EF" w:rsidP="00373BB1">
      <w:pPr>
        <w:pStyle w:val="Subtitle"/>
        <w:rPr>
          <w:rFonts w:ascii="Arial" w:hAnsi="Arial" w:cs="Arial"/>
          <w:szCs w:val="24"/>
        </w:rPr>
      </w:pPr>
      <w:r w:rsidRPr="00B92854">
        <w:rPr>
          <w:rFonts w:ascii="Arial" w:hAnsi="Arial" w:cs="Arial"/>
          <w:szCs w:val="24"/>
        </w:rPr>
        <w:t>2</w:t>
      </w:r>
      <w:r w:rsidR="00A97252" w:rsidRPr="00B92854">
        <w:rPr>
          <w:rFonts w:ascii="Arial" w:hAnsi="Arial" w:cs="Arial"/>
          <w:szCs w:val="24"/>
        </w:rPr>
        <w:t xml:space="preserve">. </w:t>
      </w:r>
      <w:r w:rsidR="0070101B" w:rsidRPr="00B92854">
        <w:rPr>
          <w:rFonts w:ascii="Arial" w:hAnsi="Arial" w:cs="Arial"/>
          <w:szCs w:val="24"/>
        </w:rPr>
        <w:t>BIST</w:t>
      </w:r>
      <w:r w:rsidR="00373BB1" w:rsidRPr="00B92854">
        <w:rPr>
          <w:rFonts w:ascii="Arial" w:hAnsi="Arial" w:cs="Arial"/>
          <w:szCs w:val="24"/>
        </w:rPr>
        <w:t>’de İşlem Gören Mevduat Bankalarındaki Gelişmeler</w:t>
      </w:r>
    </w:p>
    <w:p w:rsidR="00373BB1" w:rsidRPr="00B92854" w:rsidRDefault="00373BB1" w:rsidP="00373BB1">
      <w:pPr>
        <w:pStyle w:val="Subtitle"/>
        <w:rPr>
          <w:rFonts w:ascii="Arial" w:hAnsi="Arial" w:cs="Arial"/>
          <w:sz w:val="22"/>
          <w:szCs w:val="22"/>
        </w:rPr>
      </w:pPr>
    </w:p>
    <w:p w:rsidR="00373BB1" w:rsidRPr="00B92854" w:rsidRDefault="0070101B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B92854">
        <w:rPr>
          <w:rFonts w:ascii="Arial" w:hAnsi="Arial" w:cs="Arial"/>
          <w:b w:val="0"/>
          <w:sz w:val="22"/>
          <w:szCs w:val="22"/>
        </w:rPr>
        <w:t>BIST</w:t>
      </w:r>
      <w:r w:rsidR="00373BB1" w:rsidRPr="00B92854">
        <w:rPr>
          <w:rFonts w:ascii="Arial" w:hAnsi="Arial" w:cs="Arial"/>
          <w:b w:val="0"/>
          <w:sz w:val="22"/>
          <w:szCs w:val="22"/>
        </w:rPr>
        <w:t>’de işlem gören mevduat bankalarının toplam aktifleri</w:t>
      </w:r>
      <w:r w:rsidR="00583A9A" w:rsidRPr="00B92854">
        <w:rPr>
          <w:rFonts w:ascii="Arial" w:hAnsi="Arial" w:cs="Arial"/>
          <w:b w:val="0"/>
          <w:sz w:val="22"/>
          <w:szCs w:val="22"/>
        </w:rPr>
        <w:t>,</w:t>
      </w:r>
      <w:r w:rsidR="00373BB1" w:rsidRPr="00B92854">
        <w:rPr>
          <w:rFonts w:ascii="Arial" w:hAnsi="Arial" w:cs="Arial"/>
          <w:b w:val="0"/>
          <w:sz w:val="22"/>
          <w:szCs w:val="22"/>
        </w:rPr>
        <w:t xml:space="preserve"> </w:t>
      </w:r>
      <w:r w:rsidR="00B92854" w:rsidRPr="00B92854">
        <w:rPr>
          <w:rFonts w:ascii="Arial" w:hAnsi="Arial" w:cs="Arial"/>
          <w:b w:val="0"/>
          <w:sz w:val="22"/>
          <w:szCs w:val="22"/>
        </w:rPr>
        <w:t>Mart 2014</w:t>
      </w:r>
      <w:r w:rsidR="00583A9A" w:rsidRPr="00B92854">
        <w:rPr>
          <w:rFonts w:ascii="Arial" w:hAnsi="Arial" w:cs="Arial"/>
          <w:b w:val="0"/>
          <w:sz w:val="22"/>
          <w:szCs w:val="22"/>
        </w:rPr>
        <w:t xml:space="preserve"> itibariyle</w:t>
      </w:r>
      <w:r w:rsidR="00373BB1" w:rsidRPr="00B92854">
        <w:rPr>
          <w:rFonts w:ascii="Arial" w:hAnsi="Arial" w:cs="Arial"/>
          <w:b w:val="0"/>
          <w:sz w:val="22"/>
          <w:szCs w:val="22"/>
        </w:rPr>
        <w:t xml:space="preserve"> bir yıl önceye göre yüzde </w:t>
      </w:r>
      <w:r w:rsidR="00B92854" w:rsidRPr="00B92854">
        <w:rPr>
          <w:rFonts w:ascii="Arial" w:hAnsi="Arial" w:cs="Arial"/>
          <w:b w:val="0"/>
          <w:sz w:val="22"/>
          <w:szCs w:val="22"/>
        </w:rPr>
        <w:t>24</w:t>
      </w:r>
      <w:r w:rsidR="00694405" w:rsidRPr="00B92854">
        <w:rPr>
          <w:rFonts w:ascii="Arial" w:hAnsi="Arial" w:cs="Arial"/>
          <w:b w:val="0"/>
          <w:sz w:val="22"/>
          <w:szCs w:val="22"/>
        </w:rPr>
        <w:t xml:space="preserve"> artarak, </w:t>
      </w:r>
      <w:r w:rsidR="00EC68BF" w:rsidRPr="00B92854">
        <w:rPr>
          <w:rFonts w:ascii="Arial" w:hAnsi="Arial" w:cs="Arial"/>
          <w:b w:val="0"/>
          <w:sz w:val="22"/>
          <w:szCs w:val="22"/>
        </w:rPr>
        <w:t>1.</w:t>
      </w:r>
      <w:r w:rsidR="00B92854" w:rsidRPr="00B92854">
        <w:rPr>
          <w:rFonts w:ascii="Arial" w:hAnsi="Arial" w:cs="Arial"/>
          <w:b w:val="0"/>
          <w:sz w:val="22"/>
          <w:szCs w:val="22"/>
        </w:rPr>
        <w:t>267</w:t>
      </w:r>
      <w:r w:rsidR="00373BB1" w:rsidRPr="00B92854">
        <w:rPr>
          <w:rFonts w:ascii="Arial" w:hAnsi="Arial" w:cs="Arial"/>
          <w:b w:val="0"/>
          <w:sz w:val="22"/>
          <w:szCs w:val="22"/>
        </w:rPr>
        <w:t xml:space="preserve"> milyar TL’ye yükselmiştir. </w:t>
      </w:r>
    </w:p>
    <w:p w:rsidR="00373BB1" w:rsidRPr="00367936" w:rsidRDefault="00373BB1" w:rsidP="00373BB1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:rsidR="00373BB1" w:rsidRPr="00DC20B9" w:rsidRDefault="00373BB1" w:rsidP="00373BB1">
      <w:pPr>
        <w:pStyle w:val="Subtitle"/>
        <w:jc w:val="center"/>
        <w:rPr>
          <w:rFonts w:ascii="Arial" w:hAnsi="Arial" w:cs="Arial"/>
          <w:szCs w:val="24"/>
        </w:rPr>
      </w:pPr>
      <w:r w:rsidRPr="00DC20B9">
        <w:rPr>
          <w:rFonts w:ascii="Arial" w:hAnsi="Arial" w:cs="Arial"/>
          <w:szCs w:val="24"/>
        </w:rPr>
        <w:t>Aktif Kalemlerdeki Gelişmeler (Milyon TL)</w:t>
      </w:r>
    </w:p>
    <w:p w:rsidR="00315335" w:rsidRPr="00DC20B9" w:rsidRDefault="00315335" w:rsidP="00373BB1">
      <w:pPr>
        <w:pStyle w:val="Subtitle"/>
        <w:jc w:val="center"/>
        <w:rPr>
          <w:rFonts w:ascii="Arial" w:hAnsi="Arial" w:cs="Arial"/>
          <w:szCs w:val="24"/>
        </w:rPr>
      </w:pPr>
    </w:p>
    <w:tbl>
      <w:tblPr>
        <w:tblW w:w="74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1032"/>
        <w:gridCol w:w="1196"/>
        <w:gridCol w:w="1276"/>
        <w:gridCol w:w="1418"/>
      </w:tblGrid>
      <w:tr w:rsidR="00EF7712" w:rsidRPr="00DC20B9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DC20B9" w:rsidRDefault="00EF7712" w:rsidP="008610C7">
            <w:pPr>
              <w:rPr>
                <w:rFonts w:ascii="Arial" w:hAnsi="Arial" w:cs="Arial"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DC20B9" w:rsidRDefault="00EF7712" w:rsidP="008610C7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Mar.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DC20B9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Mar.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DC20B9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Yıllık yüzde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DC20B9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Yüzde pay</w:t>
            </w:r>
          </w:p>
        </w:tc>
      </w:tr>
      <w:tr w:rsidR="00EF7712" w:rsidRPr="00DC20B9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DC20B9" w:rsidRDefault="00EF7712" w:rsidP="008610C7">
            <w:pPr>
              <w:rPr>
                <w:rFonts w:ascii="Arial" w:hAnsi="Arial" w:cs="Arial"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DC20B9" w:rsidRDefault="00EF7712" w:rsidP="008610C7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2014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DC20B9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DC20B9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değişme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DC20B9" w:rsidRDefault="00EF7712" w:rsidP="00EF7712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Mar. 2014</w:t>
            </w:r>
          </w:p>
        </w:tc>
      </w:tr>
      <w:tr w:rsidR="003629D9" w:rsidRPr="00367936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DC20B9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Likit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189.722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139.542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15</w:t>
            </w:r>
          </w:p>
        </w:tc>
      </w:tr>
      <w:tr w:rsidR="003629D9" w:rsidRPr="00367936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DC20B9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Menkul değerler cüzdanı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228.725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204.225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18</w:t>
            </w:r>
          </w:p>
        </w:tc>
      </w:tr>
      <w:tr w:rsidR="003629D9" w:rsidRPr="00367936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DC20B9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Krediler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794.823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634.098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63</w:t>
            </w:r>
          </w:p>
        </w:tc>
      </w:tr>
      <w:tr w:rsidR="003629D9" w:rsidRPr="00367936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DC20B9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-Takipteki krediler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23.446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19.203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2</w:t>
            </w:r>
          </w:p>
        </w:tc>
      </w:tr>
      <w:tr w:rsidR="003629D9" w:rsidRPr="00367936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DC20B9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-Özel karşılıklar (-)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18.765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14.920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</w:t>
            </w:r>
          </w:p>
        </w:tc>
      </w:tr>
      <w:tr w:rsidR="003629D9" w:rsidRPr="00367936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DC20B9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Duran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4205F5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32.630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30.132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3</w:t>
            </w:r>
          </w:p>
        </w:tc>
      </w:tr>
      <w:tr w:rsidR="003629D9" w:rsidRPr="00367936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DC20B9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Diğer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D9" w:rsidRPr="003629D9" w:rsidRDefault="003629D9" w:rsidP="004205F5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21.895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14.668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2</w:t>
            </w:r>
          </w:p>
        </w:tc>
      </w:tr>
      <w:tr w:rsidR="003629D9" w:rsidRPr="00367936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DC20B9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>Toplam aktifler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1.267.795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1.022.665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100</w:t>
            </w:r>
          </w:p>
        </w:tc>
      </w:tr>
      <w:tr w:rsidR="003629D9" w:rsidRPr="00367936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DC20B9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 TL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825.338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693.080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65</w:t>
            </w:r>
          </w:p>
        </w:tc>
      </w:tr>
      <w:tr w:rsidR="003629D9" w:rsidRPr="00367936" w:rsidTr="00EF7712">
        <w:trPr>
          <w:trHeight w:val="20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DC20B9" w:rsidRDefault="003629D9" w:rsidP="008610C7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DC20B9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 YP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8610C7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442.457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329.585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EF7712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35</w:t>
            </w:r>
          </w:p>
        </w:tc>
      </w:tr>
    </w:tbl>
    <w:p w:rsidR="00373BB1" w:rsidRPr="00367936" w:rsidRDefault="00373BB1" w:rsidP="00373BB1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:rsidR="006D7755" w:rsidRPr="00B92854" w:rsidRDefault="00B92854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B92854">
        <w:rPr>
          <w:rFonts w:ascii="Arial" w:hAnsi="Arial" w:cs="Arial"/>
          <w:b w:val="0"/>
          <w:sz w:val="22"/>
          <w:szCs w:val="22"/>
        </w:rPr>
        <w:t xml:space="preserve">2014 yılının ilk çeyreğinde </w:t>
      </w:r>
      <w:r w:rsidR="00A44544" w:rsidRPr="00B92854">
        <w:rPr>
          <w:rFonts w:ascii="Arial" w:hAnsi="Arial" w:cs="Arial"/>
          <w:b w:val="0"/>
          <w:sz w:val="22"/>
          <w:szCs w:val="22"/>
        </w:rPr>
        <w:t>likit aktifler</w:t>
      </w:r>
      <w:r w:rsidRPr="00B92854">
        <w:rPr>
          <w:rFonts w:ascii="Arial" w:hAnsi="Arial" w:cs="Arial"/>
          <w:b w:val="0"/>
          <w:sz w:val="22"/>
          <w:szCs w:val="22"/>
        </w:rPr>
        <w:t xml:space="preserve"> bir önceki yılın aynı dönemine göre </w:t>
      </w:r>
      <w:r w:rsidR="00567171" w:rsidRPr="00B92854">
        <w:rPr>
          <w:rFonts w:ascii="Arial" w:hAnsi="Arial" w:cs="Arial"/>
          <w:b w:val="0"/>
          <w:sz w:val="22"/>
          <w:szCs w:val="22"/>
        </w:rPr>
        <w:t xml:space="preserve">yüzde </w:t>
      </w:r>
      <w:r w:rsidRPr="00B92854">
        <w:rPr>
          <w:rFonts w:ascii="Arial" w:hAnsi="Arial" w:cs="Arial"/>
          <w:b w:val="0"/>
          <w:sz w:val="22"/>
          <w:szCs w:val="22"/>
        </w:rPr>
        <w:t>3</w:t>
      </w:r>
      <w:r w:rsidR="006B5546" w:rsidRPr="00B92854">
        <w:rPr>
          <w:rFonts w:ascii="Arial" w:hAnsi="Arial" w:cs="Arial"/>
          <w:b w:val="0"/>
          <w:sz w:val="22"/>
          <w:szCs w:val="22"/>
        </w:rPr>
        <w:t>6</w:t>
      </w:r>
      <w:r w:rsidR="00A44544" w:rsidRPr="00B92854">
        <w:rPr>
          <w:rFonts w:ascii="Arial" w:hAnsi="Arial" w:cs="Arial"/>
          <w:b w:val="0"/>
          <w:sz w:val="22"/>
          <w:szCs w:val="22"/>
        </w:rPr>
        <w:t xml:space="preserve"> </w:t>
      </w:r>
      <w:r w:rsidR="001D540E" w:rsidRPr="00B92854">
        <w:rPr>
          <w:rFonts w:ascii="Arial" w:hAnsi="Arial" w:cs="Arial"/>
          <w:b w:val="0"/>
          <w:sz w:val="22"/>
          <w:szCs w:val="22"/>
        </w:rPr>
        <w:t>büyümüştür</w:t>
      </w:r>
      <w:r w:rsidR="00A44544" w:rsidRPr="00B92854">
        <w:rPr>
          <w:rFonts w:ascii="Arial" w:hAnsi="Arial" w:cs="Arial"/>
          <w:b w:val="0"/>
          <w:sz w:val="22"/>
          <w:szCs w:val="22"/>
        </w:rPr>
        <w:t>.</w:t>
      </w:r>
      <w:r w:rsidRPr="00B92854">
        <w:rPr>
          <w:rFonts w:ascii="Arial" w:hAnsi="Arial" w:cs="Arial"/>
          <w:b w:val="0"/>
          <w:sz w:val="22"/>
          <w:szCs w:val="22"/>
        </w:rPr>
        <w:t xml:space="preserve"> Özellikle para piyasasından alacaklar kalemindeki yüksek oranlı büyüme dikkat çekmektedir. Aynı dönemde m</w:t>
      </w:r>
      <w:r w:rsidR="00315335" w:rsidRPr="00B92854">
        <w:rPr>
          <w:rFonts w:ascii="Arial" w:hAnsi="Arial" w:cs="Arial"/>
          <w:b w:val="0"/>
          <w:sz w:val="22"/>
          <w:szCs w:val="22"/>
        </w:rPr>
        <w:t>enkul değerler cüzdanı</w:t>
      </w:r>
      <w:r w:rsidR="00373BB1" w:rsidRPr="00B92854">
        <w:rPr>
          <w:rFonts w:ascii="Arial" w:hAnsi="Arial" w:cs="Arial"/>
          <w:b w:val="0"/>
          <w:sz w:val="22"/>
          <w:szCs w:val="22"/>
        </w:rPr>
        <w:t xml:space="preserve"> yüzde </w:t>
      </w:r>
      <w:r w:rsidRPr="00B92854">
        <w:rPr>
          <w:rFonts w:ascii="Arial" w:hAnsi="Arial" w:cs="Arial"/>
          <w:b w:val="0"/>
          <w:sz w:val="22"/>
          <w:szCs w:val="22"/>
        </w:rPr>
        <w:t>12</w:t>
      </w:r>
      <w:r w:rsidR="001D540E" w:rsidRPr="00B92854">
        <w:rPr>
          <w:rFonts w:ascii="Arial" w:hAnsi="Arial" w:cs="Arial"/>
          <w:b w:val="0"/>
          <w:sz w:val="22"/>
          <w:szCs w:val="22"/>
        </w:rPr>
        <w:t xml:space="preserve">, </w:t>
      </w:r>
      <w:r w:rsidR="00CA32CB" w:rsidRPr="00B92854">
        <w:rPr>
          <w:rFonts w:ascii="Arial" w:hAnsi="Arial" w:cs="Arial"/>
          <w:b w:val="0"/>
          <w:sz w:val="22"/>
          <w:szCs w:val="22"/>
        </w:rPr>
        <w:t>kredil</w:t>
      </w:r>
      <w:r w:rsidR="00A44544" w:rsidRPr="00B92854">
        <w:rPr>
          <w:rFonts w:ascii="Arial" w:hAnsi="Arial" w:cs="Arial"/>
          <w:b w:val="0"/>
          <w:sz w:val="22"/>
          <w:szCs w:val="22"/>
        </w:rPr>
        <w:t xml:space="preserve">er </w:t>
      </w:r>
      <w:r w:rsidR="00F16D4F" w:rsidRPr="00B92854">
        <w:rPr>
          <w:rFonts w:ascii="Arial" w:hAnsi="Arial" w:cs="Arial"/>
          <w:b w:val="0"/>
          <w:sz w:val="22"/>
          <w:szCs w:val="22"/>
        </w:rPr>
        <w:t xml:space="preserve">ise </w:t>
      </w:r>
      <w:r w:rsidR="00A44544" w:rsidRPr="00B92854">
        <w:rPr>
          <w:rFonts w:ascii="Arial" w:hAnsi="Arial" w:cs="Arial"/>
          <w:b w:val="0"/>
          <w:sz w:val="22"/>
          <w:szCs w:val="22"/>
        </w:rPr>
        <w:t xml:space="preserve">yüzde </w:t>
      </w:r>
      <w:r w:rsidR="006B5546" w:rsidRPr="00B92854">
        <w:rPr>
          <w:rFonts w:ascii="Arial" w:hAnsi="Arial" w:cs="Arial"/>
          <w:b w:val="0"/>
          <w:sz w:val="22"/>
          <w:szCs w:val="22"/>
        </w:rPr>
        <w:t>2</w:t>
      </w:r>
      <w:r w:rsidRPr="00B92854">
        <w:rPr>
          <w:rFonts w:ascii="Arial" w:hAnsi="Arial" w:cs="Arial"/>
          <w:b w:val="0"/>
          <w:sz w:val="22"/>
          <w:szCs w:val="22"/>
        </w:rPr>
        <w:t>5</w:t>
      </w:r>
      <w:r w:rsidR="00315335" w:rsidRPr="00B92854">
        <w:rPr>
          <w:rFonts w:ascii="Arial" w:hAnsi="Arial" w:cs="Arial"/>
          <w:b w:val="0"/>
          <w:sz w:val="22"/>
          <w:szCs w:val="22"/>
        </w:rPr>
        <w:t xml:space="preserve"> </w:t>
      </w:r>
      <w:r w:rsidR="00373BB1" w:rsidRPr="00B92854">
        <w:rPr>
          <w:rFonts w:ascii="Arial" w:hAnsi="Arial" w:cs="Arial"/>
          <w:b w:val="0"/>
          <w:sz w:val="22"/>
          <w:szCs w:val="22"/>
        </w:rPr>
        <w:t>oranında artmıştır</w:t>
      </w:r>
      <w:r w:rsidR="006538FE" w:rsidRPr="00B92854">
        <w:rPr>
          <w:rFonts w:ascii="Arial" w:hAnsi="Arial" w:cs="Arial"/>
          <w:b w:val="0"/>
          <w:sz w:val="22"/>
          <w:szCs w:val="22"/>
        </w:rPr>
        <w:t>.</w:t>
      </w:r>
      <w:r w:rsidR="001D540E" w:rsidRPr="00B92854">
        <w:rPr>
          <w:rFonts w:ascii="Arial" w:hAnsi="Arial" w:cs="Arial"/>
          <w:b w:val="0"/>
          <w:sz w:val="22"/>
          <w:szCs w:val="22"/>
        </w:rPr>
        <w:t xml:space="preserve"> </w:t>
      </w:r>
      <w:r w:rsidR="002F24CF" w:rsidRPr="00B92854">
        <w:rPr>
          <w:rFonts w:ascii="Arial" w:hAnsi="Arial" w:cs="Arial"/>
          <w:b w:val="0"/>
          <w:sz w:val="22"/>
          <w:szCs w:val="22"/>
        </w:rPr>
        <w:t>Kredi büyümesi bilanço büyümesi üzerinde belirleyici rol oynam</w:t>
      </w:r>
      <w:r>
        <w:rPr>
          <w:rFonts w:ascii="Arial" w:hAnsi="Arial" w:cs="Arial"/>
          <w:b w:val="0"/>
          <w:sz w:val="22"/>
          <w:szCs w:val="22"/>
        </w:rPr>
        <w:t xml:space="preserve">aya devam etmiştir. </w:t>
      </w:r>
    </w:p>
    <w:p w:rsidR="001D540E" w:rsidRPr="00B92854" w:rsidRDefault="001D540E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373BB1" w:rsidRPr="00626E1B" w:rsidRDefault="002758FF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K</w:t>
      </w:r>
      <w:r w:rsidR="00373BB1" w:rsidRPr="00B92854">
        <w:rPr>
          <w:rFonts w:ascii="Arial" w:hAnsi="Arial" w:cs="Arial"/>
          <w:b w:val="0"/>
          <w:sz w:val="22"/>
          <w:szCs w:val="22"/>
        </w:rPr>
        <w:t>redilerin toplam</w:t>
      </w:r>
      <w:r w:rsidR="001D7456" w:rsidRPr="00B92854">
        <w:rPr>
          <w:rFonts w:ascii="Arial" w:hAnsi="Arial" w:cs="Arial"/>
          <w:b w:val="0"/>
          <w:sz w:val="22"/>
          <w:szCs w:val="22"/>
        </w:rPr>
        <w:t xml:space="preserve"> aktifler içi</w:t>
      </w:r>
      <w:r w:rsidR="007526A6" w:rsidRPr="00B92854">
        <w:rPr>
          <w:rFonts w:ascii="Arial" w:hAnsi="Arial" w:cs="Arial"/>
          <w:b w:val="0"/>
          <w:sz w:val="22"/>
          <w:szCs w:val="22"/>
        </w:rPr>
        <w:t xml:space="preserve">ndeki payı </w:t>
      </w:r>
      <w:r>
        <w:rPr>
          <w:rFonts w:ascii="Arial" w:hAnsi="Arial" w:cs="Arial"/>
          <w:b w:val="0"/>
          <w:sz w:val="22"/>
          <w:szCs w:val="22"/>
        </w:rPr>
        <w:t xml:space="preserve">Mart 2014 itibariyle </w:t>
      </w:r>
      <w:r w:rsidR="007526A6" w:rsidRPr="00B92854">
        <w:rPr>
          <w:rFonts w:ascii="Arial" w:hAnsi="Arial" w:cs="Arial"/>
          <w:b w:val="0"/>
          <w:sz w:val="22"/>
          <w:szCs w:val="22"/>
        </w:rPr>
        <w:t xml:space="preserve">yüzde </w:t>
      </w:r>
      <w:r w:rsidR="008D3FC2" w:rsidRPr="00B92854">
        <w:rPr>
          <w:rFonts w:ascii="Arial" w:hAnsi="Arial" w:cs="Arial"/>
          <w:b w:val="0"/>
          <w:sz w:val="22"/>
          <w:szCs w:val="22"/>
        </w:rPr>
        <w:t>6</w:t>
      </w:r>
      <w:r w:rsidR="006B5546" w:rsidRPr="00B92854">
        <w:rPr>
          <w:rFonts w:ascii="Arial" w:hAnsi="Arial" w:cs="Arial"/>
          <w:b w:val="0"/>
          <w:sz w:val="22"/>
          <w:szCs w:val="22"/>
        </w:rPr>
        <w:t>3 olarak gerçekleşmiştir.</w:t>
      </w:r>
      <w:r w:rsidR="00B92854" w:rsidRPr="00B92854">
        <w:rPr>
          <w:rFonts w:ascii="Arial" w:hAnsi="Arial" w:cs="Arial"/>
          <w:b w:val="0"/>
          <w:sz w:val="22"/>
          <w:szCs w:val="22"/>
        </w:rPr>
        <w:t xml:space="preserve"> t</w:t>
      </w:r>
      <w:r w:rsidR="00373BB1" w:rsidRPr="00B92854">
        <w:rPr>
          <w:rFonts w:ascii="Arial" w:hAnsi="Arial" w:cs="Arial"/>
          <w:b w:val="0"/>
          <w:sz w:val="22"/>
          <w:szCs w:val="22"/>
        </w:rPr>
        <w:t>akipteki krediler</w:t>
      </w:r>
      <w:r w:rsidR="006B5546" w:rsidRPr="00B92854">
        <w:rPr>
          <w:rFonts w:ascii="Arial" w:hAnsi="Arial" w:cs="Arial"/>
          <w:b w:val="0"/>
          <w:sz w:val="22"/>
          <w:szCs w:val="22"/>
        </w:rPr>
        <w:t xml:space="preserve">in yıllık artış oranı </w:t>
      </w:r>
      <w:r w:rsidR="00315335" w:rsidRPr="00B92854">
        <w:rPr>
          <w:rFonts w:ascii="Arial" w:hAnsi="Arial" w:cs="Arial"/>
          <w:b w:val="0"/>
          <w:sz w:val="22"/>
          <w:szCs w:val="22"/>
        </w:rPr>
        <w:t xml:space="preserve">yüzde </w:t>
      </w:r>
      <w:r w:rsidR="00B92854" w:rsidRPr="00B92854">
        <w:rPr>
          <w:rFonts w:ascii="Arial" w:hAnsi="Arial" w:cs="Arial"/>
          <w:b w:val="0"/>
          <w:sz w:val="22"/>
          <w:szCs w:val="22"/>
        </w:rPr>
        <w:t>22’ye</w:t>
      </w:r>
      <w:r w:rsidR="00834737" w:rsidRPr="00B92854">
        <w:rPr>
          <w:rFonts w:ascii="Arial" w:hAnsi="Arial" w:cs="Arial"/>
          <w:b w:val="0"/>
          <w:sz w:val="22"/>
          <w:szCs w:val="22"/>
        </w:rPr>
        <w:t xml:space="preserve"> </w:t>
      </w:r>
      <w:r w:rsidR="00373BB1" w:rsidRPr="00B92854">
        <w:rPr>
          <w:rFonts w:ascii="Arial" w:hAnsi="Arial" w:cs="Arial"/>
          <w:b w:val="0"/>
          <w:sz w:val="22"/>
          <w:szCs w:val="22"/>
        </w:rPr>
        <w:t>özel karşılıklar</w:t>
      </w:r>
      <w:r w:rsidR="006B5546" w:rsidRPr="00B92854">
        <w:rPr>
          <w:rFonts w:ascii="Arial" w:hAnsi="Arial" w:cs="Arial"/>
          <w:b w:val="0"/>
          <w:sz w:val="22"/>
          <w:szCs w:val="22"/>
        </w:rPr>
        <w:t xml:space="preserve">ın </w:t>
      </w:r>
      <w:r w:rsidR="006B5546" w:rsidRPr="00B92854">
        <w:rPr>
          <w:rFonts w:ascii="Arial" w:hAnsi="Arial" w:cs="Arial"/>
          <w:b w:val="0"/>
          <w:sz w:val="22"/>
          <w:szCs w:val="22"/>
        </w:rPr>
        <w:lastRenderedPageBreak/>
        <w:t xml:space="preserve">artış oranı </w:t>
      </w:r>
      <w:r w:rsidR="00DD33E5" w:rsidRPr="00B92854">
        <w:rPr>
          <w:rFonts w:ascii="Arial" w:hAnsi="Arial" w:cs="Arial"/>
          <w:b w:val="0"/>
          <w:sz w:val="22"/>
          <w:szCs w:val="22"/>
        </w:rPr>
        <w:t xml:space="preserve">ise </w:t>
      </w:r>
      <w:r w:rsidR="00373BB1" w:rsidRPr="00B92854">
        <w:rPr>
          <w:rFonts w:ascii="Arial" w:hAnsi="Arial" w:cs="Arial"/>
          <w:b w:val="0"/>
          <w:sz w:val="22"/>
          <w:szCs w:val="22"/>
        </w:rPr>
        <w:t xml:space="preserve">yüzde </w:t>
      </w:r>
      <w:r w:rsidR="006B5546" w:rsidRPr="00B92854">
        <w:rPr>
          <w:rFonts w:ascii="Arial" w:hAnsi="Arial" w:cs="Arial"/>
          <w:b w:val="0"/>
          <w:sz w:val="22"/>
          <w:szCs w:val="22"/>
        </w:rPr>
        <w:t>2</w:t>
      </w:r>
      <w:r w:rsidR="00B92854" w:rsidRPr="00B92854">
        <w:rPr>
          <w:rFonts w:ascii="Arial" w:hAnsi="Arial" w:cs="Arial"/>
          <w:b w:val="0"/>
          <w:sz w:val="22"/>
          <w:szCs w:val="22"/>
        </w:rPr>
        <w:t>6’ya gerilemiştir.</w:t>
      </w:r>
      <w:r w:rsidR="00373BB1" w:rsidRPr="00B92854">
        <w:rPr>
          <w:rFonts w:ascii="Arial" w:hAnsi="Arial" w:cs="Arial"/>
          <w:b w:val="0"/>
          <w:sz w:val="22"/>
          <w:szCs w:val="22"/>
        </w:rPr>
        <w:t xml:space="preserve"> </w:t>
      </w:r>
      <w:r w:rsidR="00963A10">
        <w:rPr>
          <w:rFonts w:ascii="Arial" w:hAnsi="Arial" w:cs="Arial"/>
          <w:b w:val="0"/>
          <w:sz w:val="22"/>
          <w:szCs w:val="22"/>
        </w:rPr>
        <w:t>2013 yılı M</w:t>
      </w:r>
      <w:r w:rsidR="00B92854" w:rsidRPr="00B92854">
        <w:rPr>
          <w:rFonts w:ascii="Arial" w:hAnsi="Arial" w:cs="Arial"/>
          <w:b w:val="0"/>
          <w:sz w:val="22"/>
          <w:szCs w:val="22"/>
        </w:rPr>
        <w:t>art ayında yüzde 78 olan ö</w:t>
      </w:r>
      <w:r w:rsidR="00373BB1" w:rsidRPr="00B92854">
        <w:rPr>
          <w:rFonts w:ascii="Arial" w:hAnsi="Arial" w:cs="Arial"/>
          <w:b w:val="0"/>
          <w:sz w:val="22"/>
          <w:szCs w:val="22"/>
        </w:rPr>
        <w:t>zel karşılıkların takipteki kr</w:t>
      </w:r>
      <w:r w:rsidR="00532BF8" w:rsidRPr="00B92854">
        <w:rPr>
          <w:rFonts w:ascii="Arial" w:hAnsi="Arial" w:cs="Arial"/>
          <w:b w:val="0"/>
          <w:sz w:val="22"/>
          <w:szCs w:val="22"/>
        </w:rPr>
        <w:t>e</w:t>
      </w:r>
      <w:r w:rsidR="006538FE" w:rsidRPr="00B92854">
        <w:rPr>
          <w:rFonts w:ascii="Arial" w:hAnsi="Arial" w:cs="Arial"/>
          <w:b w:val="0"/>
          <w:sz w:val="22"/>
          <w:szCs w:val="22"/>
        </w:rPr>
        <w:t>dileri k</w:t>
      </w:r>
      <w:r w:rsidR="00F62EE1" w:rsidRPr="00B92854">
        <w:rPr>
          <w:rFonts w:ascii="Arial" w:hAnsi="Arial" w:cs="Arial"/>
          <w:b w:val="0"/>
          <w:sz w:val="22"/>
          <w:szCs w:val="22"/>
        </w:rPr>
        <w:t xml:space="preserve">arşılama oranı </w:t>
      </w:r>
      <w:r w:rsidR="00B92854" w:rsidRPr="00B92854">
        <w:rPr>
          <w:rFonts w:ascii="Arial" w:hAnsi="Arial" w:cs="Arial"/>
          <w:b w:val="0"/>
          <w:sz w:val="22"/>
          <w:szCs w:val="22"/>
        </w:rPr>
        <w:t>2014 yılı ilk çeyreğinde yüzde 80’e yükselmiştir.</w:t>
      </w:r>
      <w:r w:rsidR="00373BB1" w:rsidRPr="00B92854">
        <w:rPr>
          <w:rFonts w:ascii="Arial" w:hAnsi="Arial" w:cs="Arial"/>
          <w:b w:val="0"/>
          <w:sz w:val="22"/>
          <w:szCs w:val="22"/>
        </w:rPr>
        <w:t xml:space="preserve"> </w:t>
      </w:r>
      <w:r w:rsidR="00BF0D5E" w:rsidRPr="00640A37">
        <w:rPr>
          <w:rFonts w:ascii="Arial" w:hAnsi="Arial" w:cs="Arial"/>
          <w:b w:val="0"/>
          <w:sz w:val="22"/>
          <w:szCs w:val="22"/>
        </w:rPr>
        <w:t>Tahsili gecikmiş alacakların kredilere oranı</w:t>
      </w:r>
      <w:r w:rsidR="00301D46" w:rsidRPr="00640A37">
        <w:rPr>
          <w:rFonts w:ascii="Arial" w:hAnsi="Arial" w:cs="Arial"/>
          <w:b w:val="0"/>
          <w:sz w:val="22"/>
          <w:szCs w:val="22"/>
        </w:rPr>
        <w:t xml:space="preserve"> (brüt)</w:t>
      </w:r>
      <w:r w:rsidR="00BF0D5E" w:rsidRPr="00640A37">
        <w:rPr>
          <w:rFonts w:ascii="Arial" w:hAnsi="Arial" w:cs="Arial"/>
          <w:b w:val="0"/>
          <w:sz w:val="22"/>
          <w:szCs w:val="22"/>
        </w:rPr>
        <w:t xml:space="preserve"> </w:t>
      </w:r>
      <w:r w:rsidR="00640A37" w:rsidRPr="00640A37">
        <w:rPr>
          <w:rFonts w:ascii="Arial" w:hAnsi="Arial" w:cs="Arial"/>
          <w:b w:val="0"/>
          <w:sz w:val="22"/>
          <w:szCs w:val="22"/>
        </w:rPr>
        <w:t xml:space="preserve">Mart </w:t>
      </w:r>
      <w:r w:rsidR="00C87E78" w:rsidRPr="00640A37">
        <w:rPr>
          <w:rFonts w:ascii="Arial" w:hAnsi="Arial" w:cs="Arial"/>
          <w:b w:val="0"/>
          <w:sz w:val="22"/>
          <w:szCs w:val="22"/>
        </w:rPr>
        <w:t>201</w:t>
      </w:r>
      <w:r w:rsidR="00640A37" w:rsidRPr="00640A37">
        <w:rPr>
          <w:rFonts w:ascii="Arial" w:hAnsi="Arial" w:cs="Arial"/>
          <w:b w:val="0"/>
          <w:sz w:val="22"/>
          <w:szCs w:val="22"/>
        </w:rPr>
        <w:t>4</w:t>
      </w:r>
      <w:r w:rsidR="005C39DE" w:rsidRPr="00640A37">
        <w:rPr>
          <w:rFonts w:ascii="Arial" w:hAnsi="Arial" w:cs="Arial"/>
          <w:b w:val="0"/>
          <w:sz w:val="22"/>
          <w:szCs w:val="22"/>
        </w:rPr>
        <w:t xml:space="preserve"> </w:t>
      </w:r>
      <w:r w:rsidR="00A47BD6" w:rsidRPr="00640A37">
        <w:rPr>
          <w:rFonts w:ascii="Arial" w:hAnsi="Arial" w:cs="Arial"/>
          <w:b w:val="0"/>
          <w:sz w:val="22"/>
          <w:szCs w:val="22"/>
        </w:rPr>
        <w:t xml:space="preserve">tarihine göre </w:t>
      </w:r>
      <w:r w:rsidR="00F62EE1" w:rsidRPr="00640A37">
        <w:rPr>
          <w:rFonts w:ascii="Arial" w:hAnsi="Arial" w:cs="Arial"/>
          <w:b w:val="0"/>
          <w:sz w:val="22"/>
          <w:szCs w:val="22"/>
        </w:rPr>
        <w:t>önemli bir değişiklik göstermemiş</w:t>
      </w:r>
      <w:r w:rsidR="00A47BD6" w:rsidRPr="00640A37">
        <w:rPr>
          <w:rFonts w:ascii="Arial" w:hAnsi="Arial" w:cs="Arial"/>
          <w:b w:val="0"/>
          <w:sz w:val="22"/>
          <w:szCs w:val="22"/>
        </w:rPr>
        <w:t xml:space="preserve"> ve</w:t>
      </w:r>
      <w:r w:rsidR="007526A6" w:rsidRPr="00640A37">
        <w:rPr>
          <w:rFonts w:ascii="Arial" w:hAnsi="Arial" w:cs="Arial"/>
          <w:b w:val="0"/>
          <w:sz w:val="22"/>
          <w:szCs w:val="22"/>
        </w:rPr>
        <w:t xml:space="preserve"> </w:t>
      </w:r>
      <w:r w:rsidR="007F5D5D" w:rsidRPr="00640A37">
        <w:rPr>
          <w:rFonts w:ascii="Arial" w:hAnsi="Arial" w:cs="Arial"/>
          <w:b w:val="0"/>
          <w:sz w:val="22"/>
          <w:szCs w:val="22"/>
        </w:rPr>
        <w:t xml:space="preserve">yüzde </w:t>
      </w:r>
      <w:r w:rsidR="001E3E7D" w:rsidRPr="00640A37">
        <w:rPr>
          <w:rFonts w:ascii="Arial" w:hAnsi="Arial" w:cs="Arial"/>
          <w:b w:val="0"/>
          <w:sz w:val="22"/>
          <w:szCs w:val="22"/>
        </w:rPr>
        <w:t>2,</w:t>
      </w:r>
      <w:r w:rsidR="006B5546" w:rsidRPr="00640A37">
        <w:rPr>
          <w:rFonts w:ascii="Arial" w:hAnsi="Arial" w:cs="Arial"/>
          <w:b w:val="0"/>
          <w:sz w:val="22"/>
          <w:szCs w:val="22"/>
        </w:rPr>
        <w:t>9</w:t>
      </w:r>
      <w:r w:rsidR="00A47BD6" w:rsidRPr="00640A37">
        <w:rPr>
          <w:rFonts w:ascii="Arial" w:hAnsi="Arial" w:cs="Arial"/>
          <w:b w:val="0"/>
          <w:sz w:val="22"/>
          <w:szCs w:val="22"/>
        </w:rPr>
        <w:t xml:space="preserve"> düzeyinde gerçekleşmiştir.</w:t>
      </w:r>
      <w:r w:rsidR="00A47BD6" w:rsidRPr="00626E1B">
        <w:rPr>
          <w:rFonts w:ascii="Arial" w:hAnsi="Arial" w:cs="Arial"/>
          <w:b w:val="0"/>
          <w:sz w:val="22"/>
          <w:szCs w:val="22"/>
        </w:rPr>
        <w:t xml:space="preserve"> </w:t>
      </w:r>
    </w:p>
    <w:p w:rsidR="00373BB1" w:rsidRPr="00626E1B" w:rsidRDefault="00373BB1" w:rsidP="00373BB1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373BB1" w:rsidRPr="00626E1B" w:rsidRDefault="00373BB1" w:rsidP="00373BB1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681AA1">
        <w:rPr>
          <w:rFonts w:ascii="Arial" w:hAnsi="Arial" w:cs="Arial"/>
          <w:b w:val="0"/>
          <w:sz w:val="22"/>
          <w:szCs w:val="22"/>
        </w:rPr>
        <w:t>TL mevduat, geçen y</w:t>
      </w:r>
      <w:r w:rsidR="00CA32CB" w:rsidRPr="00681AA1">
        <w:rPr>
          <w:rFonts w:ascii="Arial" w:hAnsi="Arial" w:cs="Arial"/>
          <w:b w:val="0"/>
          <w:sz w:val="22"/>
          <w:szCs w:val="22"/>
        </w:rPr>
        <w:t>ılın aynı dönemine göre yüzd</w:t>
      </w:r>
      <w:r w:rsidR="001D7456" w:rsidRPr="00681AA1">
        <w:rPr>
          <w:rFonts w:ascii="Arial" w:hAnsi="Arial" w:cs="Arial"/>
          <w:b w:val="0"/>
          <w:sz w:val="22"/>
          <w:szCs w:val="22"/>
        </w:rPr>
        <w:t xml:space="preserve">e </w:t>
      </w:r>
      <w:r w:rsidR="00681AA1" w:rsidRPr="00681AA1">
        <w:rPr>
          <w:rFonts w:ascii="Arial" w:hAnsi="Arial" w:cs="Arial"/>
          <w:b w:val="0"/>
          <w:sz w:val="22"/>
          <w:szCs w:val="22"/>
        </w:rPr>
        <w:t>7</w:t>
      </w:r>
      <w:r w:rsidR="001D000A" w:rsidRPr="00681AA1">
        <w:rPr>
          <w:rFonts w:ascii="Arial" w:hAnsi="Arial" w:cs="Arial"/>
          <w:b w:val="0"/>
          <w:sz w:val="22"/>
          <w:szCs w:val="22"/>
        </w:rPr>
        <w:t xml:space="preserve"> </w:t>
      </w:r>
      <w:r w:rsidRPr="00681AA1">
        <w:rPr>
          <w:rFonts w:ascii="Arial" w:hAnsi="Arial" w:cs="Arial"/>
          <w:b w:val="0"/>
          <w:sz w:val="22"/>
          <w:szCs w:val="22"/>
        </w:rPr>
        <w:t xml:space="preserve">oranında, YP mevduatın TL karşılığı ise yüzde </w:t>
      </w:r>
      <w:r w:rsidR="00681AA1" w:rsidRPr="00681AA1">
        <w:rPr>
          <w:rFonts w:ascii="Arial" w:hAnsi="Arial" w:cs="Arial"/>
          <w:b w:val="0"/>
          <w:sz w:val="22"/>
          <w:szCs w:val="22"/>
        </w:rPr>
        <w:t>46</w:t>
      </w:r>
      <w:r w:rsidRPr="00681AA1">
        <w:rPr>
          <w:rFonts w:ascii="Arial" w:hAnsi="Arial" w:cs="Arial"/>
          <w:b w:val="0"/>
          <w:sz w:val="22"/>
          <w:szCs w:val="22"/>
        </w:rPr>
        <w:t xml:space="preserve"> oranında artmıştır.</w:t>
      </w:r>
      <w:r w:rsidRPr="00626E1B">
        <w:rPr>
          <w:rFonts w:ascii="Arial" w:hAnsi="Arial" w:cs="Arial"/>
          <w:b w:val="0"/>
          <w:sz w:val="22"/>
          <w:szCs w:val="22"/>
        </w:rPr>
        <w:t xml:space="preserve"> </w:t>
      </w:r>
      <w:r w:rsidR="00C4175C" w:rsidRPr="00A312E8">
        <w:rPr>
          <w:rFonts w:ascii="Arial" w:hAnsi="Arial" w:cs="Arial"/>
          <w:b w:val="0"/>
          <w:sz w:val="22"/>
          <w:szCs w:val="22"/>
        </w:rPr>
        <w:t xml:space="preserve">Toplam </w:t>
      </w:r>
      <w:r w:rsidR="00A312E8" w:rsidRPr="00A312E8">
        <w:rPr>
          <w:rFonts w:ascii="Arial" w:hAnsi="Arial" w:cs="Arial"/>
          <w:b w:val="0"/>
          <w:sz w:val="22"/>
          <w:szCs w:val="22"/>
        </w:rPr>
        <w:t>mevduatın yüzde 3</w:t>
      </w:r>
      <w:r w:rsidR="00240C25" w:rsidRPr="00A312E8">
        <w:rPr>
          <w:rFonts w:ascii="Arial" w:hAnsi="Arial" w:cs="Arial"/>
          <w:b w:val="0"/>
          <w:sz w:val="22"/>
          <w:szCs w:val="22"/>
        </w:rPr>
        <w:t>’ü</w:t>
      </w:r>
      <w:r w:rsidR="00A05A4D" w:rsidRPr="00A312E8">
        <w:rPr>
          <w:rFonts w:ascii="Arial" w:hAnsi="Arial" w:cs="Arial"/>
          <w:b w:val="0"/>
          <w:sz w:val="22"/>
          <w:szCs w:val="22"/>
        </w:rPr>
        <w:t xml:space="preserve"> (</w:t>
      </w:r>
      <w:r w:rsidR="0013152C" w:rsidRPr="00A312E8">
        <w:rPr>
          <w:rFonts w:ascii="Arial" w:hAnsi="Arial" w:cs="Arial"/>
          <w:b w:val="0"/>
          <w:sz w:val="22"/>
          <w:szCs w:val="22"/>
        </w:rPr>
        <w:t>2</w:t>
      </w:r>
      <w:r w:rsidR="00A312E8" w:rsidRPr="00A312E8">
        <w:rPr>
          <w:rFonts w:ascii="Arial" w:hAnsi="Arial" w:cs="Arial"/>
          <w:b w:val="0"/>
          <w:sz w:val="22"/>
          <w:szCs w:val="22"/>
        </w:rPr>
        <w:t>7</w:t>
      </w:r>
      <w:r w:rsidR="00F62EE1" w:rsidRPr="00A312E8">
        <w:rPr>
          <w:rFonts w:ascii="Arial" w:hAnsi="Arial" w:cs="Arial"/>
          <w:b w:val="0"/>
          <w:sz w:val="22"/>
          <w:szCs w:val="22"/>
        </w:rPr>
        <w:t>,</w:t>
      </w:r>
      <w:r w:rsidR="00A312E8" w:rsidRPr="00A312E8">
        <w:rPr>
          <w:rFonts w:ascii="Arial" w:hAnsi="Arial" w:cs="Arial"/>
          <w:b w:val="0"/>
          <w:sz w:val="22"/>
          <w:szCs w:val="22"/>
        </w:rPr>
        <w:t>5</w:t>
      </w:r>
      <w:r w:rsidR="00E82638" w:rsidRPr="00A312E8">
        <w:rPr>
          <w:rFonts w:ascii="Arial" w:hAnsi="Arial" w:cs="Arial"/>
          <w:b w:val="0"/>
          <w:sz w:val="22"/>
          <w:szCs w:val="22"/>
        </w:rPr>
        <w:t xml:space="preserve"> </w:t>
      </w:r>
      <w:r w:rsidR="00A73280" w:rsidRPr="00A312E8">
        <w:rPr>
          <w:rFonts w:ascii="Arial" w:hAnsi="Arial" w:cs="Arial"/>
          <w:b w:val="0"/>
          <w:sz w:val="22"/>
          <w:szCs w:val="22"/>
        </w:rPr>
        <w:t>milyar TL) bankanın dahil ol</w:t>
      </w:r>
      <w:r w:rsidR="002D67D5" w:rsidRPr="00A312E8">
        <w:rPr>
          <w:rFonts w:ascii="Arial" w:hAnsi="Arial" w:cs="Arial"/>
          <w:b w:val="0"/>
          <w:sz w:val="22"/>
          <w:szCs w:val="22"/>
        </w:rPr>
        <w:t>duğu risk grubuna aittir.</w:t>
      </w:r>
      <w:r w:rsidRPr="00A312E8">
        <w:rPr>
          <w:rFonts w:ascii="Arial" w:hAnsi="Arial" w:cs="Arial"/>
          <w:b w:val="0"/>
          <w:sz w:val="22"/>
          <w:szCs w:val="22"/>
        </w:rPr>
        <w:t xml:space="preserve"> </w:t>
      </w:r>
    </w:p>
    <w:p w:rsidR="005F72BB" w:rsidRPr="00367936" w:rsidRDefault="005F72BB" w:rsidP="00373BB1">
      <w:pPr>
        <w:pStyle w:val="Subtitle"/>
        <w:rPr>
          <w:rFonts w:ascii="Arial" w:hAnsi="Arial" w:cs="Arial"/>
          <w:color w:val="FF0000"/>
          <w:szCs w:val="24"/>
        </w:rPr>
      </w:pPr>
    </w:p>
    <w:p w:rsidR="002D67D5" w:rsidRPr="003629D9" w:rsidRDefault="002D67D5" w:rsidP="005E3060">
      <w:pPr>
        <w:pStyle w:val="Subtitle"/>
        <w:jc w:val="center"/>
        <w:rPr>
          <w:rFonts w:ascii="Arial" w:hAnsi="Arial" w:cs="Arial"/>
          <w:szCs w:val="24"/>
        </w:rPr>
      </w:pPr>
      <w:r w:rsidRPr="003629D9">
        <w:rPr>
          <w:rFonts w:ascii="Arial" w:hAnsi="Arial" w:cs="Arial"/>
          <w:szCs w:val="24"/>
        </w:rPr>
        <w:t>Pasif Kalemlerdeki Gelişmeler (Milyon TL)</w:t>
      </w:r>
    </w:p>
    <w:p w:rsidR="005F72BB" w:rsidRPr="003629D9" w:rsidRDefault="005F72BB" w:rsidP="005E3060">
      <w:pPr>
        <w:pStyle w:val="Subtitle"/>
        <w:jc w:val="center"/>
        <w:rPr>
          <w:rFonts w:ascii="Arial" w:hAnsi="Arial" w:cs="Arial"/>
          <w:szCs w:val="24"/>
        </w:rPr>
      </w:pPr>
    </w:p>
    <w:tbl>
      <w:tblPr>
        <w:tblW w:w="76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1030"/>
        <w:gridCol w:w="1030"/>
        <w:gridCol w:w="1701"/>
        <w:gridCol w:w="1417"/>
      </w:tblGrid>
      <w:tr w:rsidR="003629D9" w:rsidRPr="003629D9" w:rsidTr="00EF771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3629D9" w:rsidRDefault="00EF7712" w:rsidP="000D69CF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3629D9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Mar.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3629D9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Mar.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3629D9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Yıllık yüzde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3629D9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Yüzde pay</w:t>
            </w:r>
          </w:p>
        </w:tc>
      </w:tr>
      <w:tr w:rsidR="003629D9" w:rsidRPr="003629D9" w:rsidTr="00EF7712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3629D9" w:rsidRDefault="00EF7712" w:rsidP="000D69CF">
            <w:pPr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3629D9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2014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3629D9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3629D9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değişme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F7712" w:rsidRPr="003629D9" w:rsidRDefault="00EF7712" w:rsidP="003629D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Mar. 2014</w:t>
            </w:r>
          </w:p>
        </w:tc>
      </w:tr>
      <w:tr w:rsidR="003629D9" w:rsidRPr="003629D9" w:rsidTr="00567113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>Mevduat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743.818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613.853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59</w:t>
            </w:r>
          </w:p>
        </w:tc>
      </w:tr>
      <w:tr w:rsidR="003629D9" w:rsidRPr="003629D9" w:rsidTr="00567113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 xml:space="preserve">  TL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423.294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394.596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33</w:t>
            </w:r>
          </w:p>
        </w:tc>
      </w:tr>
      <w:tr w:rsidR="003629D9" w:rsidRPr="003629D9" w:rsidTr="00567113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 xml:space="preserve">  YP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320.524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219.257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25</w:t>
            </w:r>
          </w:p>
        </w:tc>
      </w:tr>
      <w:tr w:rsidR="003629D9" w:rsidRPr="003629D9" w:rsidTr="00567113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>Mevduat dışı kaynaklar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282.404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203.019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22</w:t>
            </w:r>
          </w:p>
        </w:tc>
      </w:tr>
      <w:tr w:rsidR="003629D9" w:rsidRPr="003629D9" w:rsidTr="00567113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>SBK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19.437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12.958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2</w:t>
            </w:r>
          </w:p>
        </w:tc>
      </w:tr>
      <w:tr w:rsidR="003629D9" w:rsidRPr="003629D9" w:rsidTr="00567113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>Özkaynaklar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135.108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130.163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11</w:t>
            </w:r>
          </w:p>
        </w:tc>
      </w:tr>
      <w:tr w:rsidR="003629D9" w:rsidRPr="003629D9" w:rsidTr="00567113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 xml:space="preserve">  Dönem Kar/zararı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4.118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5.455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-25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0</w:t>
            </w:r>
          </w:p>
        </w:tc>
      </w:tr>
      <w:tr w:rsidR="003629D9" w:rsidRPr="003629D9" w:rsidTr="00567113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>Diğer pasifler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106.465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75.630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8</w:t>
            </w:r>
          </w:p>
        </w:tc>
      </w:tr>
      <w:tr w:rsidR="003629D9" w:rsidRPr="003629D9" w:rsidTr="00567113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>Toplam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1.267.795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1.022.665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100</w:t>
            </w:r>
          </w:p>
        </w:tc>
      </w:tr>
      <w:tr w:rsidR="003629D9" w:rsidRPr="003629D9" w:rsidTr="00567113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 xml:space="preserve">  TL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721.625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646.355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57</w:t>
            </w:r>
          </w:p>
        </w:tc>
      </w:tr>
      <w:tr w:rsidR="003629D9" w:rsidRPr="003629D9" w:rsidTr="00567113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0D69CF">
            <w:pPr>
              <w:rPr>
                <w:rFonts w:ascii="Arial" w:hAnsi="Arial" w:cs="Arial"/>
                <w:b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sz w:val="20"/>
                <w:lang w:eastAsia="tr-TR"/>
              </w:rPr>
              <w:t xml:space="preserve">  YP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546.170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376.310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3629D9">
            <w:pPr>
              <w:jc w:val="right"/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szCs w:val="22"/>
              </w:rPr>
              <w:t>43</w:t>
            </w:r>
          </w:p>
        </w:tc>
      </w:tr>
    </w:tbl>
    <w:p w:rsidR="002D67D5" w:rsidRPr="00367936" w:rsidRDefault="002D67D5" w:rsidP="00373BB1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:rsidR="00234523" w:rsidRPr="00681AA1" w:rsidRDefault="003D228A" w:rsidP="00234523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681AA1">
        <w:rPr>
          <w:rFonts w:ascii="Arial" w:hAnsi="Arial" w:cs="Arial"/>
          <w:b w:val="0"/>
          <w:sz w:val="22"/>
          <w:szCs w:val="22"/>
        </w:rPr>
        <w:t>Mevduat dışı kaynaklar,</w:t>
      </w:r>
      <w:r w:rsidR="00BF0D5E" w:rsidRPr="00681AA1">
        <w:rPr>
          <w:rFonts w:ascii="Arial" w:hAnsi="Arial" w:cs="Arial"/>
          <w:b w:val="0"/>
          <w:sz w:val="22"/>
          <w:szCs w:val="22"/>
        </w:rPr>
        <w:t xml:space="preserve"> toplam kaynakların yüzde </w:t>
      </w:r>
      <w:r w:rsidR="00A47BD6" w:rsidRPr="00681AA1">
        <w:rPr>
          <w:rFonts w:ascii="Arial" w:hAnsi="Arial" w:cs="Arial"/>
          <w:b w:val="0"/>
          <w:sz w:val="22"/>
          <w:szCs w:val="22"/>
        </w:rPr>
        <w:t>2</w:t>
      </w:r>
      <w:r w:rsidR="006B5546" w:rsidRPr="00681AA1">
        <w:rPr>
          <w:rFonts w:ascii="Arial" w:hAnsi="Arial" w:cs="Arial"/>
          <w:b w:val="0"/>
          <w:sz w:val="22"/>
          <w:szCs w:val="22"/>
        </w:rPr>
        <w:t>2</w:t>
      </w:r>
      <w:r w:rsidR="00A47BD6" w:rsidRPr="00681AA1">
        <w:rPr>
          <w:rFonts w:ascii="Arial" w:hAnsi="Arial" w:cs="Arial"/>
          <w:b w:val="0"/>
          <w:sz w:val="22"/>
          <w:szCs w:val="22"/>
        </w:rPr>
        <w:t>’</w:t>
      </w:r>
      <w:r w:rsidR="006B5546" w:rsidRPr="00681AA1">
        <w:rPr>
          <w:rFonts w:ascii="Arial" w:hAnsi="Arial" w:cs="Arial"/>
          <w:b w:val="0"/>
          <w:sz w:val="22"/>
          <w:szCs w:val="22"/>
        </w:rPr>
        <w:t>s</w:t>
      </w:r>
      <w:r w:rsidR="00091F8C" w:rsidRPr="00681AA1">
        <w:rPr>
          <w:rFonts w:ascii="Arial" w:hAnsi="Arial" w:cs="Arial"/>
          <w:b w:val="0"/>
          <w:sz w:val="22"/>
          <w:szCs w:val="22"/>
        </w:rPr>
        <w:t>ini</w:t>
      </w:r>
      <w:r w:rsidR="00BF0D5E" w:rsidRPr="00681AA1">
        <w:rPr>
          <w:rFonts w:ascii="Arial" w:hAnsi="Arial" w:cs="Arial"/>
          <w:b w:val="0"/>
          <w:sz w:val="22"/>
          <w:szCs w:val="22"/>
        </w:rPr>
        <w:t xml:space="preserve"> oluşturmuştur. </w:t>
      </w:r>
      <w:r w:rsidR="0013152C" w:rsidRPr="00681AA1">
        <w:rPr>
          <w:rFonts w:ascii="Arial" w:hAnsi="Arial" w:cs="Arial"/>
          <w:b w:val="0"/>
          <w:sz w:val="22"/>
          <w:szCs w:val="22"/>
        </w:rPr>
        <w:t>Ö</w:t>
      </w:r>
      <w:r w:rsidR="00427CD6" w:rsidRPr="00681AA1">
        <w:rPr>
          <w:rFonts w:ascii="Arial" w:hAnsi="Arial" w:cs="Arial"/>
          <w:b w:val="0"/>
          <w:sz w:val="22"/>
          <w:szCs w:val="22"/>
        </w:rPr>
        <w:t xml:space="preserve">zkaynaklardaki artış hızı </w:t>
      </w:r>
      <w:r w:rsidR="006B5546" w:rsidRPr="00681AA1">
        <w:rPr>
          <w:rFonts w:ascii="Arial" w:hAnsi="Arial" w:cs="Arial"/>
          <w:b w:val="0"/>
          <w:sz w:val="22"/>
          <w:szCs w:val="22"/>
        </w:rPr>
        <w:t>yüzde 4 seviyesinde kalmıştır.</w:t>
      </w:r>
      <w:r w:rsidR="00A47BD6" w:rsidRPr="00681AA1">
        <w:rPr>
          <w:rFonts w:ascii="Arial" w:hAnsi="Arial" w:cs="Arial"/>
          <w:b w:val="0"/>
          <w:sz w:val="22"/>
          <w:szCs w:val="22"/>
        </w:rPr>
        <w:t xml:space="preserve"> </w:t>
      </w:r>
    </w:p>
    <w:p w:rsidR="005E3060" w:rsidRPr="00367936" w:rsidRDefault="005E3060" w:rsidP="00373BB1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:rsidR="00373BB1" w:rsidRPr="003629D9" w:rsidRDefault="00373BB1" w:rsidP="00373BB1">
      <w:pPr>
        <w:pStyle w:val="Subtitle"/>
        <w:jc w:val="center"/>
        <w:rPr>
          <w:rFonts w:ascii="Arial" w:hAnsi="Arial" w:cs="Arial"/>
          <w:szCs w:val="24"/>
        </w:rPr>
      </w:pPr>
      <w:r w:rsidRPr="003629D9">
        <w:rPr>
          <w:rFonts w:ascii="Arial" w:hAnsi="Arial" w:cs="Arial"/>
          <w:szCs w:val="24"/>
        </w:rPr>
        <w:t>Seçilmiş Gelir-Gider Dengesi Kalemleri (Milyon TL)</w:t>
      </w:r>
    </w:p>
    <w:tbl>
      <w:tblPr>
        <w:tblW w:w="5544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5"/>
        <w:gridCol w:w="752"/>
        <w:gridCol w:w="971"/>
        <w:gridCol w:w="1156"/>
      </w:tblGrid>
      <w:tr w:rsidR="003629D9" w:rsidRPr="003629D9" w:rsidTr="00D06BF9">
        <w:trPr>
          <w:trHeight w:val="780"/>
          <w:jc w:val="center"/>
        </w:trPr>
        <w:tc>
          <w:tcPr>
            <w:tcW w:w="26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3493" w:rsidRPr="003629D9" w:rsidRDefault="002C3493" w:rsidP="002C3493">
            <w:pPr>
              <w:rPr>
                <w:rFonts w:ascii="Arial" w:hAnsi="Arial" w:cs="Arial"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sz w:val="20"/>
                <w:lang w:eastAsia="tr-T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3493" w:rsidRPr="003629D9" w:rsidRDefault="00DC20B9" w:rsidP="00D06BF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Mar</w:t>
            </w:r>
            <w:r w:rsidR="00C46ED2"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  <w:r w:rsidR="00D67174"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201</w:t>
            </w: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3493" w:rsidRPr="003629D9" w:rsidRDefault="00DC20B9" w:rsidP="00D06BF9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Mar</w:t>
            </w:r>
            <w:r w:rsidR="00130280"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.</w:t>
            </w:r>
            <w:r w:rsidR="00D67174"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201</w:t>
            </w: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C3493" w:rsidRPr="003629D9" w:rsidRDefault="002C3493" w:rsidP="002C3493">
            <w:pPr>
              <w:jc w:val="right"/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Yıllık yüzde değ.</w:t>
            </w:r>
          </w:p>
        </w:tc>
      </w:tr>
      <w:tr w:rsidR="003629D9" w:rsidRPr="003629D9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Faiz gelirleri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23.773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20.301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17</w:t>
            </w:r>
          </w:p>
        </w:tc>
      </w:tr>
      <w:tr w:rsidR="003629D9" w:rsidRPr="003629D9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Faiz giderleri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DD6570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13.076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9.009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45</w:t>
            </w:r>
          </w:p>
        </w:tc>
      </w:tr>
      <w:tr w:rsidR="003629D9" w:rsidRPr="003629D9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Net faiz geliri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091F8C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10.697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091F8C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11.292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-5</w:t>
            </w:r>
          </w:p>
        </w:tc>
      </w:tr>
      <w:tr w:rsidR="003629D9" w:rsidRPr="003629D9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Net ücret ve kom. gelirleri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3.378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3.138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8</w:t>
            </w:r>
          </w:p>
        </w:tc>
      </w:tr>
      <w:tr w:rsidR="003629D9" w:rsidRPr="003629D9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Net ticari kar/zarar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-403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850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-147</w:t>
            </w:r>
          </w:p>
        </w:tc>
      </w:tr>
      <w:tr w:rsidR="003629D9" w:rsidRPr="003629D9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Diğer faal. gelirleri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1.514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1.238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22</w:t>
            </w:r>
          </w:p>
        </w:tc>
      </w:tr>
      <w:tr w:rsidR="003629D9" w:rsidRPr="003629D9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Faaliyet gelir/giderleri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D06BF9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15.817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16.866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-6</w:t>
            </w:r>
          </w:p>
        </w:tc>
      </w:tr>
      <w:tr w:rsidR="003629D9" w:rsidRPr="003629D9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 xml:space="preserve"> -Diğer faal. giderleri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3.107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2.697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15</w:t>
            </w:r>
          </w:p>
        </w:tc>
      </w:tr>
      <w:tr w:rsidR="003629D9" w:rsidRPr="003629D9" w:rsidTr="005B33C6">
        <w:trPr>
          <w:trHeight w:val="255"/>
          <w:jc w:val="center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Net faaliyet karı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FC3771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5.205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6.928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-25</w:t>
            </w:r>
          </w:p>
        </w:tc>
      </w:tr>
      <w:tr w:rsidR="003629D9" w:rsidRPr="003629D9" w:rsidTr="005B33C6">
        <w:trPr>
          <w:trHeight w:val="270"/>
          <w:jc w:val="center"/>
        </w:trPr>
        <w:tc>
          <w:tcPr>
            <w:tcW w:w="26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29D9" w:rsidRPr="003629D9" w:rsidRDefault="003629D9" w:rsidP="002C3493">
            <w:pPr>
              <w:rPr>
                <w:rFonts w:ascii="Arial" w:hAnsi="Arial" w:cs="Arial"/>
                <w:b/>
                <w:bCs/>
                <w:sz w:val="20"/>
                <w:lang w:eastAsia="tr-TR"/>
              </w:rPr>
            </w:pPr>
            <w:r w:rsidRPr="003629D9">
              <w:rPr>
                <w:rFonts w:ascii="Arial" w:hAnsi="Arial" w:cs="Arial"/>
                <w:b/>
                <w:bCs/>
                <w:sz w:val="20"/>
                <w:lang w:eastAsia="tr-TR"/>
              </w:rPr>
              <w:t>Net dönem kar/zararı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FC3771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4.118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5.455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29D9" w:rsidRPr="003629D9" w:rsidRDefault="003629D9" w:rsidP="002C3493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3629D9">
              <w:rPr>
                <w:rFonts w:ascii="Arial" w:hAnsi="Arial" w:cs="Arial"/>
                <w:sz w:val="20"/>
              </w:rPr>
              <w:t>-25</w:t>
            </w:r>
          </w:p>
        </w:tc>
      </w:tr>
    </w:tbl>
    <w:p w:rsidR="00373BB1" w:rsidRPr="00367936" w:rsidRDefault="00373BB1" w:rsidP="00373BB1">
      <w:pPr>
        <w:pStyle w:val="Subtitle"/>
        <w:jc w:val="center"/>
        <w:rPr>
          <w:rFonts w:ascii="Arial" w:hAnsi="Arial" w:cs="Arial"/>
          <w:color w:val="FF0000"/>
          <w:sz w:val="22"/>
          <w:szCs w:val="22"/>
        </w:rPr>
      </w:pPr>
    </w:p>
    <w:p w:rsidR="005E3060" w:rsidRDefault="00480020" w:rsidP="005E3060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  <w:r w:rsidRPr="00EE20F7">
        <w:rPr>
          <w:rFonts w:ascii="Arial" w:hAnsi="Arial" w:cs="Arial"/>
          <w:b w:val="0"/>
          <w:sz w:val="22"/>
          <w:szCs w:val="22"/>
        </w:rPr>
        <w:t>BIST</w:t>
      </w:r>
      <w:r w:rsidR="005E3060" w:rsidRPr="00EE20F7">
        <w:rPr>
          <w:rFonts w:ascii="Arial" w:hAnsi="Arial" w:cs="Arial"/>
          <w:b w:val="0"/>
          <w:sz w:val="22"/>
          <w:szCs w:val="22"/>
        </w:rPr>
        <w:t xml:space="preserve">’de işlem gören mevduat bankalarının özkaynakları </w:t>
      </w:r>
      <w:r w:rsidR="00A410CF" w:rsidRPr="00EE20F7">
        <w:rPr>
          <w:rFonts w:ascii="Arial" w:hAnsi="Arial" w:cs="Arial"/>
          <w:b w:val="0"/>
          <w:sz w:val="22"/>
          <w:szCs w:val="22"/>
        </w:rPr>
        <w:t xml:space="preserve">Mart 2014 </w:t>
      </w:r>
      <w:r w:rsidR="005E3060" w:rsidRPr="00EE20F7">
        <w:rPr>
          <w:rFonts w:ascii="Arial" w:hAnsi="Arial" w:cs="Arial"/>
          <w:b w:val="0"/>
          <w:sz w:val="22"/>
          <w:szCs w:val="22"/>
        </w:rPr>
        <w:t>itibariyle geçen yı</w:t>
      </w:r>
      <w:r w:rsidR="002C3493" w:rsidRPr="00EE20F7">
        <w:rPr>
          <w:rFonts w:ascii="Arial" w:hAnsi="Arial" w:cs="Arial"/>
          <w:b w:val="0"/>
          <w:sz w:val="22"/>
          <w:szCs w:val="22"/>
        </w:rPr>
        <w:t>lın aynı dönemin</w:t>
      </w:r>
      <w:r w:rsidR="00C87E78" w:rsidRPr="00EE20F7">
        <w:rPr>
          <w:rFonts w:ascii="Arial" w:hAnsi="Arial" w:cs="Arial"/>
          <w:b w:val="0"/>
          <w:sz w:val="22"/>
          <w:szCs w:val="22"/>
        </w:rPr>
        <w:t xml:space="preserve">e göre yüzde </w:t>
      </w:r>
      <w:r w:rsidR="00323632" w:rsidRPr="00EE20F7">
        <w:rPr>
          <w:rFonts w:ascii="Arial" w:hAnsi="Arial" w:cs="Arial"/>
          <w:b w:val="0"/>
          <w:sz w:val="22"/>
          <w:szCs w:val="22"/>
        </w:rPr>
        <w:t>4</w:t>
      </w:r>
      <w:r w:rsidR="002C3493" w:rsidRPr="00EE20F7">
        <w:rPr>
          <w:rFonts w:ascii="Arial" w:hAnsi="Arial" w:cs="Arial"/>
          <w:b w:val="0"/>
          <w:sz w:val="22"/>
          <w:szCs w:val="22"/>
        </w:rPr>
        <w:t xml:space="preserve"> </w:t>
      </w:r>
      <w:r w:rsidR="005E3060" w:rsidRPr="00EE20F7">
        <w:rPr>
          <w:rFonts w:ascii="Arial" w:hAnsi="Arial" w:cs="Arial"/>
          <w:b w:val="0"/>
          <w:sz w:val="22"/>
          <w:szCs w:val="22"/>
        </w:rPr>
        <w:t xml:space="preserve">oranında artmıştır. </w:t>
      </w:r>
      <w:r w:rsidR="00626E1B">
        <w:rPr>
          <w:rFonts w:ascii="Arial" w:hAnsi="Arial" w:cs="Arial"/>
          <w:b w:val="0"/>
          <w:sz w:val="22"/>
          <w:szCs w:val="22"/>
        </w:rPr>
        <w:t>2013 yılının ikinci yarısından itibaren fai</w:t>
      </w:r>
      <w:r w:rsidR="00626E1B" w:rsidRPr="006D1C38">
        <w:rPr>
          <w:rFonts w:ascii="Arial" w:hAnsi="Arial" w:cs="Arial"/>
          <w:b w:val="0"/>
          <w:sz w:val="22"/>
          <w:szCs w:val="22"/>
        </w:rPr>
        <w:t xml:space="preserve">z oranlarında görülen yükselişler </w:t>
      </w:r>
      <w:r w:rsidR="00C93612" w:rsidRPr="006D1C38">
        <w:rPr>
          <w:rFonts w:ascii="Arial" w:hAnsi="Arial" w:cs="Arial"/>
          <w:b w:val="0"/>
          <w:sz w:val="22"/>
          <w:szCs w:val="22"/>
        </w:rPr>
        <w:t>özkaynak büyümesini sınırlandırmış</w:t>
      </w:r>
      <w:r w:rsidR="00626E1B" w:rsidRPr="006D1C38">
        <w:rPr>
          <w:rFonts w:ascii="Arial" w:hAnsi="Arial" w:cs="Arial"/>
          <w:b w:val="0"/>
          <w:sz w:val="22"/>
          <w:szCs w:val="22"/>
        </w:rPr>
        <w:t xml:space="preserve">tır. </w:t>
      </w:r>
      <w:r w:rsidR="005E3060" w:rsidRPr="006D1C38">
        <w:rPr>
          <w:rFonts w:ascii="Arial" w:hAnsi="Arial" w:cs="Arial"/>
          <w:b w:val="0"/>
          <w:sz w:val="22"/>
          <w:szCs w:val="22"/>
        </w:rPr>
        <w:t>Özkaynakların</w:t>
      </w:r>
      <w:r w:rsidR="00C87E78" w:rsidRPr="006D1C38">
        <w:rPr>
          <w:rFonts w:ascii="Arial" w:hAnsi="Arial" w:cs="Arial"/>
          <w:b w:val="0"/>
          <w:sz w:val="22"/>
          <w:szCs w:val="22"/>
        </w:rPr>
        <w:t xml:space="preserve"> toplam aktiflere oranı yüzde 1</w:t>
      </w:r>
      <w:r w:rsidR="002230B9" w:rsidRPr="006D1C38">
        <w:rPr>
          <w:rFonts w:ascii="Arial" w:hAnsi="Arial" w:cs="Arial"/>
          <w:b w:val="0"/>
          <w:sz w:val="22"/>
          <w:szCs w:val="22"/>
        </w:rPr>
        <w:t>1</w:t>
      </w:r>
      <w:r w:rsidR="005E3060" w:rsidRPr="006D1C38">
        <w:rPr>
          <w:rFonts w:ascii="Arial" w:hAnsi="Arial" w:cs="Arial"/>
          <w:b w:val="0"/>
          <w:sz w:val="22"/>
          <w:szCs w:val="22"/>
        </w:rPr>
        <w:t xml:space="preserve"> düzeyindedir.</w:t>
      </w:r>
      <w:r w:rsidR="005E3060" w:rsidRPr="00367936">
        <w:rPr>
          <w:rFonts w:ascii="Arial" w:hAnsi="Arial" w:cs="Arial"/>
          <w:b w:val="0"/>
          <w:color w:val="FF0000"/>
          <w:sz w:val="22"/>
          <w:szCs w:val="22"/>
        </w:rPr>
        <w:t xml:space="preserve"> </w:t>
      </w:r>
    </w:p>
    <w:p w:rsidR="00626E1B" w:rsidRPr="00367936" w:rsidRDefault="00626E1B" w:rsidP="005E3060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:rsidR="005E3060" w:rsidRPr="00367936" w:rsidRDefault="005E3060" w:rsidP="005E3060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:rsidR="005E3060" w:rsidRPr="00A410CF" w:rsidRDefault="00963A10" w:rsidP="005E3060">
      <w:pPr>
        <w:pStyle w:val="Subtitle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>Mart 2014</w:t>
      </w:r>
      <w:r w:rsidR="005E3060" w:rsidRPr="00A410CF">
        <w:rPr>
          <w:rFonts w:ascii="Arial" w:hAnsi="Arial" w:cs="Arial"/>
          <w:b w:val="0"/>
          <w:sz w:val="22"/>
          <w:szCs w:val="22"/>
        </w:rPr>
        <w:t xml:space="preserve"> itibariyle, YP aktiflerin toplam aktifler içi</w:t>
      </w:r>
      <w:r w:rsidR="00CE6326" w:rsidRPr="00A410CF">
        <w:rPr>
          <w:rFonts w:ascii="Arial" w:hAnsi="Arial" w:cs="Arial"/>
          <w:b w:val="0"/>
          <w:sz w:val="22"/>
          <w:szCs w:val="22"/>
        </w:rPr>
        <w:t xml:space="preserve">ndeki payı </w:t>
      </w:r>
      <w:r w:rsidR="00593CD0" w:rsidRPr="00A410CF">
        <w:rPr>
          <w:rFonts w:ascii="Arial" w:hAnsi="Arial" w:cs="Arial"/>
          <w:b w:val="0"/>
          <w:sz w:val="22"/>
          <w:szCs w:val="22"/>
        </w:rPr>
        <w:t xml:space="preserve">yüzde </w:t>
      </w:r>
      <w:r w:rsidR="00A410CF" w:rsidRPr="00A410CF">
        <w:rPr>
          <w:rFonts w:ascii="Arial" w:hAnsi="Arial" w:cs="Arial"/>
          <w:b w:val="0"/>
          <w:sz w:val="22"/>
          <w:szCs w:val="22"/>
        </w:rPr>
        <w:t>35</w:t>
      </w:r>
      <w:r w:rsidR="005E3060" w:rsidRPr="00A410CF">
        <w:rPr>
          <w:rFonts w:ascii="Arial" w:hAnsi="Arial" w:cs="Arial"/>
          <w:b w:val="0"/>
          <w:sz w:val="22"/>
          <w:szCs w:val="22"/>
        </w:rPr>
        <w:t>, YP pasiflerin toplam pasifler içindek</w:t>
      </w:r>
      <w:r w:rsidR="00CE6326" w:rsidRPr="00A410CF">
        <w:rPr>
          <w:rFonts w:ascii="Arial" w:hAnsi="Arial" w:cs="Arial"/>
          <w:b w:val="0"/>
          <w:sz w:val="22"/>
          <w:szCs w:val="22"/>
        </w:rPr>
        <w:t xml:space="preserve">i payı ise </w:t>
      </w:r>
      <w:r w:rsidR="006B5546" w:rsidRPr="00A410CF">
        <w:rPr>
          <w:rFonts w:ascii="Arial" w:hAnsi="Arial" w:cs="Arial"/>
          <w:b w:val="0"/>
          <w:sz w:val="22"/>
          <w:szCs w:val="22"/>
        </w:rPr>
        <w:t xml:space="preserve">yüzde </w:t>
      </w:r>
      <w:r w:rsidR="00A410CF" w:rsidRPr="00A410CF">
        <w:rPr>
          <w:rFonts w:ascii="Arial" w:hAnsi="Arial" w:cs="Arial"/>
          <w:b w:val="0"/>
          <w:sz w:val="22"/>
          <w:szCs w:val="22"/>
        </w:rPr>
        <w:t>43</w:t>
      </w:r>
      <w:r w:rsidR="00D06BF9" w:rsidRPr="00A410CF">
        <w:rPr>
          <w:rFonts w:ascii="Arial" w:hAnsi="Arial" w:cs="Arial"/>
          <w:b w:val="0"/>
          <w:sz w:val="22"/>
          <w:szCs w:val="22"/>
        </w:rPr>
        <w:t xml:space="preserve"> seviyesinde</w:t>
      </w:r>
      <w:r w:rsidR="002C3493" w:rsidRPr="00A410CF">
        <w:rPr>
          <w:rFonts w:ascii="Arial" w:hAnsi="Arial" w:cs="Arial"/>
          <w:b w:val="0"/>
          <w:sz w:val="22"/>
          <w:szCs w:val="22"/>
        </w:rPr>
        <w:t xml:space="preserve"> </w:t>
      </w:r>
      <w:r w:rsidR="00D06BF9" w:rsidRPr="00A410CF">
        <w:rPr>
          <w:rFonts w:ascii="Arial" w:hAnsi="Arial" w:cs="Arial"/>
          <w:b w:val="0"/>
          <w:sz w:val="22"/>
          <w:szCs w:val="22"/>
        </w:rPr>
        <w:t>gerçekleşmiştir.</w:t>
      </w:r>
      <w:r w:rsidR="005E3060" w:rsidRPr="00A410CF">
        <w:rPr>
          <w:rFonts w:ascii="Arial" w:hAnsi="Arial" w:cs="Arial"/>
          <w:b w:val="0"/>
          <w:sz w:val="22"/>
          <w:szCs w:val="22"/>
        </w:rPr>
        <w:t xml:space="preserve"> </w:t>
      </w:r>
    </w:p>
    <w:p w:rsidR="00234523" w:rsidRPr="00A410CF" w:rsidRDefault="00234523" w:rsidP="002D67D5">
      <w:pPr>
        <w:pStyle w:val="Subtitle"/>
        <w:rPr>
          <w:rFonts w:ascii="Arial" w:hAnsi="Arial" w:cs="Arial"/>
          <w:b w:val="0"/>
          <w:sz w:val="22"/>
          <w:szCs w:val="22"/>
        </w:rPr>
      </w:pPr>
    </w:p>
    <w:p w:rsidR="002D67D5" w:rsidRPr="00A410CF" w:rsidRDefault="00963A10" w:rsidP="002D67D5">
      <w:pPr>
        <w:pStyle w:val="Subtitle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2014 yılı ilk çeyrekte</w:t>
      </w:r>
      <w:r w:rsidR="0052039A" w:rsidRPr="00A410CF">
        <w:rPr>
          <w:rFonts w:ascii="Arial" w:hAnsi="Arial" w:cs="Arial"/>
          <w:b w:val="0"/>
          <w:sz w:val="22"/>
          <w:szCs w:val="22"/>
        </w:rPr>
        <w:t>, BIST</w:t>
      </w:r>
      <w:r w:rsidR="002D67D5" w:rsidRPr="00A410CF">
        <w:rPr>
          <w:rFonts w:ascii="Arial" w:hAnsi="Arial" w:cs="Arial"/>
          <w:b w:val="0"/>
          <w:sz w:val="22"/>
          <w:szCs w:val="22"/>
        </w:rPr>
        <w:t xml:space="preserve">’de işlem gören mevduat bankalarının faiz gelirleri </w:t>
      </w:r>
      <w:r w:rsidR="006B5546" w:rsidRPr="00A410CF">
        <w:rPr>
          <w:rFonts w:ascii="Arial" w:hAnsi="Arial" w:cs="Arial"/>
          <w:b w:val="0"/>
          <w:sz w:val="22"/>
          <w:szCs w:val="22"/>
        </w:rPr>
        <w:t xml:space="preserve">yüzde </w:t>
      </w:r>
      <w:r w:rsidR="00A410CF" w:rsidRPr="00A410CF">
        <w:rPr>
          <w:rFonts w:ascii="Arial" w:hAnsi="Arial" w:cs="Arial"/>
          <w:b w:val="0"/>
          <w:sz w:val="22"/>
          <w:szCs w:val="22"/>
        </w:rPr>
        <w:t>27</w:t>
      </w:r>
      <w:r w:rsidR="006B5546" w:rsidRPr="00A410CF">
        <w:rPr>
          <w:rFonts w:ascii="Arial" w:hAnsi="Arial" w:cs="Arial"/>
          <w:b w:val="0"/>
          <w:sz w:val="22"/>
          <w:szCs w:val="22"/>
        </w:rPr>
        <w:t>’lik bir artış gösterirken</w:t>
      </w:r>
      <w:r w:rsidR="0052039A" w:rsidRPr="00A410CF">
        <w:rPr>
          <w:rFonts w:ascii="Arial" w:hAnsi="Arial" w:cs="Arial"/>
          <w:b w:val="0"/>
          <w:sz w:val="22"/>
          <w:szCs w:val="22"/>
        </w:rPr>
        <w:t>,</w:t>
      </w:r>
      <w:r w:rsidR="00FB37B5" w:rsidRPr="00A410CF">
        <w:rPr>
          <w:rFonts w:ascii="Arial" w:hAnsi="Arial" w:cs="Arial"/>
          <w:b w:val="0"/>
          <w:sz w:val="22"/>
          <w:szCs w:val="22"/>
        </w:rPr>
        <w:t xml:space="preserve"> faiz giderleri</w:t>
      </w:r>
      <w:r w:rsidR="00BF0D5E" w:rsidRPr="00A410CF">
        <w:rPr>
          <w:rFonts w:ascii="Arial" w:hAnsi="Arial" w:cs="Arial"/>
          <w:b w:val="0"/>
          <w:sz w:val="22"/>
          <w:szCs w:val="22"/>
        </w:rPr>
        <w:t xml:space="preserve"> yüzde</w:t>
      </w:r>
      <w:r w:rsidR="00A410CF" w:rsidRPr="00A410CF">
        <w:rPr>
          <w:rFonts w:ascii="Arial" w:hAnsi="Arial" w:cs="Arial"/>
          <w:b w:val="0"/>
          <w:sz w:val="22"/>
          <w:szCs w:val="22"/>
        </w:rPr>
        <w:t xml:space="preserve"> 45</w:t>
      </w:r>
      <w:r w:rsidR="00BE3BD4" w:rsidRPr="00A410CF">
        <w:rPr>
          <w:rFonts w:ascii="Arial" w:hAnsi="Arial" w:cs="Arial"/>
          <w:b w:val="0"/>
          <w:sz w:val="22"/>
          <w:szCs w:val="22"/>
        </w:rPr>
        <w:t xml:space="preserve"> </w:t>
      </w:r>
      <w:r w:rsidR="00BF0D5E" w:rsidRPr="00A410CF">
        <w:rPr>
          <w:rFonts w:ascii="Arial" w:hAnsi="Arial" w:cs="Arial"/>
          <w:b w:val="0"/>
          <w:sz w:val="22"/>
          <w:szCs w:val="22"/>
        </w:rPr>
        <w:t xml:space="preserve">oranında </w:t>
      </w:r>
      <w:r w:rsidR="00A410CF" w:rsidRPr="00A410CF">
        <w:rPr>
          <w:rFonts w:ascii="Arial" w:hAnsi="Arial" w:cs="Arial"/>
          <w:b w:val="0"/>
          <w:sz w:val="22"/>
          <w:szCs w:val="22"/>
        </w:rPr>
        <w:t>artmıştır</w:t>
      </w:r>
      <w:r w:rsidR="00BF0D5E" w:rsidRPr="00A410CF">
        <w:rPr>
          <w:rFonts w:ascii="Arial" w:hAnsi="Arial" w:cs="Arial"/>
          <w:b w:val="0"/>
          <w:sz w:val="22"/>
          <w:szCs w:val="22"/>
        </w:rPr>
        <w:t xml:space="preserve">. Net faiz </w:t>
      </w:r>
      <w:r w:rsidR="00BE3BD4" w:rsidRPr="00A410CF">
        <w:rPr>
          <w:rFonts w:ascii="Arial" w:hAnsi="Arial" w:cs="Arial"/>
          <w:b w:val="0"/>
          <w:sz w:val="22"/>
          <w:szCs w:val="22"/>
        </w:rPr>
        <w:t>geliri</w:t>
      </w:r>
      <w:r w:rsidR="00BF0D5E" w:rsidRPr="00A410CF">
        <w:rPr>
          <w:rFonts w:ascii="Arial" w:hAnsi="Arial" w:cs="Arial"/>
          <w:b w:val="0"/>
          <w:sz w:val="22"/>
          <w:szCs w:val="22"/>
        </w:rPr>
        <w:t xml:space="preserve"> </w:t>
      </w:r>
      <w:r w:rsidR="00FB37B5" w:rsidRPr="00A410CF">
        <w:rPr>
          <w:rFonts w:ascii="Arial" w:hAnsi="Arial" w:cs="Arial"/>
          <w:b w:val="0"/>
          <w:sz w:val="22"/>
          <w:szCs w:val="22"/>
        </w:rPr>
        <w:t xml:space="preserve">ise </w:t>
      </w:r>
      <w:r w:rsidR="00363946" w:rsidRPr="00A410CF">
        <w:rPr>
          <w:rFonts w:ascii="Arial" w:hAnsi="Arial" w:cs="Arial"/>
          <w:b w:val="0"/>
          <w:sz w:val="22"/>
          <w:szCs w:val="22"/>
        </w:rPr>
        <w:t xml:space="preserve">yüzde </w:t>
      </w:r>
      <w:r w:rsidR="00A410CF" w:rsidRPr="00A410CF">
        <w:rPr>
          <w:rFonts w:ascii="Arial" w:hAnsi="Arial" w:cs="Arial"/>
          <w:b w:val="0"/>
          <w:sz w:val="22"/>
          <w:szCs w:val="22"/>
        </w:rPr>
        <w:t>5</w:t>
      </w:r>
      <w:r w:rsidR="00DC56DB" w:rsidRPr="00A410CF">
        <w:rPr>
          <w:rFonts w:ascii="Arial" w:hAnsi="Arial" w:cs="Arial"/>
          <w:b w:val="0"/>
          <w:sz w:val="22"/>
          <w:szCs w:val="22"/>
        </w:rPr>
        <w:t xml:space="preserve"> </w:t>
      </w:r>
      <w:r w:rsidR="00BF0D5E" w:rsidRPr="00A410CF">
        <w:rPr>
          <w:rFonts w:ascii="Arial" w:hAnsi="Arial" w:cs="Arial"/>
          <w:b w:val="0"/>
          <w:sz w:val="22"/>
          <w:szCs w:val="22"/>
        </w:rPr>
        <w:t xml:space="preserve">oranında </w:t>
      </w:r>
      <w:r w:rsidR="00A410CF" w:rsidRPr="00A410CF">
        <w:rPr>
          <w:rFonts w:ascii="Arial" w:hAnsi="Arial" w:cs="Arial"/>
          <w:b w:val="0"/>
          <w:sz w:val="22"/>
          <w:szCs w:val="22"/>
        </w:rPr>
        <w:t xml:space="preserve">gerilemiştir. </w:t>
      </w:r>
      <w:r w:rsidR="00BF0D5E" w:rsidRPr="00A410CF">
        <w:rPr>
          <w:rFonts w:ascii="Arial" w:hAnsi="Arial" w:cs="Arial"/>
          <w:b w:val="0"/>
          <w:sz w:val="22"/>
          <w:szCs w:val="22"/>
        </w:rPr>
        <w:t xml:space="preserve"> </w:t>
      </w:r>
    </w:p>
    <w:p w:rsidR="004440D6" w:rsidRPr="00367936" w:rsidRDefault="004440D6" w:rsidP="00373BB1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:rsidR="00C46ED2" w:rsidRPr="00A410CF" w:rsidRDefault="009E5EED" w:rsidP="001E3E7D">
      <w:pPr>
        <w:pStyle w:val="Subtitle"/>
        <w:jc w:val="center"/>
        <w:rPr>
          <w:rFonts w:ascii="Arial" w:hAnsi="Arial" w:cs="Arial"/>
          <w:szCs w:val="24"/>
        </w:rPr>
      </w:pPr>
      <w:r w:rsidRPr="00A410CF">
        <w:rPr>
          <w:rFonts w:ascii="Arial" w:hAnsi="Arial" w:cs="Arial"/>
          <w:szCs w:val="24"/>
        </w:rPr>
        <w:t xml:space="preserve">Net Kar (milyon TL)  ve </w:t>
      </w:r>
      <w:r w:rsidR="00C54487" w:rsidRPr="00A410CF">
        <w:rPr>
          <w:rFonts w:ascii="Arial" w:hAnsi="Arial" w:cs="Arial"/>
          <w:szCs w:val="24"/>
        </w:rPr>
        <w:t>Özkaynak Karlılığı (y</w:t>
      </w:r>
      <w:r w:rsidR="00373BB1" w:rsidRPr="00A410CF">
        <w:rPr>
          <w:rFonts w:ascii="Arial" w:hAnsi="Arial" w:cs="Arial"/>
          <w:szCs w:val="24"/>
        </w:rPr>
        <w:t>ıllık</w:t>
      </w:r>
      <w:r w:rsidR="00360C27" w:rsidRPr="00A410CF">
        <w:rPr>
          <w:rFonts w:ascii="Arial" w:hAnsi="Arial" w:cs="Arial"/>
          <w:szCs w:val="24"/>
        </w:rPr>
        <w:t>, yüzde</w:t>
      </w:r>
      <w:r w:rsidR="00373BB1" w:rsidRPr="00A410CF">
        <w:rPr>
          <w:rFonts w:ascii="Arial" w:hAnsi="Arial" w:cs="Arial"/>
          <w:szCs w:val="24"/>
        </w:rPr>
        <w:t>)</w:t>
      </w:r>
      <w:r w:rsidRPr="00A410CF">
        <w:rPr>
          <w:rFonts w:ascii="Arial" w:hAnsi="Arial" w:cs="Arial"/>
          <w:szCs w:val="24"/>
        </w:rPr>
        <w:t xml:space="preserve"> </w:t>
      </w:r>
      <w:r w:rsidR="00C54487" w:rsidRPr="00A410CF">
        <w:rPr>
          <w:rFonts w:ascii="Arial" w:hAnsi="Arial" w:cs="Arial"/>
          <w:szCs w:val="24"/>
        </w:rPr>
        <w:t xml:space="preserve"> </w:t>
      </w:r>
    </w:p>
    <w:p w:rsidR="00C46ED2" w:rsidRPr="00367936" w:rsidRDefault="00C46ED2" w:rsidP="00373BB1">
      <w:pPr>
        <w:pStyle w:val="Subtitle"/>
        <w:jc w:val="center"/>
        <w:rPr>
          <w:rFonts w:ascii="Arial" w:hAnsi="Arial" w:cs="Arial"/>
          <w:color w:val="FF0000"/>
          <w:szCs w:val="24"/>
        </w:rPr>
      </w:pPr>
    </w:p>
    <w:p w:rsidR="00C46ED2" w:rsidRPr="00367936" w:rsidRDefault="00A410CF" w:rsidP="00373BB1">
      <w:pPr>
        <w:pStyle w:val="Subtitle"/>
        <w:jc w:val="center"/>
        <w:rPr>
          <w:rFonts w:ascii="Arial" w:hAnsi="Arial" w:cs="Arial"/>
          <w:color w:val="FF0000"/>
          <w:szCs w:val="24"/>
        </w:rPr>
      </w:pPr>
      <w:r>
        <w:rPr>
          <w:noProof/>
          <w:lang w:eastAsia="tr-TR"/>
        </w:rPr>
        <w:drawing>
          <wp:inline distT="0" distB="0" distL="0" distR="0" wp14:anchorId="1D3AD4F5" wp14:editId="0F6389A6">
            <wp:extent cx="4970145" cy="2982087"/>
            <wp:effectExtent l="0" t="0" r="20955" b="2794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46ED2" w:rsidRPr="00367936" w:rsidRDefault="00C46ED2" w:rsidP="00373BB1">
      <w:pPr>
        <w:pStyle w:val="Subtitle"/>
        <w:jc w:val="center"/>
        <w:rPr>
          <w:rFonts w:ascii="Arial" w:hAnsi="Arial" w:cs="Arial"/>
          <w:color w:val="FF0000"/>
          <w:szCs w:val="24"/>
        </w:rPr>
      </w:pPr>
    </w:p>
    <w:p w:rsidR="00C46ED2" w:rsidRPr="00367936" w:rsidRDefault="00C46ED2" w:rsidP="00373BB1">
      <w:pPr>
        <w:pStyle w:val="Subtitle"/>
        <w:jc w:val="center"/>
        <w:rPr>
          <w:rFonts w:ascii="Arial" w:hAnsi="Arial" w:cs="Arial"/>
          <w:color w:val="FF0000"/>
          <w:szCs w:val="24"/>
        </w:rPr>
      </w:pPr>
    </w:p>
    <w:p w:rsidR="002D67D5" w:rsidRPr="00367936" w:rsidRDefault="00A410CF" w:rsidP="002D67D5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  <w:r w:rsidRPr="00A410CF">
        <w:rPr>
          <w:rFonts w:ascii="Arial" w:hAnsi="Arial" w:cs="Arial"/>
          <w:b w:val="0"/>
          <w:sz w:val="22"/>
          <w:szCs w:val="22"/>
        </w:rPr>
        <w:t>2014 yılının ilk üç aylık bölümünde n</w:t>
      </w:r>
      <w:r>
        <w:rPr>
          <w:rFonts w:ascii="Arial" w:hAnsi="Arial" w:cs="Arial"/>
          <w:b w:val="0"/>
          <w:sz w:val="22"/>
          <w:szCs w:val="22"/>
        </w:rPr>
        <w:t>et dönem karı</w:t>
      </w:r>
      <w:r w:rsidRPr="00A410CF">
        <w:rPr>
          <w:rFonts w:ascii="Arial" w:hAnsi="Arial" w:cs="Arial"/>
          <w:b w:val="0"/>
          <w:sz w:val="22"/>
          <w:szCs w:val="22"/>
        </w:rPr>
        <w:t xml:space="preserve"> bir önceki yılın aynı dönemine göre yüzde 25 gerilemiş ve </w:t>
      </w:r>
      <w:r>
        <w:rPr>
          <w:rFonts w:ascii="Arial" w:hAnsi="Arial" w:cs="Arial"/>
          <w:b w:val="0"/>
          <w:sz w:val="22"/>
          <w:szCs w:val="22"/>
        </w:rPr>
        <w:t>4,1</w:t>
      </w:r>
      <w:r w:rsidRPr="00A410CF">
        <w:rPr>
          <w:rFonts w:ascii="Arial" w:hAnsi="Arial" w:cs="Arial"/>
          <w:b w:val="0"/>
          <w:sz w:val="22"/>
          <w:szCs w:val="22"/>
        </w:rPr>
        <w:t xml:space="preserve"> milyar </w:t>
      </w:r>
      <w:r w:rsidR="00BE3BD4" w:rsidRPr="00A410CF">
        <w:rPr>
          <w:rFonts w:ascii="Arial" w:hAnsi="Arial" w:cs="Arial"/>
          <w:b w:val="0"/>
          <w:sz w:val="22"/>
          <w:szCs w:val="22"/>
        </w:rPr>
        <w:t>TL</w:t>
      </w:r>
      <w:r w:rsidR="00BF0D5E" w:rsidRPr="00A410CF">
        <w:rPr>
          <w:rFonts w:ascii="Arial" w:hAnsi="Arial" w:cs="Arial"/>
          <w:b w:val="0"/>
          <w:sz w:val="22"/>
          <w:szCs w:val="22"/>
        </w:rPr>
        <w:t xml:space="preserve"> olmuştur. </w:t>
      </w:r>
      <w:r w:rsidRPr="00A410CF">
        <w:rPr>
          <w:rFonts w:ascii="Arial" w:hAnsi="Arial" w:cs="Arial"/>
          <w:b w:val="0"/>
          <w:sz w:val="22"/>
          <w:szCs w:val="22"/>
        </w:rPr>
        <w:t xml:space="preserve">Mart 2014’de </w:t>
      </w:r>
      <w:r w:rsidR="005F5390" w:rsidRPr="00A410CF">
        <w:rPr>
          <w:rFonts w:ascii="Arial" w:hAnsi="Arial" w:cs="Arial"/>
          <w:b w:val="0"/>
          <w:sz w:val="22"/>
          <w:szCs w:val="22"/>
        </w:rPr>
        <w:t xml:space="preserve">yıllık </w:t>
      </w:r>
      <w:r w:rsidR="002D67D5" w:rsidRPr="00A410CF">
        <w:rPr>
          <w:rFonts w:ascii="Arial" w:hAnsi="Arial" w:cs="Arial"/>
          <w:b w:val="0"/>
          <w:sz w:val="22"/>
          <w:szCs w:val="22"/>
        </w:rPr>
        <w:t>bazda özkaynak karlılığı</w:t>
      </w:r>
      <w:r w:rsidR="005F5390" w:rsidRPr="00A410CF">
        <w:rPr>
          <w:rFonts w:ascii="Arial" w:hAnsi="Arial" w:cs="Arial"/>
          <w:b w:val="0"/>
          <w:sz w:val="22"/>
          <w:szCs w:val="22"/>
        </w:rPr>
        <w:t xml:space="preserve"> </w:t>
      </w:r>
      <w:r w:rsidR="00F40DE4" w:rsidRPr="00A410CF">
        <w:rPr>
          <w:rFonts w:ascii="Arial" w:hAnsi="Arial" w:cs="Arial"/>
          <w:b w:val="0"/>
          <w:sz w:val="22"/>
          <w:szCs w:val="22"/>
        </w:rPr>
        <w:t xml:space="preserve">yüzde </w:t>
      </w:r>
      <w:r w:rsidRPr="00A410CF">
        <w:rPr>
          <w:rFonts w:ascii="Arial" w:hAnsi="Arial" w:cs="Arial"/>
          <w:b w:val="0"/>
          <w:sz w:val="22"/>
          <w:szCs w:val="22"/>
        </w:rPr>
        <w:t>12,9</w:t>
      </w:r>
      <w:r w:rsidR="00B15CA2" w:rsidRPr="00A410CF">
        <w:rPr>
          <w:rFonts w:ascii="Arial" w:hAnsi="Arial" w:cs="Arial"/>
          <w:b w:val="0"/>
          <w:sz w:val="22"/>
          <w:szCs w:val="22"/>
        </w:rPr>
        <w:t xml:space="preserve"> </w:t>
      </w:r>
      <w:r w:rsidR="005F5390" w:rsidRPr="00A410CF">
        <w:rPr>
          <w:rFonts w:ascii="Arial" w:hAnsi="Arial" w:cs="Arial"/>
          <w:b w:val="0"/>
          <w:sz w:val="22"/>
          <w:szCs w:val="22"/>
        </w:rPr>
        <w:t>seviyesinde gerçekleşmiştir.</w:t>
      </w:r>
    </w:p>
    <w:p w:rsidR="005E3060" w:rsidRPr="00367936" w:rsidRDefault="005E3060" w:rsidP="00544DFA">
      <w:pPr>
        <w:pStyle w:val="Subtitle"/>
        <w:rPr>
          <w:rFonts w:ascii="Arial" w:hAnsi="Arial" w:cs="Arial"/>
          <w:b w:val="0"/>
          <w:color w:val="FF0000"/>
          <w:sz w:val="22"/>
          <w:szCs w:val="22"/>
        </w:rPr>
      </w:pPr>
    </w:p>
    <w:p w:rsidR="00544DFA" w:rsidRPr="00D04B07" w:rsidRDefault="00D34B4A" w:rsidP="00544DFA">
      <w:pPr>
        <w:pStyle w:val="Subtitle"/>
        <w:rPr>
          <w:rFonts w:ascii="Arial" w:hAnsi="Arial" w:cs="Arial"/>
          <w:szCs w:val="24"/>
        </w:rPr>
      </w:pPr>
      <w:r w:rsidRPr="00D04B07">
        <w:rPr>
          <w:rFonts w:ascii="Arial" w:hAnsi="Arial" w:cs="Arial"/>
          <w:szCs w:val="24"/>
        </w:rPr>
        <w:t>3</w:t>
      </w:r>
      <w:r w:rsidR="00DD41D0" w:rsidRPr="00D04B07">
        <w:rPr>
          <w:rFonts w:ascii="Arial" w:hAnsi="Arial" w:cs="Arial"/>
          <w:szCs w:val="24"/>
        </w:rPr>
        <w:t>. BİST</w:t>
      </w:r>
      <w:r w:rsidR="00544DFA" w:rsidRPr="00D04B07">
        <w:rPr>
          <w:rFonts w:ascii="Arial" w:hAnsi="Arial" w:cs="Arial"/>
          <w:szCs w:val="24"/>
        </w:rPr>
        <w:t>’de İşle</w:t>
      </w:r>
      <w:r w:rsidR="00DD41D0" w:rsidRPr="00D04B07">
        <w:rPr>
          <w:rFonts w:ascii="Arial" w:hAnsi="Arial" w:cs="Arial"/>
          <w:szCs w:val="24"/>
        </w:rPr>
        <w:t xml:space="preserve">m Gören Mevduat Bankalarının </w:t>
      </w:r>
      <w:r w:rsidR="00544DFA" w:rsidRPr="00D04B07">
        <w:rPr>
          <w:rFonts w:ascii="Arial" w:hAnsi="Arial" w:cs="Arial"/>
          <w:szCs w:val="24"/>
        </w:rPr>
        <w:t>B</w:t>
      </w:r>
      <w:r w:rsidR="00DD41D0" w:rsidRPr="00D04B07">
        <w:rPr>
          <w:rFonts w:ascii="Arial" w:hAnsi="Arial" w:cs="Arial"/>
          <w:szCs w:val="24"/>
        </w:rPr>
        <w:t>İST</w:t>
      </w:r>
      <w:r w:rsidR="00544DFA" w:rsidRPr="00D04B07">
        <w:rPr>
          <w:rFonts w:ascii="Arial" w:hAnsi="Arial" w:cs="Arial"/>
          <w:szCs w:val="24"/>
        </w:rPr>
        <w:t xml:space="preserve"> İçindeki Yeri</w:t>
      </w:r>
    </w:p>
    <w:p w:rsidR="00544DFA" w:rsidRPr="00367936" w:rsidRDefault="00544DFA" w:rsidP="00544DFA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4723E4" w:rsidRPr="00D04B07" w:rsidRDefault="00DD41D0" w:rsidP="00D04B07">
      <w:pPr>
        <w:pStyle w:val="Subtitle"/>
        <w:rPr>
          <w:rFonts w:ascii="Arial" w:hAnsi="Arial" w:cs="Arial"/>
          <w:b w:val="0"/>
          <w:sz w:val="22"/>
          <w:szCs w:val="22"/>
        </w:rPr>
      </w:pPr>
      <w:r w:rsidRPr="00D04B07">
        <w:rPr>
          <w:rFonts w:ascii="Arial" w:hAnsi="Arial" w:cs="Arial"/>
          <w:b w:val="0"/>
          <w:sz w:val="22"/>
          <w:szCs w:val="22"/>
        </w:rPr>
        <w:t>BIST</w:t>
      </w:r>
      <w:r w:rsidR="004723E4" w:rsidRPr="00D04B07">
        <w:rPr>
          <w:rFonts w:ascii="Arial" w:hAnsi="Arial" w:cs="Arial"/>
          <w:b w:val="0"/>
          <w:sz w:val="22"/>
          <w:szCs w:val="22"/>
        </w:rPr>
        <w:t xml:space="preserve">’de işlem gören hisse senetlerinin toplam piyasa değeri, </w:t>
      </w:r>
      <w:r w:rsidR="00D04B07" w:rsidRPr="00D04B07">
        <w:rPr>
          <w:rFonts w:ascii="Arial" w:hAnsi="Arial" w:cs="Arial"/>
          <w:b w:val="0"/>
          <w:sz w:val="22"/>
          <w:szCs w:val="22"/>
        </w:rPr>
        <w:t xml:space="preserve">Mart 2014 </w:t>
      </w:r>
      <w:r w:rsidR="00CA550F" w:rsidRPr="00D04B07">
        <w:rPr>
          <w:rFonts w:ascii="Arial" w:hAnsi="Arial" w:cs="Arial"/>
          <w:b w:val="0"/>
          <w:sz w:val="22"/>
          <w:szCs w:val="22"/>
        </w:rPr>
        <w:t xml:space="preserve">itibariyle </w:t>
      </w:r>
      <w:r w:rsidR="00D04B07" w:rsidRPr="00D04B07">
        <w:rPr>
          <w:rFonts w:ascii="Arial" w:hAnsi="Arial" w:cs="Arial"/>
          <w:b w:val="0"/>
          <w:sz w:val="22"/>
          <w:szCs w:val="22"/>
        </w:rPr>
        <w:t xml:space="preserve">507 </w:t>
      </w:r>
      <w:r w:rsidR="004723E4" w:rsidRPr="00D04B07">
        <w:rPr>
          <w:rFonts w:ascii="Arial" w:hAnsi="Arial" w:cs="Arial"/>
          <w:b w:val="0"/>
          <w:sz w:val="22"/>
          <w:szCs w:val="22"/>
        </w:rPr>
        <w:t>milyar</w:t>
      </w:r>
      <w:r w:rsidRPr="00D04B07">
        <w:rPr>
          <w:rFonts w:ascii="Arial" w:hAnsi="Arial" w:cs="Arial"/>
          <w:b w:val="0"/>
          <w:sz w:val="22"/>
          <w:szCs w:val="22"/>
        </w:rPr>
        <w:t xml:space="preserve"> TL olarak gerçekleşmiştir. BİST</w:t>
      </w:r>
      <w:r w:rsidR="004723E4" w:rsidRPr="00D04B07">
        <w:rPr>
          <w:rFonts w:ascii="Arial" w:hAnsi="Arial" w:cs="Arial"/>
          <w:b w:val="0"/>
          <w:sz w:val="22"/>
          <w:szCs w:val="22"/>
        </w:rPr>
        <w:t xml:space="preserve">’de işlem gören </w:t>
      </w:r>
      <w:r w:rsidR="00D04B07" w:rsidRPr="00D04B07">
        <w:rPr>
          <w:rFonts w:ascii="Arial" w:hAnsi="Arial" w:cs="Arial"/>
          <w:b w:val="0"/>
          <w:sz w:val="22"/>
          <w:szCs w:val="22"/>
        </w:rPr>
        <w:t xml:space="preserve">bankalar ve özel finans kurumlarının </w:t>
      </w:r>
      <w:r w:rsidR="004723E4" w:rsidRPr="00D04B07">
        <w:rPr>
          <w:rFonts w:ascii="Arial" w:hAnsi="Arial" w:cs="Arial"/>
          <w:b w:val="0"/>
          <w:sz w:val="22"/>
          <w:szCs w:val="22"/>
        </w:rPr>
        <w:t xml:space="preserve">piyasa değeri ise </w:t>
      </w:r>
      <w:r w:rsidR="00E419D7" w:rsidRPr="00D04B07">
        <w:rPr>
          <w:rFonts w:ascii="Arial" w:hAnsi="Arial" w:cs="Arial"/>
          <w:b w:val="0"/>
          <w:sz w:val="22"/>
          <w:szCs w:val="22"/>
        </w:rPr>
        <w:t>1</w:t>
      </w:r>
      <w:r w:rsidR="00D04B07" w:rsidRPr="00D04B07">
        <w:rPr>
          <w:rFonts w:ascii="Arial" w:hAnsi="Arial" w:cs="Arial"/>
          <w:b w:val="0"/>
          <w:sz w:val="22"/>
          <w:szCs w:val="22"/>
        </w:rPr>
        <w:t>50</w:t>
      </w:r>
      <w:r w:rsidR="004723E4" w:rsidRPr="00D04B07">
        <w:rPr>
          <w:rFonts w:ascii="Arial" w:hAnsi="Arial" w:cs="Arial"/>
          <w:b w:val="0"/>
          <w:sz w:val="22"/>
          <w:szCs w:val="22"/>
        </w:rPr>
        <w:t xml:space="preserve"> milyar TL ile</w:t>
      </w:r>
      <w:r w:rsidR="00B742C3" w:rsidRPr="00D04B07">
        <w:rPr>
          <w:rFonts w:ascii="Arial" w:hAnsi="Arial" w:cs="Arial"/>
          <w:b w:val="0"/>
          <w:sz w:val="22"/>
          <w:szCs w:val="22"/>
        </w:rPr>
        <w:t xml:space="preserve"> </w:t>
      </w:r>
      <w:r w:rsidR="00D761E4" w:rsidRPr="00D04B07">
        <w:rPr>
          <w:rFonts w:ascii="Arial" w:hAnsi="Arial" w:cs="Arial"/>
          <w:b w:val="0"/>
          <w:sz w:val="22"/>
          <w:szCs w:val="22"/>
        </w:rPr>
        <w:t xml:space="preserve">toplam piyasa değerinin yüzde </w:t>
      </w:r>
      <w:r w:rsidR="00D04B07" w:rsidRPr="00D04B07">
        <w:rPr>
          <w:rFonts w:ascii="Arial" w:hAnsi="Arial" w:cs="Arial"/>
          <w:b w:val="0"/>
          <w:sz w:val="22"/>
          <w:szCs w:val="22"/>
        </w:rPr>
        <w:t>30’unu</w:t>
      </w:r>
      <w:r w:rsidR="004723E4" w:rsidRPr="00D04B07">
        <w:rPr>
          <w:rFonts w:ascii="Arial" w:hAnsi="Arial" w:cs="Arial"/>
          <w:b w:val="0"/>
          <w:sz w:val="22"/>
          <w:szCs w:val="22"/>
        </w:rPr>
        <w:t xml:space="preserve"> oluşturmuştur.</w:t>
      </w:r>
    </w:p>
    <w:bookmarkEnd w:id="1"/>
    <w:bookmarkEnd w:id="2"/>
    <w:p w:rsidR="00BF0D5E" w:rsidRPr="00367936" w:rsidRDefault="00BF0D5E" w:rsidP="00544DFA">
      <w:pPr>
        <w:pStyle w:val="BodyText"/>
        <w:rPr>
          <w:rFonts w:ascii="Arial" w:hAnsi="Arial" w:cs="Arial"/>
          <w:color w:val="FF0000"/>
          <w:sz w:val="22"/>
          <w:szCs w:val="22"/>
        </w:rPr>
      </w:pPr>
    </w:p>
    <w:sectPr w:rsidR="00BF0D5E" w:rsidRPr="00367936" w:rsidSect="00D416CA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2381" w:right="2268" w:bottom="1440" w:left="1814" w:header="1151" w:footer="431" w:gutter="0"/>
      <w:pgNumType w:fmt="lowerRoman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C92" w:rsidRDefault="00621C92">
      <w:r>
        <w:separator/>
      </w:r>
    </w:p>
  </w:endnote>
  <w:endnote w:type="continuationSeparator" w:id="0">
    <w:p w:rsidR="00621C92" w:rsidRDefault="0062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6326" w:rsidRDefault="00CE632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Pr="00844875" w:rsidRDefault="00CE6326" w:rsidP="00D416CA">
    <w:pPr>
      <w:pStyle w:val="Footer"/>
      <w:tabs>
        <w:tab w:val="clear" w:pos="4153"/>
        <w:tab w:val="clear" w:pos="8306"/>
        <w:tab w:val="right" w:pos="7654"/>
      </w:tabs>
      <w:rPr>
        <w:rFonts w:ascii="Arial" w:hAnsi="Arial" w:cs="Arial"/>
        <w:sz w:val="18"/>
        <w:szCs w:val="18"/>
      </w:rPr>
    </w:pPr>
    <w:r w:rsidRPr="001A244F">
      <w:rPr>
        <w:rFonts w:ascii="Arial" w:hAnsi="Arial" w:cs="Arial"/>
        <w:sz w:val="18"/>
      </w:rPr>
      <w:t>T</w:t>
    </w:r>
    <w:r w:rsidR="00C733A1">
      <w:rPr>
        <w:rFonts w:ascii="Arial" w:hAnsi="Arial" w:cs="Arial"/>
        <w:sz w:val="18"/>
      </w:rPr>
      <w:t>BB/İstatistiki Raporlar/BIST</w:t>
    </w:r>
    <w:r w:rsidRPr="001A244F">
      <w:rPr>
        <w:rFonts w:ascii="Arial" w:hAnsi="Arial" w:cs="Arial"/>
        <w:sz w:val="18"/>
      </w:rPr>
      <w:t>’de İşlem</w:t>
    </w:r>
    <w:r w:rsidR="00D06BF9">
      <w:rPr>
        <w:rFonts w:ascii="Arial" w:hAnsi="Arial" w:cs="Arial"/>
        <w:sz w:val="18"/>
      </w:rPr>
      <w:t xml:space="preserve"> Gören Mevduat Bankaları/</w:t>
    </w:r>
    <w:r w:rsidR="00963A10">
      <w:rPr>
        <w:rFonts w:ascii="Arial" w:hAnsi="Arial" w:cs="Arial"/>
        <w:sz w:val="18"/>
      </w:rPr>
      <w:t>Mart 2014</w:t>
    </w:r>
    <w:r>
      <w:rPr>
        <w:sz w:val="18"/>
      </w:rPr>
      <w:tab/>
    </w:r>
    <w:r w:rsidRPr="00844875">
      <w:rPr>
        <w:rFonts w:ascii="Arial" w:hAnsi="Arial" w:cs="Arial"/>
        <w:sz w:val="18"/>
        <w:szCs w:val="18"/>
      </w:rPr>
      <w:fldChar w:fldCharType="begin"/>
    </w:r>
    <w:r w:rsidRPr="00844875">
      <w:rPr>
        <w:rFonts w:ascii="Arial" w:hAnsi="Arial" w:cs="Arial"/>
        <w:sz w:val="18"/>
        <w:szCs w:val="18"/>
      </w:rPr>
      <w:instrText xml:space="preserve"> PAGE  \* MERGEFORMAT </w:instrText>
    </w:r>
    <w:r w:rsidRPr="00844875">
      <w:rPr>
        <w:rFonts w:ascii="Arial" w:hAnsi="Arial" w:cs="Arial"/>
        <w:sz w:val="18"/>
        <w:szCs w:val="18"/>
      </w:rPr>
      <w:fldChar w:fldCharType="separate"/>
    </w:r>
    <w:r w:rsidR="002F4659">
      <w:rPr>
        <w:rFonts w:ascii="Arial" w:hAnsi="Arial" w:cs="Arial"/>
        <w:noProof/>
        <w:sz w:val="18"/>
        <w:szCs w:val="18"/>
      </w:rPr>
      <w:t>ii</w:t>
    </w:r>
    <w:r w:rsidRPr="00844875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C92" w:rsidRDefault="00621C92">
      <w:r>
        <w:separator/>
      </w:r>
    </w:p>
  </w:footnote>
  <w:footnote w:type="continuationSeparator" w:id="0">
    <w:p w:rsidR="00621C92" w:rsidRDefault="00621C92">
      <w:r>
        <w:continuationSeparator/>
      </w:r>
    </w:p>
  </w:footnote>
  <w:footnote w:id="1">
    <w:p w:rsidR="00CE6326" w:rsidRPr="00060DA1" w:rsidRDefault="00CE6326" w:rsidP="00075F33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060DA1">
        <w:rPr>
          <w:rStyle w:val="FootnoteReference"/>
          <w:rFonts w:ascii="Arial" w:hAnsi="Arial" w:cs="Arial"/>
          <w:sz w:val="18"/>
          <w:szCs w:val="18"/>
        </w:rPr>
        <w:footnoteRef/>
      </w:r>
      <w:r w:rsidRPr="00060DA1">
        <w:rPr>
          <w:rFonts w:ascii="Arial" w:hAnsi="Arial" w:cs="Arial"/>
          <w:sz w:val="18"/>
          <w:szCs w:val="18"/>
        </w:rPr>
        <w:t xml:space="preserve"> Akbank T.A.Ş., Alternatifbank A.Ş., Denizbank A.Ş., Finans Bank A.Ş., Şekerbank T.A.Ş., Tekstil Bankası A.Ş., Türk Ekonomi Bankası A.Ş., Türkiye Halk Bankası</w:t>
      </w:r>
      <w:r w:rsidR="0071090F">
        <w:rPr>
          <w:rFonts w:ascii="Arial" w:hAnsi="Arial" w:cs="Arial"/>
          <w:sz w:val="18"/>
          <w:szCs w:val="18"/>
        </w:rPr>
        <w:t xml:space="preserve"> A.Ş.</w:t>
      </w:r>
      <w:r w:rsidRPr="00060DA1">
        <w:rPr>
          <w:rFonts w:ascii="Arial" w:hAnsi="Arial" w:cs="Arial"/>
          <w:sz w:val="18"/>
          <w:szCs w:val="18"/>
        </w:rPr>
        <w:t>, Türkiye Garanti Bankası A.Ş., Türkiye İş Bankası A.Ş., Türkiye Vakıflar Bankası T.A.O. ve Yapı ve Kredi Bankası A.Ş.’yi kapsamaktadır.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7216" behindDoc="0" locked="0" layoutInCell="1" allowOverlap="1" wp14:anchorId="6BEC361E" wp14:editId="0053EFA7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1" name="Picture 1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326" w:rsidRDefault="00CE6326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 wp14:anchorId="5FE50067" wp14:editId="23A05E1F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2" name="Picture 2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914D8"/>
    <w:multiLevelType w:val="hybridMultilevel"/>
    <w:tmpl w:val="177C6CD4"/>
    <w:lvl w:ilvl="0" w:tplc="7C88EE0C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400CD2"/>
    <w:multiLevelType w:val="singleLevel"/>
    <w:tmpl w:val="0C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CFD"/>
    <w:rsid w:val="0000316F"/>
    <w:rsid w:val="000048EE"/>
    <w:rsid w:val="00005663"/>
    <w:rsid w:val="00007C73"/>
    <w:rsid w:val="00015229"/>
    <w:rsid w:val="000160AA"/>
    <w:rsid w:val="00017575"/>
    <w:rsid w:val="00017BEA"/>
    <w:rsid w:val="00023A2D"/>
    <w:rsid w:val="00024E29"/>
    <w:rsid w:val="00027542"/>
    <w:rsid w:val="0003146D"/>
    <w:rsid w:val="000337BE"/>
    <w:rsid w:val="000344BC"/>
    <w:rsid w:val="0004336A"/>
    <w:rsid w:val="00050A0A"/>
    <w:rsid w:val="000574D1"/>
    <w:rsid w:val="00060670"/>
    <w:rsid w:val="00060DA1"/>
    <w:rsid w:val="00063F82"/>
    <w:rsid w:val="000640D8"/>
    <w:rsid w:val="00072EDD"/>
    <w:rsid w:val="00073A4F"/>
    <w:rsid w:val="000743BF"/>
    <w:rsid w:val="000753A7"/>
    <w:rsid w:val="00075F33"/>
    <w:rsid w:val="000763B6"/>
    <w:rsid w:val="0007772D"/>
    <w:rsid w:val="00081D6C"/>
    <w:rsid w:val="00090CBF"/>
    <w:rsid w:val="00091F8C"/>
    <w:rsid w:val="00097808"/>
    <w:rsid w:val="000A01E6"/>
    <w:rsid w:val="000A2B7A"/>
    <w:rsid w:val="000A5B4D"/>
    <w:rsid w:val="000A7B3A"/>
    <w:rsid w:val="000B2996"/>
    <w:rsid w:val="000B3C9F"/>
    <w:rsid w:val="000B457C"/>
    <w:rsid w:val="000C48B2"/>
    <w:rsid w:val="000C58D6"/>
    <w:rsid w:val="000C5A0D"/>
    <w:rsid w:val="000C6659"/>
    <w:rsid w:val="000C77B2"/>
    <w:rsid w:val="000D45AA"/>
    <w:rsid w:val="000D52E7"/>
    <w:rsid w:val="000D69CF"/>
    <w:rsid w:val="000E1FA2"/>
    <w:rsid w:val="000E31B4"/>
    <w:rsid w:val="000E425B"/>
    <w:rsid w:val="000E43C9"/>
    <w:rsid w:val="000E459B"/>
    <w:rsid w:val="000E579E"/>
    <w:rsid w:val="000E7B3E"/>
    <w:rsid w:val="000F0B1A"/>
    <w:rsid w:val="000F3289"/>
    <w:rsid w:val="000F4A30"/>
    <w:rsid w:val="001010F3"/>
    <w:rsid w:val="00101C9A"/>
    <w:rsid w:val="001068D7"/>
    <w:rsid w:val="00107091"/>
    <w:rsid w:val="00107DCC"/>
    <w:rsid w:val="00110161"/>
    <w:rsid w:val="0011151D"/>
    <w:rsid w:val="00112B10"/>
    <w:rsid w:val="00112B9E"/>
    <w:rsid w:val="00114B6D"/>
    <w:rsid w:val="00115805"/>
    <w:rsid w:val="00124FC3"/>
    <w:rsid w:val="001262FB"/>
    <w:rsid w:val="001275AA"/>
    <w:rsid w:val="00130280"/>
    <w:rsid w:val="00130CEF"/>
    <w:rsid w:val="00131033"/>
    <w:rsid w:val="0013152C"/>
    <w:rsid w:val="00137C05"/>
    <w:rsid w:val="00140928"/>
    <w:rsid w:val="00142011"/>
    <w:rsid w:val="00144589"/>
    <w:rsid w:val="00146BE4"/>
    <w:rsid w:val="001515D7"/>
    <w:rsid w:val="00154624"/>
    <w:rsid w:val="0015577B"/>
    <w:rsid w:val="00161692"/>
    <w:rsid w:val="00163489"/>
    <w:rsid w:val="00167BF5"/>
    <w:rsid w:val="00170249"/>
    <w:rsid w:val="00171AFF"/>
    <w:rsid w:val="001764FA"/>
    <w:rsid w:val="00180BCE"/>
    <w:rsid w:val="00182B7E"/>
    <w:rsid w:val="0019190C"/>
    <w:rsid w:val="00193AE4"/>
    <w:rsid w:val="001953FE"/>
    <w:rsid w:val="001977CB"/>
    <w:rsid w:val="001A1722"/>
    <w:rsid w:val="001A198C"/>
    <w:rsid w:val="001A2807"/>
    <w:rsid w:val="001A480C"/>
    <w:rsid w:val="001A566B"/>
    <w:rsid w:val="001B3D2B"/>
    <w:rsid w:val="001B6DFA"/>
    <w:rsid w:val="001B7094"/>
    <w:rsid w:val="001C1071"/>
    <w:rsid w:val="001C2060"/>
    <w:rsid w:val="001C4C1E"/>
    <w:rsid w:val="001C5B5F"/>
    <w:rsid w:val="001C6FB7"/>
    <w:rsid w:val="001C736E"/>
    <w:rsid w:val="001D000A"/>
    <w:rsid w:val="001D314E"/>
    <w:rsid w:val="001D3843"/>
    <w:rsid w:val="001D4937"/>
    <w:rsid w:val="001D540E"/>
    <w:rsid w:val="001D564F"/>
    <w:rsid w:val="001D7456"/>
    <w:rsid w:val="001E1B4B"/>
    <w:rsid w:val="001E3E7D"/>
    <w:rsid w:val="001E4CF9"/>
    <w:rsid w:val="001E5DA7"/>
    <w:rsid w:val="001E6811"/>
    <w:rsid w:val="001F3908"/>
    <w:rsid w:val="001F7734"/>
    <w:rsid w:val="001F7FCE"/>
    <w:rsid w:val="002004E8"/>
    <w:rsid w:val="0020749D"/>
    <w:rsid w:val="0021271F"/>
    <w:rsid w:val="002159C0"/>
    <w:rsid w:val="002170BE"/>
    <w:rsid w:val="00217C37"/>
    <w:rsid w:val="00220627"/>
    <w:rsid w:val="002230B9"/>
    <w:rsid w:val="002248F2"/>
    <w:rsid w:val="00225B06"/>
    <w:rsid w:val="00225EB5"/>
    <w:rsid w:val="00227388"/>
    <w:rsid w:val="00234523"/>
    <w:rsid w:val="00234AAA"/>
    <w:rsid w:val="00237A14"/>
    <w:rsid w:val="0024036D"/>
    <w:rsid w:val="00240C25"/>
    <w:rsid w:val="00240E2F"/>
    <w:rsid w:val="00242C53"/>
    <w:rsid w:val="00245CC4"/>
    <w:rsid w:val="00246E5F"/>
    <w:rsid w:val="00247827"/>
    <w:rsid w:val="00250E81"/>
    <w:rsid w:val="00252DBF"/>
    <w:rsid w:val="002621F6"/>
    <w:rsid w:val="002625DF"/>
    <w:rsid w:val="00267D7A"/>
    <w:rsid w:val="002702F1"/>
    <w:rsid w:val="00271995"/>
    <w:rsid w:val="002758FF"/>
    <w:rsid w:val="00277452"/>
    <w:rsid w:val="002775E7"/>
    <w:rsid w:val="00280A9B"/>
    <w:rsid w:val="0028168E"/>
    <w:rsid w:val="002830E0"/>
    <w:rsid w:val="002848B2"/>
    <w:rsid w:val="00287873"/>
    <w:rsid w:val="00290CE8"/>
    <w:rsid w:val="002929E9"/>
    <w:rsid w:val="002960D3"/>
    <w:rsid w:val="002A6334"/>
    <w:rsid w:val="002A7A15"/>
    <w:rsid w:val="002B4074"/>
    <w:rsid w:val="002B53F5"/>
    <w:rsid w:val="002B77EB"/>
    <w:rsid w:val="002C3493"/>
    <w:rsid w:val="002C4D8D"/>
    <w:rsid w:val="002C5A1A"/>
    <w:rsid w:val="002C5CF5"/>
    <w:rsid w:val="002D3D2B"/>
    <w:rsid w:val="002D4536"/>
    <w:rsid w:val="002D67D5"/>
    <w:rsid w:val="002E0926"/>
    <w:rsid w:val="002E17DE"/>
    <w:rsid w:val="002E1FAE"/>
    <w:rsid w:val="002F0DE6"/>
    <w:rsid w:val="002F24CF"/>
    <w:rsid w:val="002F4659"/>
    <w:rsid w:val="002F7D49"/>
    <w:rsid w:val="00301D46"/>
    <w:rsid w:val="00302CCE"/>
    <w:rsid w:val="0030479B"/>
    <w:rsid w:val="003075F6"/>
    <w:rsid w:val="00307B97"/>
    <w:rsid w:val="0031205E"/>
    <w:rsid w:val="00315135"/>
    <w:rsid w:val="00315335"/>
    <w:rsid w:val="00315958"/>
    <w:rsid w:val="00315AD0"/>
    <w:rsid w:val="00317443"/>
    <w:rsid w:val="00317FA3"/>
    <w:rsid w:val="00320222"/>
    <w:rsid w:val="00321866"/>
    <w:rsid w:val="00323632"/>
    <w:rsid w:val="00326018"/>
    <w:rsid w:val="00327D4B"/>
    <w:rsid w:val="00334EF7"/>
    <w:rsid w:val="0033616B"/>
    <w:rsid w:val="00337F0C"/>
    <w:rsid w:val="00342E54"/>
    <w:rsid w:val="00346032"/>
    <w:rsid w:val="0034670B"/>
    <w:rsid w:val="00350D30"/>
    <w:rsid w:val="00350F98"/>
    <w:rsid w:val="00352EFE"/>
    <w:rsid w:val="00360C27"/>
    <w:rsid w:val="00360E6D"/>
    <w:rsid w:val="003629D9"/>
    <w:rsid w:val="00362F2D"/>
    <w:rsid w:val="003637A6"/>
    <w:rsid w:val="00363946"/>
    <w:rsid w:val="00367936"/>
    <w:rsid w:val="00373BB1"/>
    <w:rsid w:val="00374986"/>
    <w:rsid w:val="003761C6"/>
    <w:rsid w:val="00376A74"/>
    <w:rsid w:val="00381E6B"/>
    <w:rsid w:val="00382FF2"/>
    <w:rsid w:val="00386F3C"/>
    <w:rsid w:val="0038766A"/>
    <w:rsid w:val="00395635"/>
    <w:rsid w:val="00396F07"/>
    <w:rsid w:val="0039711C"/>
    <w:rsid w:val="00397652"/>
    <w:rsid w:val="003A0244"/>
    <w:rsid w:val="003A0730"/>
    <w:rsid w:val="003A4B0D"/>
    <w:rsid w:val="003A4E37"/>
    <w:rsid w:val="003A6021"/>
    <w:rsid w:val="003B3D8F"/>
    <w:rsid w:val="003B4FEB"/>
    <w:rsid w:val="003B6F11"/>
    <w:rsid w:val="003B7153"/>
    <w:rsid w:val="003B72EF"/>
    <w:rsid w:val="003C2ACB"/>
    <w:rsid w:val="003C5895"/>
    <w:rsid w:val="003C6085"/>
    <w:rsid w:val="003C7686"/>
    <w:rsid w:val="003D0039"/>
    <w:rsid w:val="003D1BA8"/>
    <w:rsid w:val="003D228A"/>
    <w:rsid w:val="003D26BC"/>
    <w:rsid w:val="003D609E"/>
    <w:rsid w:val="003D74DC"/>
    <w:rsid w:val="003D7C20"/>
    <w:rsid w:val="003E0518"/>
    <w:rsid w:val="003E1EAF"/>
    <w:rsid w:val="003E27BA"/>
    <w:rsid w:val="003E599F"/>
    <w:rsid w:val="003E680C"/>
    <w:rsid w:val="003E7674"/>
    <w:rsid w:val="003F0E68"/>
    <w:rsid w:val="003F0F3C"/>
    <w:rsid w:val="003F1484"/>
    <w:rsid w:val="003F7079"/>
    <w:rsid w:val="0040004D"/>
    <w:rsid w:val="0040598A"/>
    <w:rsid w:val="00406961"/>
    <w:rsid w:val="00406991"/>
    <w:rsid w:val="0041045D"/>
    <w:rsid w:val="0041064C"/>
    <w:rsid w:val="0041278D"/>
    <w:rsid w:val="004134BC"/>
    <w:rsid w:val="004205F5"/>
    <w:rsid w:val="004273E6"/>
    <w:rsid w:val="00427CD6"/>
    <w:rsid w:val="0043294B"/>
    <w:rsid w:val="004354F1"/>
    <w:rsid w:val="00440BBF"/>
    <w:rsid w:val="004440D6"/>
    <w:rsid w:val="00445E33"/>
    <w:rsid w:val="0044798F"/>
    <w:rsid w:val="00451471"/>
    <w:rsid w:val="00451750"/>
    <w:rsid w:val="00453493"/>
    <w:rsid w:val="00454D3F"/>
    <w:rsid w:val="00457F1E"/>
    <w:rsid w:val="00457F61"/>
    <w:rsid w:val="00460AAF"/>
    <w:rsid w:val="00462761"/>
    <w:rsid w:val="004635A9"/>
    <w:rsid w:val="00463FB0"/>
    <w:rsid w:val="00467373"/>
    <w:rsid w:val="004723E4"/>
    <w:rsid w:val="00472DE7"/>
    <w:rsid w:val="0047341C"/>
    <w:rsid w:val="00473832"/>
    <w:rsid w:val="0047445A"/>
    <w:rsid w:val="00480020"/>
    <w:rsid w:val="00484BB9"/>
    <w:rsid w:val="0048538F"/>
    <w:rsid w:val="00487C88"/>
    <w:rsid w:val="00487FC8"/>
    <w:rsid w:val="00492E36"/>
    <w:rsid w:val="004A042C"/>
    <w:rsid w:val="004A1BBA"/>
    <w:rsid w:val="004A361F"/>
    <w:rsid w:val="004A3A9D"/>
    <w:rsid w:val="004B19F7"/>
    <w:rsid w:val="004B1E2A"/>
    <w:rsid w:val="004B3375"/>
    <w:rsid w:val="004B3FB7"/>
    <w:rsid w:val="004B4D0D"/>
    <w:rsid w:val="004B547B"/>
    <w:rsid w:val="004B6E31"/>
    <w:rsid w:val="004C374A"/>
    <w:rsid w:val="004C419B"/>
    <w:rsid w:val="004D17D7"/>
    <w:rsid w:val="004D5A79"/>
    <w:rsid w:val="004E0368"/>
    <w:rsid w:val="004E1FDB"/>
    <w:rsid w:val="004E3BB6"/>
    <w:rsid w:val="004F17FF"/>
    <w:rsid w:val="004F4F22"/>
    <w:rsid w:val="004F7254"/>
    <w:rsid w:val="005010CA"/>
    <w:rsid w:val="00511F4E"/>
    <w:rsid w:val="00514D84"/>
    <w:rsid w:val="00517505"/>
    <w:rsid w:val="0052039A"/>
    <w:rsid w:val="00531A2F"/>
    <w:rsid w:val="00532BF8"/>
    <w:rsid w:val="005332F9"/>
    <w:rsid w:val="00536383"/>
    <w:rsid w:val="00537572"/>
    <w:rsid w:val="00542284"/>
    <w:rsid w:val="00543ABE"/>
    <w:rsid w:val="00543E90"/>
    <w:rsid w:val="00544DFA"/>
    <w:rsid w:val="0054720B"/>
    <w:rsid w:val="00552433"/>
    <w:rsid w:val="00552EEB"/>
    <w:rsid w:val="0055363E"/>
    <w:rsid w:val="0055481A"/>
    <w:rsid w:val="00555638"/>
    <w:rsid w:val="005561ED"/>
    <w:rsid w:val="005629AB"/>
    <w:rsid w:val="0056307D"/>
    <w:rsid w:val="005655E6"/>
    <w:rsid w:val="00565B0B"/>
    <w:rsid w:val="005670AF"/>
    <w:rsid w:val="00567171"/>
    <w:rsid w:val="005730C3"/>
    <w:rsid w:val="005757BA"/>
    <w:rsid w:val="00576AF6"/>
    <w:rsid w:val="00580A13"/>
    <w:rsid w:val="0058353E"/>
    <w:rsid w:val="005839EF"/>
    <w:rsid w:val="00583A9A"/>
    <w:rsid w:val="00584765"/>
    <w:rsid w:val="00587DD8"/>
    <w:rsid w:val="005927DF"/>
    <w:rsid w:val="0059316B"/>
    <w:rsid w:val="00593CD0"/>
    <w:rsid w:val="005A4254"/>
    <w:rsid w:val="005A7FAF"/>
    <w:rsid w:val="005B14F4"/>
    <w:rsid w:val="005B1D48"/>
    <w:rsid w:val="005B2EDB"/>
    <w:rsid w:val="005B54D6"/>
    <w:rsid w:val="005B5E79"/>
    <w:rsid w:val="005B61D6"/>
    <w:rsid w:val="005C0915"/>
    <w:rsid w:val="005C1C6E"/>
    <w:rsid w:val="005C39DE"/>
    <w:rsid w:val="005D351C"/>
    <w:rsid w:val="005D427A"/>
    <w:rsid w:val="005D5F86"/>
    <w:rsid w:val="005E0EB8"/>
    <w:rsid w:val="005E3060"/>
    <w:rsid w:val="005F01B0"/>
    <w:rsid w:val="005F0384"/>
    <w:rsid w:val="005F0E0B"/>
    <w:rsid w:val="005F4C1C"/>
    <w:rsid w:val="005F5390"/>
    <w:rsid w:val="005F72BB"/>
    <w:rsid w:val="00601214"/>
    <w:rsid w:val="00604D62"/>
    <w:rsid w:val="00605186"/>
    <w:rsid w:val="00607CE2"/>
    <w:rsid w:val="00613C90"/>
    <w:rsid w:val="0061706E"/>
    <w:rsid w:val="00621C92"/>
    <w:rsid w:val="00622936"/>
    <w:rsid w:val="00622C1C"/>
    <w:rsid w:val="006240D7"/>
    <w:rsid w:val="00624300"/>
    <w:rsid w:val="00626E1B"/>
    <w:rsid w:val="00631227"/>
    <w:rsid w:val="006316BD"/>
    <w:rsid w:val="00633BD7"/>
    <w:rsid w:val="00635323"/>
    <w:rsid w:val="00640A37"/>
    <w:rsid w:val="00650D5B"/>
    <w:rsid w:val="00650F04"/>
    <w:rsid w:val="006519C2"/>
    <w:rsid w:val="00652C94"/>
    <w:rsid w:val="00653677"/>
    <w:rsid w:val="006538FE"/>
    <w:rsid w:val="00653CB7"/>
    <w:rsid w:val="00660DE2"/>
    <w:rsid w:val="00662973"/>
    <w:rsid w:val="00663612"/>
    <w:rsid w:val="00663701"/>
    <w:rsid w:val="006666DC"/>
    <w:rsid w:val="00667F5A"/>
    <w:rsid w:val="00671B49"/>
    <w:rsid w:val="00673DB8"/>
    <w:rsid w:val="006748F4"/>
    <w:rsid w:val="00675097"/>
    <w:rsid w:val="006762F3"/>
    <w:rsid w:val="00677FE2"/>
    <w:rsid w:val="006806F9"/>
    <w:rsid w:val="00681AA1"/>
    <w:rsid w:val="0068501C"/>
    <w:rsid w:val="00685C31"/>
    <w:rsid w:val="006861E6"/>
    <w:rsid w:val="00693E45"/>
    <w:rsid w:val="00694405"/>
    <w:rsid w:val="0069499C"/>
    <w:rsid w:val="00694C70"/>
    <w:rsid w:val="006A016C"/>
    <w:rsid w:val="006A1A36"/>
    <w:rsid w:val="006A7A07"/>
    <w:rsid w:val="006B0957"/>
    <w:rsid w:val="006B4CC7"/>
    <w:rsid w:val="006B5546"/>
    <w:rsid w:val="006C04AC"/>
    <w:rsid w:val="006C11B5"/>
    <w:rsid w:val="006C75F2"/>
    <w:rsid w:val="006D04A6"/>
    <w:rsid w:val="006D0795"/>
    <w:rsid w:val="006D1A7B"/>
    <w:rsid w:val="006D1C38"/>
    <w:rsid w:val="006D2832"/>
    <w:rsid w:val="006D4F86"/>
    <w:rsid w:val="006D6768"/>
    <w:rsid w:val="006D6BCC"/>
    <w:rsid w:val="006D733A"/>
    <w:rsid w:val="006D7755"/>
    <w:rsid w:val="006E12D0"/>
    <w:rsid w:val="006E6316"/>
    <w:rsid w:val="006F056E"/>
    <w:rsid w:val="006F175C"/>
    <w:rsid w:val="006F17C4"/>
    <w:rsid w:val="006F3695"/>
    <w:rsid w:val="006F493A"/>
    <w:rsid w:val="006F6C51"/>
    <w:rsid w:val="0070101B"/>
    <w:rsid w:val="00701A22"/>
    <w:rsid w:val="00702446"/>
    <w:rsid w:val="007060EC"/>
    <w:rsid w:val="0071029A"/>
    <w:rsid w:val="0071090F"/>
    <w:rsid w:val="00710A75"/>
    <w:rsid w:val="007144E6"/>
    <w:rsid w:val="00716A11"/>
    <w:rsid w:val="00716CE3"/>
    <w:rsid w:val="007176B4"/>
    <w:rsid w:val="00722B3D"/>
    <w:rsid w:val="00723864"/>
    <w:rsid w:val="00724768"/>
    <w:rsid w:val="0072482D"/>
    <w:rsid w:val="0072503B"/>
    <w:rsid w:val="007257BA"/>
    <w:rsid w:val="0072627E"/>
    <w:rsid w:val="0072685A"/>
    <w:rsid w:val="00726C63"/>
    <w:rsid w:val="007277F2"/>
    <w:rsid w:val="00732510"/>
    <w:rsid w:val="00733010"/>
    <w:rsid w:val="007346BC"/>
    <w:rsid w:val="00735D15"/>
    <w:rsid w:val="00736A95"/>
    <w:rsid w:val="00742AD6"/>
    <w:rsid w:val="00743F56"/>
    <w:rsid w:val="00751096"/>
    <w:rsid w:val="007526A6"/>
    <w:rsid w:val="00757819"/>
    <w:rsid w:val="00765702"/>
    <w:rsid w:val="00765E41"/>
    <w:rsid w:val="00767684"/>
    <w:rsid w:val="00774B2C"/>
    <w:rsid w:val="00777A17"/>
    <w:rsid w:val="00784D68"/>
    <w:rsid w:val="00786776"/>
    <w:rsid w:val="00791989"/>
    <w:rsid w:val="00792B0A"/>
    <w:rsid w:val="00795D68"/>
    <w:rsid w:val="007B0CE3"/>
    <w:rsid w:val="007B11CE"/>
    <w:rsid w:val="007B11F3"/>
    <w:rsid w:val="007B13AA"/>
    <w:rsid w:val="007B191A"/>
    <w:rsid w:val="007B2B49"/>
    <w:rsid w:val="007B3A2E"/>
    <w:rsid w:val="007B4606"/>
    <w:rsid w:val="007B4EF0"/>
    <w:rsid w:val="007B6614"/>
    <w:rsid w:val="007C1F90"/>
    <w:rsid w:val="007C2015"/>
    <w:rsid w:val="007C2107"/>
    <w:rsid w:val="007C30CC"/>
    <w:rsid w:val="007C42D3"/>
    <w:rsid w:val="007C6358"/>
    <w:rsid w:val="007C73CA"/>
    <w:rsid w:val="007C75D5"/>
    <w:rsid w:val="007D2FB0"/>
    <w:rsid w:val="007D56E6"/>
    <w:rsid w:val="007D5E9B"/>
    <w:rsid w:val="007E071E"/>
    <w:rsid w:val="007E218B"/>
    <w:rsid w:val="007E3EA2"/>
    <w:rsid w:val="007E57A0"/>
    <w:rsid w:val="007E671B"/>
    <w:rsid w:val="007E7DAD"/>
    <w:rsid w:val="007F03E6"/>
    <w:rsid w:val="007F42C1"/>
    <w:rsid w:val="007F5D5D"/>
    <w:rsid w:val="007F6160"/>
    <w:rsid w:val="007F7F67"/>
    <w:rsid w:val="00801147"/>
    <w:rsid w:val="0080576E"/>
    <w:rsid w:val="00811630"/>
    <w:rsid w:val="00813B8E"/>
    <w:rsid w:val="00814A25"/>
    <w:rsid w:val="008220D8"/>
    <w:rsid w:val="008304B1"/>
    <w:rsid w:val="00831576"/>
    <w:rsid w:val="00834723"/>
    <w:rsid w:val="00834737"/>
    <w:rsid w:val="0084013E"/>
    <w:rsid w:val="00840356"/>
    <w:rsid w:val="008403AA"/>
    <w:rsid w:val="008418B2"/>
    <w:rsid w:val="00843E2B"/>
    <w:rsid w:val="0084434D"/>
    <w:rsid w:val="00844875"/>
    <w:rsid w:val="00845952"/>
    <w:rsid w:val="00850D17"/>
    <w:rsid w:val="008511FB"/>
    <w:rsid w:val="00851D99"/>
    <w:rsid w:val="00855D97"/>
    <w:rsid w:val="008610C7"/>
    <w:rsid w:val="00867B10"/>
    <w:rsid w:val="0087259E"/>
    <w:rsid w:val="00872982"/>
    <w:rsid w:val="00874202"/>
    <w:rsid w:val="00877572"/>
    <w:rsid w:val="00883FA9"/>
    <w:rsid w:val="00884CB2"/>
    <w:rsid w:val="00890340"/>
    <w:rsid w:val="00890481"/>
    <w:rsid w:val="00890E03"/>
    <w:rsid w:val="00893E30"/>
    <w:rsid w:val="008970E7"/>
    <w:rsid w:val="0089784F"/>
    <w:rsid w:val="008A0D0F"/>
    <w:rsid w:val="008A4022"/>
    <w:rsid w:val="008A479E"/>
    <w:rsid w:val="008A6B52"/>
    <w:rsid w:val="008C0257"/>
    <w:rsid w:val="008C174E"/>
    <w:rsid w:val="008C1FD7"/>
    <w:rsid w:val="008C2207"/>
    <w:rsid w:val="008C3674"/>
    <w:rsid w:val="008C41A8"/>
    <w:rsid w:val="008D1382"/>
    <w:rsid w:val="008D29B8"/>
    <w:rsid w:val="008D3FC2"/>
    <w:rsid w:val="008D4C84"/>
    <w:rsid w:val="008E5308"/>
    <w:rsid w:val="008F2B54"/>
    <w:rsid w:val="008F2E71"/>
    <w:rsid w:val="008F7061"/>
    <w:rsid w:val="008F75AD"/>
    <w:rsid w:val="0090400E"/>
    <w:rsid w:val="00906BC7"/>
    <w:rsid w:val="00910F92"/>
    <w:rsid w:val="0091223E"/>
    <w:rsid w:val="0091288A"/>
    <w:rsid w:val="009138BD"/>
    <w:rsid w:val="00913B76"/>
    <w:rsid w:val="009150E3"/>
    <w:rsid w:val="009179D1"/>
    <w:rsid w:val="0092329B"/>
    <w:rsid w:val="0093150B"/>
    <w:rsid w:val="009319BA"/>
    <w:rsid w:val="00932962"/>
    <w:rsid w:val="00936D80"/>
    <w:rsid w:val="00937621"/>
    <w:rsid w:val="009401B4"/>
    <w:rsid w:val="00940B06"/>
    <w:rsid w:val="00950618"/>
    <w:rsid w:val="0095204E"/>
    <w:rsid w:val="00955785"/>
    <w:rsid w:val="00955947"/>
    <w:rsid w:val="00956DC6"/>
    <w:rsid w:val="00957ECC"/>
    <w:rsid w:val="00960151"/>
    <w:rsid w:val="00960646"/>
    <w:rsid w:val="00963A10"/>
    <w:rsid w:val="00965490"/>
    <w:rsid w:val="00967398"/>
    <w:rsid w:val="009707A7"/>
    <w:rsid w:val="0097171C"/>
    <w:rsid w:val="009733EB"/>
    <w:rsid w:val="00973A72"/>
    <w:rsid w:val="0097402E"/>
    <w:rsid w:val="009749DA"/>
    <w:rsid w:val="00975D71"/>
    <w:rsid w:val="00976BE4"/>
    <w:rsid w:val="00980AD9"/>
    <w:rsid w:val="009852C9"/>
    <w:rsid w:val="009863CA"/>
    <w:rsid w:val="009905A9"/>
    <w:rsid w:val="0099182F"/>
    <w:rsid w:val="00993FC7"/>
    <w:rsid w:val="0099647E"/>
    <w:rsid w:val="009A037A"/>
    <w:rsid w:val="009A7CAD"/>
    <w:rsid w:val="009B0203"/>
    <w:rsid w:val="009B173E"/>
    <w:rsid w:val="009B2BEA"/>
    <w:rsid w:val="009B3345"/>
    <w:rsid w:val="009B41BA"/>
    <w:rsid w:val="009B6491"/>
    <w:rsid w:val="009B6493"/>
    <w:rsid w:val="009B6763"/>
    <w:rsid w:val="009C6D05"/>
    <w:rsid w:val="009C70AD"/>
    <w:rsid w:val="009D0E3A"/>
    <w:rsid w:val="009D3197"/>
    <w:rsid w:val="009D3B74"/>
    <w:rsid w:val="009D54F6"/>
    <w:rsid w:val="009D7997"/>
    <w:rsid w:val="009E5EED"/>
    <w:rsid w:val="009E660C"/>
    <w:rsid w:val="009E6D57"/>
    <w:rsid w:val="009F29D7"/>
    <w:rsid w:val="009F3297"/>
    <w:rsid w:val="009F6A65"/>
    <w:rsid w:val="009F6D60"/>
    <w:rsid w:val="00A01208"/>
    <w:rsid w:val="00A05A4D"/>
    <w:rsid w:val="00A0764C"/>
    <w:rsid w:val="00A122C3"/>
    <w:rsid w:val="00A14997"/>
    <w:rsid w:val="00A24D51"/>
    <w:rsid w:val="00A25469"/>
    <w:rsid w:val="00A2732B"/>
    <w:rsid w:val="00A312E8"/>
    <w:rsid w:val="00A36F63"/>
    <w:rsid w:val="00A410CF"/>
    <w:rsid w:val="00A42DBC"/>
    <w:rsid w:val="00A435E0"/>
    <w:rsid w:val="00A44544"/>
    <w:rsid w:val="00A463F1"/>
    <w:rsid w:val="00A47BD6"/>
    <w:rsid w:val="00A500B7"/>
    <w:rsid w:val="00A62C5D"/>
    <w:rsid w:val="00A62E4D"/>
    <w:rsid w:val="00A646F6"/>
    <w:rsid w:val="00A6488F"/>
    <w:rsid w:val="00A66235"/>
    <w:rsid w:val="00A66CD2"/>
    <w:rsid w:val="00A67558"/>
    <w:rsid w:val="00A714AD"/>
    <w:rsid w:val="00A73280"/>
    <w:rsid w:val="00A76ABA"/>
    <w:rsid w:val="00A80D41"/>
    <w:rsid w:val="00A83135"/>
    <w:rsid w:val="00A84A39"/>
    <w:rsid w:val="00A863A2"/>
    <w:rsid w:val="00A92925"/>
    <w:rsid w:val="00A94D4B"/>
    <w:rsid w:val="00A96553"/>
    <w:rsid w:val="00A97252"/>
    <w:rsid w:val="00A97969"/>
    <w:rsid w:val="00AA061F"/>
    <w:rsid w:val="00AA1A38"/>
    <w:rsid w:val="00AA3C83"/>
    <w:rsid w:val="00AA524B"/>
    <w:rsid w:val="00AA6DA4"/>
    <w:rsid w:val="00AB545C"/>
    <w:rsid w:val="00AB6F65"/>
    <w:rsid w:val="00AB770B"/>
    <w:rsid w:val="00AC226D"/>
    <w:rsid w:val="00AC43E1"/>
    <w:rsid w:val="00AC67A3"/>
    <w:rsid w:val="00AC7B6E"/>
    <w:rsid w:val="00AD1B45"/>
    <w:rsid w:val="00AD779B"/>
    <w:rsid w:val="00AE117C"/>
    <w:rsid w:val="00AE2535"/>
    <w:rsid w:val="00AE4EAD"/>
    <w:rsid w:val="00AE5A13"/>
    <w:rsid w:val="00AE6354"/>
    <w:rsid w:val="00AF0BD3"/>
    <w:rsid w:val="00AF2370"/>
    <w:rsid w:val="00AF3F96"/>
    <w:rsid w:val="00B01F34"/>
    <w:rsid w:val="00B02377"/>
    <w:rsid w:val="00B05DA4"/>
    <w:rsid w:val="00B10A83"/>
    <w:rsid w:val="00B11478"/>
    <w:rsid w:val="00B13103"/>
    <w:rsid w:val="00B15CA2"/>
    <w:rsid w:val="00B175AF"/>
    <w:rsid w:val="00B20EB2"/>
    <w:rsid w:val="00B22B67"/>
    <w:rsid w:val="00B24EE3"/>
    <w:rsid w:val="00B25FE4"/>
    <w:rsid w:val="00B30C60"/>
    <w:rsid w:val="00B35CE2"/>
    <w:rsid w:val="00B41AFA"/>
    <w:rsid w:val="00B427EF"/>
    <w:rsid w:val="00B42E24"/>
    <w:rsid w:val="00B4452B"/>
    <w:rsid w:val="00B53222"/>
    <w:rsid w:val="00B56E20"/>
    <w:rsid w:val="00B608E4"/>
    <w:rsid w:val="00B632C7"/>
    <w:rsid w:val="00B6431E"/>
    <w:rsid w:val="00B6783A"/>
    <w:rsid w:val="00B67849"/>
    <w:rsid w:val="00B71373"/>
    <w:rsid w:val="00B73E73"/>
    <w:rsid w:val="00B742C3"/>
    <w:rsid w:val="00B775DF"/>
    <w:rsid w:val="00B809DB"/>
    <w:rsid w:val="00B85D10"/>
    <w:rsid w:val="00B867F7"/>
    <w:rsid w:val="00B911BA"/>
    <w:rsid w:val="00B92854"/>
    <w:rsid w:val="00B931E6"/>
    <w:rsid w:val="00B94D13"/>
    <w:rsid w:val="00BA2261"/>
    <w:rsid w:val="00BA3413"/>
    <w:rsid w:val="00BA4EBE"/>
    <w:rsid w:val="00BA6E43"/>
    <w:rsid w:val="00BB0AB2"/>
    <w:rsid w:val="00BB2C5D"/>
    <w:rsid w:val="00BB37FC"/>
    <w:rsid w:val="00BB474C"/>
    <w:rsid w:val="00BB5E88"/>
    <w:rsid w:val="00BB62C7"/>
    <w:rsid w:val="00BB7569"/>
    <w:rsid w:val="00BC4874"/>
    <w:rsid w:val="00BC5E9F"/>
    <w:rsid w:val="00BC5F85"/>
    <w:rsid w:val="00BD5083"/>
    <w:rsid w:val="00BD5C13"/>
    <w:rsid w:val="00BD7CD3"/>
    <w:rsid w:val="00BE3BD4"/>
    <w:rsid w:val="00BE49AF"/>
    <w:rsid w:val="00BE4CFD"/>
    <w:rsid w:val="00BE504A"/>
    <w:rsid w:val="00BF033E"/>
    <w:rsid w:val="00BF0D5E"/>
    <w:rsid w:val="00BF0FE8"/>
    <w:rsid w:val="00BF52C6"/>
    <w:rsid w:val="00BF579B"/>
    <w:rsid w:val="00C042AF"/>
    <w:rsid w:val="00C0479F"/>
    <w:rsid w:val="00C12525"/>
    <w:rsid w:val="00C17DA3"/>
    <w:rsid w:val="00C23974"/>
    <w:rsid w:val="00C2508B"/>
    <w:rsid w:val="00C25D29"/>
    <w:rsid w:val="00C261E5"/>
    <w:rsid w:val="00C270D2"/>
    <w:rsid w:val="00C3577A"/>
    <w:rsid w:val="00C379B4"/>
    <w:rsid w:val="00C4175C"/>
    <w:rsid w:val="00C41FF2"/>
    <w:rsid w:val="00C45413"/>
    <w:rsid w:val="00C46ED2"/>
    <w:rsid w:val="00C54487"/>
    <w:rsid w:val="00C54AD7"/>
    <w:rsid w:val="00C56A04"/>
    <w:rsid w:val="00C577D3"/>
    <w:rsid w:val="00C61B4B"/>
    <w:rsid w:val="00C61FB1"/>
    <w:rsid w:val="00C65B99"/>
    <w:rsid w:val="00C71218"/>
    <w:rsid w:val="00C71B5D"/>
    <w:rsid w:val="00C72888"/>
    <w:rsid w:val="00C733A1"/>
    <w:rsid w:val="00C80B1F"/>
    <w:rsid w:val="00C869C6"/>
    <w:rsid w:val="00C87E78"/>
    <w:rsid w:val="00C91A41"/>
    <w:rsid w:val="00C920D2"/>
    <w:rsid w:val="00C93612"/>
    <w:rsid w:val="00C93DD5"/>
    <w:rsid w:val="00C941CA"/>
    <w:rsid w:val="00C953EA"/>
    <w:rsid w:val="00CA03A2"/>
    <w:rsid w:val="00CA1084"/>
    <w:rsid w:val="00CA32CB"/>
    <w:rsid w:val="00CA550F"/>
    <w:rsid w:val="00CB0D2A"/>
    <w:rsid w:val="00CB10CB"/>
    <w:rsid w:val="00CB420D"/>
    <w:rsid w:val="00CB5334"/>
    <w:rsid w:val="00CB671B"/>
    <w:rsid w:val="00CB7D19"/>
    <w:rsid w:val="00CB7FF1"/>
    <w:rsid w:val="00CC15FB"/>
    <w:rsid w:val="00CC1E01"/>
    <w:rsid w:val="00CC3554"/>
    <w:rsid w:val="00CC49EC"/>
    <w:rsid w:val="00CC725E"/>
    <w:rsid w:val="00CD2354"/>
    <w:rsid w:val="00CD24F7"/>
    <w:rsid w:val="00CD3D7F"/>
    <w:rsid w:val="00CE5D93"/>
    <w:rsid w:val="00CE6326"/>
    <w:rsid w:val="00CE6C62"/>
    <w:rsid w:val="00CF0EAF"/>
    <w:rsid w:val="00CF739C"/>
    <w:rsid w:val="00D02D13"/>
    <w:rsid w:val="00D04B07"/>
    <w:rsid w:val="00D06BF9"/>
    <w:rsid w:val="00D107E7"/>
    <w:rsid w:val="00D10A14"/>
    <w:rsid w:val="00D11ABF"/>
    <w:rsid w:val="00D13E15"/>
    <w:rsid w:val="00D2086F"/>
    <w:rsid w:val="00D221E5"/>
    <w:rsid w:val="00D232E8"/>
    <w:rsid w:val="00D2408C"/>
    <w:rsid w:val="00D273D3"/>
    <w:rsid w:val="00D34200"/>
    <w:rsid w:val="00D34B4A"/>
    <w:rsid w:val="00D34C56"/>
    <w:rsid w:val="00D36EFC"/>
    <w:rsid w:val="00D3737A"/>
    <w:rsid w:val="00D37E9A"/>
    <w:rsid w:val="00D416CA"/>
    <w:rsid w:val="00D42E73"/>
    <w:rsid w:val="00D43C3E"/>
    <w:rsid w:val="00D461A9"/>
    <w:rsid w:val="00D50042"/>
    <w:rsid w:val="00D52921"/>
    <w:rsid w:val="00D62069"/>
    <w:rsid w:val="00D67174"/>
    <w:rsid w:val="00D7259F"/>
    <w:rsid w:val="00D734D4"/>
    <w:rsid w:val="00D740D5"/>
    <w:rsid w:val="00D74A37"/>
    <w:rsid w:val="00D761E4"/>
    <w:rsid w:val="00D87B03"/>
    <w:rsid w:val="00D9128E"/>
    <w:rsid w:val="00D925C2"/>
    <w:rsid w:val="00D92991"/>
    <w:rsid w:val="00D9497C"/>
    <w:rsid w:val="00DA7EE4"/>
    <w:rsid w:val="00DB0928"/>
    <w:rsid w:val="00DB21FB"/>
    <w:rsid w:val="00DB4801"/>
    <w:rsid w:val="00DB7EFE"/>
    <w:rsid w:val="00DC20B9"/>
    <w:rsid w:val="00DC56DB"/>
    <w:rsid w:val="00DC79A8"/>
    <w:rsid w:val="00DD33E5"/>
    <w:rsid w:val="00DD370F"/>
    <w:rsid w:val="00DD41D0"/>
    <w:rsid w:val="00DD6570"/>
    <w:rsid w:val="00DE2198"/>
    <w:rsid w:val="00DF162A"/>
    <w:rsid w:val="00DF1951"/>
    <w:rsid w:val="00DF1B81"/>
    <w:rsid w:val="00DF263C"/>
    <w:rsid w:val="00E11872"/>
    <w:rsid w:val="00E12BD0"/>
    <w:rsid w:val="00E14996"/>
    <w:rsid w:val="00E14E9C"/>
    <w:rsid w:val="00E1777D"/>
    <w:rsid w:val="00E179AA"/>
    <w:rsid w:val="00E21974"/>
    <w:rsid w:val="00E24314"/>
    <w:rsid w:val="00E310DC"/>
    <w:rsid w:val="00E32589"/>
    <w:rsid w:val="00E33476"/>
    <w:rsid w:val="00E36303"/>
    <w:rsid w:val="00E41042"/>
    <w:rsid w:val="00E419D7"/>
    <w:rsid w:val="00E41A64"/>
    <w:rsid w:val="00E43392"/>
    <w:rsid w:val="00E4362A"/>
    <w:rsid w:val="00E4511B"/>
    <w:rsid w:val="00E47799"/>
    <w:rsid w:val="00E52525"/>
    <w:rsid w:val="00E55209"/>
    <w:rsid w:val="00E55FE0"/>
    <w:rsid w:val="00E56CEB"/>
    <w:rsid w:val="00E57C01"/>
    <w:rsid w:val="00E60031"/>
    <w:rsid w:val="00E6049F"/>
    <w:rsid w:val="00E60B1D"/>
    <w:rsid w:val="00E66459"/>
    <w:rsid w:val="00E668C2"/>
    <w:rsid w:val="00E70480"/>
    <w:rsid w:val="00E755AB"/>
    <w:rsid w:val="00E75CAF"/>
    <w:rsid w:val="00E80E69"/>
    <w:rsid w:val="00E811FB"/>
    <w:rsid w:val="00E82638"/>
    <w:rsid w:val="00E849EF"/>
    <w:rsid w:val="00E87FD3"/>
    <w:rsid w:val="00E90843"/>
    <w:rsid w:val="00E94C57"/>
    <w:rsid w:val="00E9647E"/>
    <w:rsid w:val="00E97AAB"/>
    <w:rsid w:val="00EA07E8"/>
    <w:rsid w:val="00EA1B94"/>
    <w:rsid w:val="00EA1FC5"/>
    <w:rsid w:val="00EB034E"/>
    <w:rsid w:val="00EB3B9B"/>
    <w:rsid w:val="00EB7CA0"/>
    <w:rsid w:val="00EC16EE"/>
    <w:rsid w:val="00EC68BF"/>
    <w:rsid w:val="00EC75A1"/>
    <w:rsid w:val="00ED1D6F"/>
    <w:rsid w:val="00EE1D99"/>
    <w:rsid w:val="00EE1EC3"/>
    <w:rsid w:val="00EE20F7"/>
    <w:rsid w:val="00EE25FA"/>
    <w:rsid w:val="00EE45F2"/>
    <w:rsid w:val="00EE68A9"/>
    <w:rsid w:val="00EF3D70"/>
    <w:rsid w:val="00EF7712"/>
    <w:rsid w:val="00F0278F"/>
    <w:rsid w:val="00F02A42"/>
    <w:rsid w:val="00F067BC"/>
    <w:rsid w:val="00F126EF"/>
    <w:rsid w:val="00F12A0D"/>
    <w:rsid w:val="00F1364A"/>
    <w:rsid w:val="00F16D4F"/>
    <w:rsid w:val="00F17128"/>
    <w:rsid w:val="00F233FE"/>
    <w:rsid w:val="00F254B1"/>
    <w:rsid w:val="00F313B2"/>
    <w:rsid w:val="00F33313"/>
    <w:rsid w:val="00F40DE4"/>
    <w:rsid w:val="00F43E87"/>
    <w:rsid w:val="00F46A0E"/>
    <w:rsid w:val="00F47596"/>
    <w:rsid w:val="00F551A4"/>
    <w:rsid w:val="00F558F6"/>
    <w:rsid w:val="00F562D5"/>
    <w:rsid w:val="00F56EB9"/>
    <w:rsid w:val="00F57209"/>
    <w:rsid w:val="00F57FA2"/>
    <w:rsid w:val="00F6240D"/>
    <w:rsid w:val="00F62A14"/>
    <w:rsid w:val="00F62EE1"/>
    <w:rsid w:val="00F6578E"/>
    <w:rsid w:val="00F66807"/>
    <w:rsid w:val="00F70358"/>
    <w:rsid w:val="00F726EC"/>
    <w:rsid w:val="00F7337D"/>
    <w:rsid w:val="00F73B6B"/>
    <w:rsid w:val="00F74FD3"/>
    <w:rsid w:val="00F81C5A"/>
    <w:rsid w:val="00F82854"/>
    <w:rsid w:val="00F82D51"/>
    <w:rsid w:val="00F84087"/>
    <w:rsid w:val="00F93D60"/>
    <w:rsid w:val="00F9423D"/>
    <w:rsid w:val="00F973D4"/>
    <w:rsid w:val="00F97DB3"/>
    <w:rsid w:val="00F97F87"/>
    <w:rsid w:val="00FA0013"/>
    <w:rsid w:val="00FA124C"/>
    <w:rsid w:val="00FA19FA"/>
    <w:rsid w:val="00FA2F7C"/>
    <w:rsid w:val="00FA4B77"/>
    <w:rsid w:val="00FA6B31"/>
    <w:rsid w:val="00FB031D"/>
    <w:rsid w:val="00FB059E"/>
    <w:rsid w:val="00FB294C"/>
    <w:rsid w:val="00FB3582"/>
    <w:rsid w:val="00FB37B5"/>
    <w:rsid w:val="00FB4A79"/>
    <w:rsid w:val="00FC00BB"/>
    <w:rsid w:val="00FC109E"/>
    <w:rsid w:val="00FC1335"/>
    <w:rsid w:val="00FC3771"/>
    <w:rsid w:val="00FC3EB0"/>
    <w:rsid w:val="00FC5E7D"/>
    <w:rsid w:val="00FD0371"/>
    <w:rsid w:val="00FD0F53"/>
    <w:rsid w:val="00FD2431"/>
    <w:rsid w:val="00FE1947"/>
    <w:rsid w:val="00FE4D3C"/>
    <w:rsid w:val="00FF186E"/>
    <w:rsid w:val="00FF1DA8"/>
    <w:rsid w:val="00F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FF"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napToGrid w:val="0"/>
      <w:color w:val="000000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napToGrid w:val="0"/>
      <w:color w:val="000000"/>
      <w:sz w:val="22"/>
      <w:lang w:val="en-AU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color w:val="0000FF"/>
      <w:sz w:val="22"/>
      <w:lang w:val="en-AU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b/>
      <w:snapToGrid w:val="0"/>
      <w:color w:val="0000FF"/>
      <w:lang w:val="en-AU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FF"/>
      <w:sz w:val="20"/>
      <w:lang w:val="en-AU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napToGrid w:val="0"/>
      <w:sz w:val="20"/>
      <w:lang w:val="en-AU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snapToGrid w:val="0"/>
      <w:color w:val="0000FF"/>
      <w:sz w:val="20"/>
      <w:lang w:val="en-AU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napToGrid w:val="0"/>
      <w:color w:val="0000FF"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Subtitle">
    <w:name w:val="Subtitle"/>
    <w:basedOn w:val="Normal"/>
    <w:qFormat/>
    <w:pPr>
      <w:jc w:val="both"/>
    </w:pPr>
    <w:rPr>
      <w:b/>
    </w:rPr>
  </w:style>
  <w:style w:type="paragraph" w:styleId="BodyText">
    <w:name w:val="Body Text"/>
    <w:basedOn w:val="Normal"/>
    <w:pPr>
      <w:jc w:val="both"/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D3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FF"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napToGrid w:val="0"/>
      <w:color w:val="000000"/>
      <w:lang w:val="en-AU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napToGrid w:val="0"/>
      <w:color w:val="000000"/>
      <w:sz w:val="22"/>
      <w:lang w:val="en-AU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color w:val="0000FF"/>
      <w:sz w:val="22"/>
      <w:lang w:val="en-AU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b/>
      <w:snapToGrid w:val="0"/>
      <w:color w:val="0000FF"/>
      <w:lang w:val="en-AU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snapToGrid w:val="0"/>
      <w:color w:val="0000FF"/>
      <w:sz w:val="20"/>
      <w:lang w:val="en-AU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rFonts w:ascii="Arial" w:hAnsi="Arial"/>
      <w:b/>
      <w:snapToGrid w:val="0"/>
      <w:sz w:val="20"/>
      <w:lang w:val="en-AU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snapToGrid w:val="0"/>
      <w:color w:val="0000FF"/>
      <w:sz w:val="20"/>
      <w:lang w:val="en-AU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napToGrid w:val="0"/>
      <w:color w:val="0000FF"/>
      <w:sz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rPr>
      <w:rFonts w:ascii="Arial" w:hAnsi="Arial" w:cs="Arial"/>
      <w:color w:val="auto"/>
      <w:sz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Subtitle">
    <w:name w:val="Subtitle"/>
    <w:basedOn w:val="Normal"/>
    <w:qFormat/>
    <w:pPr>
      <w:jc w:val="both"/>
    </w:pPr>
    <w:rPr>
      <w:b/>
    </w:rPr>
  </w:style>
  <w:style w:type="paragraph" w:styleId="BodyText">
    <w:name w:val="Body Text"/>
    <w:basedOn w:val="Normal"/>
    <w:pPr>
      <w:jc w:val="both"/>
    </w:p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2D3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hart" Target="charts/chart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nsalu\Desktop\&#304;&#351;ler\B&#304;ST%20Bankalar\Mart%202014\&#304;MKB%20Aral&#305;k%20201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401879565091601"/>
          <c:y val="0.10280405107346145"/>
          <c:w val="0.8168231754008245"/>
          <c:h val="0.6884756147646964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müsvedde!$G$38</c:f>
              <c:strCache>
                <c:ptCount val="1"/>
                <c:pt idx="0">
                  <c:v>Net Kar</c:v>
                </c:pt>
              </c:strCache>
            </c:strRef>
          </c:tx>
          <c:spPr>
            <a:solidFill>
              <a:srgbClr val="0000FF"/>
            </a:solidFill>
            <a:ln w="12700">
              <a:solidFill>
                <a:srgbClr val="0000FF"/>
              </a:solidFill>
              <a:prstDash val="solid"/>
            </a:ln>
          </c:spPr>
          <c:invertIfNegative val="0"/>
          <c:cat>
            <c:strRef>
              <c:f>müsvedde!$F$61:$F$76</c:f>
              <c:strCache>
                <c:ptCount val="16"/>
                <c:pt idx="0">
                  <c:v>10/6</c:v>
                </c:pt>
                <c:pt idx="1">
                  <c:v>10/9</c:v>
                </c:pt>
                <c:pt idx="2">
                  <c:v>10/12</c:v>
                </c:pt>
                <c:pt idx="3">
                  <c:v>11/3</c:v>
                </c:pt>
                <c:pt idx="4">
                  <c:v>11/6</c:v>
                </c:pt>
                <c:pt idx="5">
                  <c:v>11/9</c:v>
                </c:pt>
                <c:pt idx="6">
                  <c:v>11/12</c:v>
                </c:pt>
                <c:pt idx="7">
                  <c:v>12/3</c:v>
                </c:pt>
                <c:pt idx="8">
                  <c:v>12/06</c:v>
                </c:pt>
                <c:pt idx="9">
                  <c:v>12/09</c:v>
                </c:pt>
                <c:pt idx="10">
                  <c:v>12/12</c:v>
                </c:pt>
                <c:pt idx="11">
                  <c:v>13/3</c:v>
                </c:pt>
                <c:pt idx="12">
                  <c:v>13/6</c:v>
                </c:pt>
                <c:pt idx="13">
                  <c:v>13/9</c:v>
                </c:pt>
                <c:pt idx="14">
                  <c:v>13/12</c:v>
                </c:pt>
                <c:pt idx="15">
                  <c:v>14/3</c:v>
                </c:pt>
              </c:strCache>
            </c:strRef>
          </c:cat>
          <c:val>
            <c:numRef>
              <c:f>müsvedde!$G$61:$G$76</c:f>
              <c:numCache>
                <c:formatCode>#,##0</c:formatCode>
                <c:ptCount val="16"/>
                <c:pt idx="0">
                  <c:v>15498</c:v>
                </c:pt>
                <c:pt idx="1">
                  <c:v>15569</c:v>
                </c:pt>
                <c:pt idx="2">
                  <c:v>16119</c:v>
                </c:pt>
                <c:pt idx="3">
                  <c:v>15623.207</c:v>
                </c:pt>
                <c:pt idx="4">
                  <c:v>15258</c:v>
                </c:pt>
                <c:pt idx="5">
                  <c:v>15159</c:v>
                </c:pt>
                <c:pt idx="6">
                  <c:v>15359</c:v>
                </c:pt>
                <c:pt idx="7">
                  <c:v>15509.793</c:v>
                </c:pt>
                <c:pt idx="8">
                  <c:v>15701</c:v>
                </c:pt>
                <c:pt idx="9">
                  <c:v>16646</c:v>
                </c:pt>
                <c:pt idx="10">
                  <c:v>17835</c:v>
                </c:pt>
                <c:pt idx="11">
                  <c:v>18855</c:v>
                </c:pt>
                <c:pt idx="12" formatCode="General">
                  <c:v>19744</c:v>
                </c:pt>
                <c:pt idx="13">
                  <c:v>20238</c:v>
                </c:pt>
                <c:pt idx="14" formatCode="General">
                  <c:v>18704</c:v>
                </c:pt>
                <c:pt idx="15">
                  <c:v>17367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2535808"/>
        <c:axId val="112541696"/>
      </c:barChart>
      <c:lineChart>
        <c:grouping val="standard"/>
        <c:varyColors val="0"/>
        <c:ser>
          <c:idx val="0"/>
          <c:order val="1"/>
          <c:tx>
            <c:strRef>
              <c:f>müsvedde!$H$38</c:f>
              <c:strCache>
                <c:ptCount val="1"/>
                <c:pt idx="0">
                  <c:v>Özkaynak Karlılığı</c:v>
                </c:pt>
              </c:strCache>
            </c:strRef>
          </c:tx>
          <c:spPr>
            <a:ln w="38100">
              <a:solidFill>
                <a:srgbClr val="FF0000"/>
              </a:solidFill>
              <a:prstDash val="solid"/>
            </a:ln>
          </c:spPr>
          <c:marker>
            <c:symbol val="none"/>
          </c:marker>
          <c:cat>
            <c:strRef>
              <c:f>müsvedde!$F$61:$F$76</c:f>
              <c:strCache>
                <c:ptCount val="16"/>
                <c:pt idx="0">
                  <c:v>10/6</c:v>
                </c:pt>
                <c:pt idx="1">
                  <c:v>10/9</c:v>
                </c:pt>
                <c:pt idx="2">
                  <c:v>10/12</c:v>
                </c:pt>
                <c:pt idx="3">
                  <c:v>11/3</c:v>
                </c:pt>
                <c:pt idx="4">
                  <c:v>11/6</c:v>
                </c:pt>
                <c:pt idx="5">
                  <c:v>11/9</c:v>
                </c:pt>
                <c:pt idx="6">
                  <c:v>11/12</c:v>
                </c:pt>
                <c:pt idx="7">
                  <c:v>12/3</c:v>
                </c:pt>
                <c:pt idx="8">
                  <c:v>12/06</c:v>
                </c:pt>
                <c:pt idx="9">
                  <c:v>12/09</c:v>
                </c:pt>
                <c:pt idx="10">
                  <c:v>12/12</c:v>
                </c:pt>
                <c:pt idx="11">
                  <c:v>13/3</c:v>
                </c:pt>
                <c:pt idx="12">
                  <c:v>13/6</c:v>
                </c:pt>
                <c:pt idx="13">
                  <c:v>13/9</c:v>
                </c:pt>
                <c:pt idx="14">
                  <c:v>13/12</c:v>
                </c:pt>
                <c:pt idx="15">
                  <c:v>14/3</c:v>
                </c:pt>
              </c:strCache>
            </c:strRef>
          </c:cat>
          <c:val>
            <c:numRef>
              <c:f>müsvedde!$H$61:$H$76</c:f>
              <c:numCache>
                <c:formatCode>#,##0.0</c:formatCode>
                <c:ptCount val="16"/>
                <c:pt idx="0">
                  <c:v>19.188054823013783</c:v>
                </c:pt>
                <c:pt idx="1">
                  <c:v>17.99801165264034</c:v>
                </c:pt>
                <c:pt idx="2">
                  <c:v>17.554972144455455</c:v>
                </c:pt>
                <c:pt idx="3">
                  <c:v>16.890528521884494</c:v>
                </c:pt>
                <c:pt idx="4">
                  <c:v>15.963617599314015</c:v>
                </c:pt>
                <c:pt idx="5">
                  <c:v>15.634319587068319</c:v>
                </c:pt>
                <c:pt idx="6">
                  <c:v>15.512104471130053</c:v>
                </c:pt>
                <c:pt idx="7">
                  <c:v>14.719921986219465</c:v>
                </c:pt>
                <c:pt idx="8">
                  <c:v>14.278049578960768</c:v>
                </c:pt>
                <c:pt idx="9">
                  <c:v>14.283385246393973</c:v>
                </c:pt>
                <c:pt idx="10">
                  <c:v>14.024423807314559</c:v>
                </c:pt>
                <c:pt idx="11">
                  <c:v>14.485681666178369</c:v>
                </c:pt>
                <c:pt idx="12">
                  <c:v>15.558952859777145</c:v>
                </c:pt>
                <c:pt idx="13">
                  <c:v>15.618150949220558</c:v>
                </c:pt>
                <c:pt idx="14" formatCode="General">
                  <c:v>14.1</c:v>
                </c:pt>
                <c:pt idx="15" formatCode="General">
                  <c:v>12.9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543616"/>
        <c:axId val="112545152"/>
      </c:lineChart>
      <c:catAx>
        <c:axId val="112535808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112541696"/>
        <c:crosses val="autoZero"/>
        <c:auto val="0"/>
        <c:lblAlgn val="ctr"/>
        <c:lblOffset val="100"/>
        <c:tickLblSkip val="2"/>
        <c:tickMarkSkip val="1"/>
        <c:noMultiLvlLbl val="0"/>
      </c:catAx>
      <c:valAx>
        <c:axId val="112541696"/>
        <c:scaling>
          <c:orientation val="minMax"/>
          <c:min val="1000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tr-TR"/>
                  <a:t>Milyon TL</a:t>
                </a:r>
              </a:p>
            </c:rich>
          </c:tx>
          <c:layout>
            <c:manualLayout>
              <c:xMode val="edge"/>
              <c:yMode val="edge"/>
              <c:x val="4.1121495327102804E-2"/>
              <c:y val="1.5576323987538941E-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1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112535808"/>
        <c:crosses val="autoZero"/>
        <c:crossBetween val="between"/>
      </c:valAx>
      <c:catAx>
        <c:axId val="112543616"/>
        <c:scaling>
          <c:orientation val="minMax"/>
        </c:scaling>
        <c:delete val="1"/>
        <c:axPos val="b"/>
        <c:majorTickMark val="out"/>
        <c:minorTickMark val="none"/>
        <c:tickLblPos val="nextTo"/>
        <c:crossAx val="112545152"/>
        <c:crosses val="autoZero"/>
        <c:auto val="0"/>
        <c:lblAlgn val="ctr"/>
        <c:lblOffset val="100"/>
        <c:noMultiLvlLbl val="0"/>
      </c:catAx>
      <c:valAx>
        <c:axId val="112545152"/>
        <c:scaling>
          <c:orientation val="minMax"/>
          <c:min val="10"/>
        </c:scaling>
        <c:delete val="0"/>
        <c:axPos val="r"/>
        <c:title>
          <c:tx>
            <c:rich>
              <a:bodyPr rot="0" vert="horz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tr-TR"/>
                  <a:t>yüzde</a:t>
                </a:r>
              </a:p>
            </c:rich>
          </c:tx>
          <c:layout>
            <c:manualLayout>
              <c:xMode val="edge"/>
              <c:yMode val="edge"/>
              <c:x val="0.91215031765889076"/>
              <c:y val="1.5576323987538941E-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0"/>
        <c:majorTickMark val="cross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r-TR"/>
          </a:p>
        </c:txPr>
        <c:crossAx val="112543616"/>
        <c:crosses val="max"/>
        <c:crossBetween val="between"/>
        <c:majorUnit val="2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3177589717173203"/>
          <c:y val="0.9003141429751188"/>
          <c:w val="0.5962622709544485"/>
          <c:h val="6.2305623012076761E-2"/>
        </c:manualLayout>
      </c:layout>
      <c:overlay val="0"/>
      <c:spPr>
        <a:solidFill>
          <a:srgbClr val="FFFFFF"/>
        </a:solidFill>
        <a:ln w="3175">
          <a:noFill/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tr-TR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r-T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6522D4C7FE56341A02F819AE42E43B0" ma:contentTypeVersion="0" ma:contentTypeDescription="Yeni belge oluşturun." ma:contentTypeScope="" ma:versionID="63ddf5b260d5536c86bc350d09631d7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239e51cfaf53027dbdf1b18e67d6b3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 ma:readOnly="true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80A7A-C042-470D-B646-5CE1B81C89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5892A2-4DF7-4398-AE5B-1F1573C50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F7EE0E-CC99-448B-8216-FD6874971DF9}">
  <ds:schemaRefs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CD046281-FBC5-47A4-A896-2994762B0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İMKB’de İşlem Gören Ticaret Bankaları</vt:lpstr>
    </vt:vector>
  </TitlesOfParts>
  <Company>A</Company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İMKB’de İşlem Gören Ticaret Bankaları</dc:title>
  <dc:creator>gKilinc</dc:creator>
  <cp:lastModifiedBy>Aslı Özaktan</cp:lastModifiedBy>
  <cp:revision>2</cp:revision>
  <cp:lastPrinted>2014-05-27T11:16:00Z</cp:lastPrinted>
  <dcterms:created xsi:type="dcterms:W3CDTF">2014-05-27T11:24:00Z</dcterms:created>
  <dcterms:modified xsi:type="dcterms:W3CDTF">2014-05-27T11:24:00Z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0x01010016522D4C7FE56341A02F819AE42E43B0</vt:lpwstr>
  </property>
</Properties>
</file>