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53F31" w14:textId="77777777" w:rsidR="007176B4" w:rsidRPr="00B22B67" w:rsidRDefault="007176B4" w:rsidP="00D416CA">
      <w:pPr>
        <w:pStyle w:val="Title"/>
        <w:jc w:val="left"/>
        <w:rPr>
          <w:rFonts w:ascii="Arial" w:hAnsi="Arial" w:cs="Arial"/>
          <w:sz w:val="26"/>
          <w:szCs w:val="26"/>
        </w:rPr>
      </w:pPr>
    </w:p>
    <w:p w14:paraId="6FF615FC" w14:textId="77777777"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14:paraId="4EB666EC" w14:textId="77777777"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14:paraId="006257D8" w14:textId="77777777" w:rsidR="00154624" w:rsidRPr="00777A17" w:rsidRDefault="00154624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bookmarkStart w:id="0" w:name="_GoBack"/>
      <w:bookmarkEnd w:id="0"/>
      <w:r w:rsidRPr="00777A17">
        <w:rPr>
          <w:rFonts w:ascii="Arial" w:hAnsi="Arial" w:cs="Arial"/>
          <w:color w:val="000000" w:themeColor="text1"/>
          <w:sz w:val="26"/>
          <w:szCs w:val="26"/>
        </w:rPr>
        <w:t>Borsa İstanbul’da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 xml:space="preserve"> (</w:t>
      </w:r>
      <w:r w:rsidRPr="00777A17">
        <w:rPr>
          <w:rFonts w:ascii="Arial" w:hAnsi="Arial" w:cs="Arial"/>
          <w:color w:val="000000" w:themeColor="text1"/>
          <w:sz w:val="26"/>
          <w:szCs w:val="26"/>
        </w:rPr>
        <w:t>BIST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>)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 xml:space="preserve"> İşlem Gören Mevduat Bankaları, </w:t>
      </w:r>
    </w:p>
    <w:p w14:paraId="469747AC" w14:textId="052036B2" w:rsidR="00544DFA" w:rsidRPr="00777A17" w:rsidRDefault="0056216D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Eylül</w:t>
      </w:r>
      <w:r w:rsidR="00367936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>20</w:t>
      </w:r>
      <w:r w:rsidR="00290CE8" w:rsidRPr="00777A17">
        <w:rPr>
          <w:rFonts w:ascii="Arial" w:hAnsi="Arial" w:cs="Arial"/>
          <w:color w:val="000000" w:themeColor="text1"/>
          <w:sz w:val="26"/>
          <w:szCs w:val="26"/>
        </w:rPr>
        <w:t>1</w:t>
      </w:r>
      <w:r w:rsidR="00367936">
        <w:rPr>
          <w:rFonts w:ascii="Arial" w:hAnsi="Arial" w:cs="Arial"/>
          <w:color w:val="000000" w:themeColor="text1"/>
          <w:sz w:val="26"/>
          <w:szCs w:val="26"/>
        </w:rPr>
        <w:t>4</w:t>
      </w:r>
      <w:r w:rsidR="00932962" w:rsidRPr="00777A17">
        <w:rPr>
          <w:rStyle w:val="FootnoteReference"/>
          <w:rFonts w:ascii="Arial" w:hAnsi="Arial" w:cs="Arial"/>
          <w:color w:val="000000" w:themeColor="text1"/>
          <w:sz w:val="26"/>
          <w:szCs w:val="26"/>
        </w:rPr>
        <w:footnoteReference w:id="1"/>
      </w:r>
    </w:p>
    <w:p w14:paraId="34A56674" w14:textId="77777777" w:rsidR="004440D6" w:rsidRPr="00777A17" w:rsidRDefault="004440D6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  <w:bookmarkStart w:id="1" w:name="OLE_LINK3"/>
      <w:bookmarkStart w:id="2" w:name="OLE_LINK4"/>
    </w:p>
    <w:p w14:paraId="4858493B" w14:textId="7F5EE6C9" w:rsidR="00544DFA" w:rsidRPr="00517505" w:rsidRDefault="00D34B4A" w:rsidP="00544DFA">
      <w:pPr>
        <w:pStyle w:val="Subtitle"/>
        <w:rPr>
          <w:rFonts w:ascii="Arial" w:hAnsi="Arial" w:cs="Arial"/>
          <w:szCs w:val="24"/>
        </w:rPr>
      </w:pPr>
      <w:r w:rsidRPr="00517505">
        <w:rPr>
          <w:rFonts w:ascii="Arial" w:hAnsi="Arial" w:cs="Arial"/>
          <w:szCs w:val="24"/>
        </w:rPr>
        <w:t>1</w:t>
      </w:r>
      <w:r w:rsidR="00A97252" w:rsidRPr="00517505">
        <w:rPr>
          <w:rFonts w:ascii="Arial" w:hAnsi="Arial" w:cs="Arial"/>
          <w:szCs w:val="24"/>
        </w:rPr>
        <w:t xml:space="preserve">. </w:t>
      </w:r>
      <w:r w:rsidR="00154624" w:rsidRPr="00517505">
        <w:rPr>
          <w:rFonts w:ascii="Arial" w:hAnsi="Arial" w:cs="Arial"/>
          <w:szCs w:val="24"/>
        </w:rPr>
        <w:t>BIST</w:t>
      </w:r>
      <w:r w:rsidR="00544DFA" w:rsidRPr="00517505">
        <w:rPr>
          <w:rFonts w:ascii="Arial" w:hAnsi="Arial" w:cs="Arial"/>
          <w:szCs w:val="24"/>
        </w:rPr>
        <w:t>’de İ</w:t>
      </w:r>
      <w:r w:rsidR="002C5A1A" w:rsidRPr="00517505">
        <w:rPr>
          <w:rFonts w:ascii="Arial" w:hAnsi="Arial" w:cs="Arial"/>
          <w:szCs w:val="24"/>
        </w:rPr>
        <w:t>şlem Gören Mevduat Bankalarının</w:t>
      </w:r>
      <w:r w:rsidR="00544DFA" w:rsidRPr="00517505">
        <w:rPr>
          <w:rFonts w:ascii="Arial" w:hAnsi="Arial" w:cs="Arial"/>
          <w:szCs w:val="24"/>
        </w:rPr>
        <w:t xml:space="preserve"> Bankacılık Sektörü İçindeki Yeri</w:t>
      </w:r>
    </w:p>
    <w:p w14:paraId="7DFE3525" w14:textId="77777777" w:rsidR="00544DFA" w:rsidRPr="00517505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14:paraId="1C49CF0B" w14:textId="46E2A65A" w:rsidR="00544DFA" w:rsidRPr="00367936" w:rsidRDefault="000961CC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Eylül</w:t>
      </w:r>
      <w:r w:rsidR="00517505" w:rsidRPr="00517505">
        <w:rPr>
          <w:rFonts w:ascii="Arial" w:hAnsi="Arial" w:cs="Arial"/>
          <w:b w:val="0"/>
          <w:sz w:val="22"/>
          <w:szCs w:val="22"/>
        </w:rPr>
        <w:t xml:space="preserve"> 2014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itibariyle, </w:t>
      </w:r>
      <w:r w:rsidR="0070101B" w:rsidRPr="00517505">
        <w:rPr>
          <w:rFonts w:ascii="Arial" w:hAnsi="Arial" w:cs="Arial"/>
          <w:b w:val="0"/>
          <w:sz w:val="22"/>
          <w:szCs w:val="22"/>
        </w:rPr>
        <w:t>BIST</w:t>
      </w:r>
      <w:r w:rsidR="00544DFA" w:rsidRPr="00517505">
        <w:rPr>
          <w:rFonts w:ascii="Arial" w:hAnsi="Arial" w:cs="Arial"/>
          <w:b w:val="0"/>
          <w:sz w:val="22"/>
          <w:szCs w:val="22"/>
        </w:rPr>
        <w:t>’de işlem gören mevduat banka</w:t>
      </w:r>
      <w:r w:rsidR="009F29D7" w:rsidRPr="00517505">
        <w:rPr>
          <w:rFonts w:ascii="Arial" w:hAnsi="Arial" w:cs="Arial"/>
          <w:b w:val="0"/>
          <w:sz w:val="22"/>
          <w:szCs w:val="22"/>
        </w:rPr>
        <w:t>sı sayısı 12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517505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517505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517505">
        <w:rPr>
          <w:rFonts w:ascii="Arial" w:hAnsi="Arial" w:cs="Arial"/>
          <w:b w:val="0"/>
          <w:sz w:val="22"/>
          <w:szCs w:val="22"/>
        </w:rPr>
        <w:t>8</w:t>
      </w:r>
      <w:r w:rsidR="00D50042" w:rsidRPr="00517505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44</w:t>
      </w:r>
      <w:r w:rsidR="00517505" w:rsidRPr="00517505">
        <w:rPr>
          <w:rFonts w:ascii="Arial" w:hAnsi="Arial" w:cs="Arial"/>
          <w:b w:val="0"/>
          <w:sz w:val="22"/>
          <w:szCs w:val="22"/>
        </w:rPr>
        <w:t>6</w:t>
      </w:r>
      <w:r w:rsidR="00AD1B45" w:rsidRPr="00517505">
        <w:rPr>
          <w:rFonts w:ascii="Arial" w:hAnsi="Arial" w:cs="Arial"/>
          <w:b w:val="0"/>
          <w:sz w:val="22"/>
          <w:szCs w:val="22"/>
        </w:rPr>
        <w:t xml:space="preserve"> şube </w:t>
      </w:r>
      <w:r w:rsidR="002F24CF" w:rsidRPr="00517505">
        <w:rPr>
          <w:rFonts w:ascii="Arial" w:hAnsi="Arial" w:cs="Arial"/>
          <w:b w:val="0"/>
          <w:sz w:val="22"/>
          <w:szCs w:val="22"/>
        </w:rPr>
        <w:t xml:space="preserve">ve </w:t>
      </w:r>
      <w:r>
        <w:rPr>
          <w:rFonts w:ascii="Arial" w:hAnsi="Arial" w:cs="Arial"/>
          <w:b w:val="0"/>
          <w:sz w:val="22"/>
          <w:szCs w:val="22"/>
        </w:rPr>
        <w:t>150,725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517505">
        <w:rPr>
          <w:rFonts w:ascii="Arial" w:hAnsi="Arial" w:cs="Arial"/>
          <w:b w:val="0"/>
          <w:sz w:val="22"/>
          <w:szCs w:val="22"/>
        </w:rPr>
        <w:t xml:space="preserve">şubelerin </w:t>
      </w:r>
      <w:r w:rsidR="0070101B" w:rsidRPr="00517505">
        <w:rPr>
          <w:rFonts w:ascii="Arial" w:hAnsi="Arial" w:cs="Arial"/>
          <w:b w:val="0"/>
          <w:sz w:val="22"/>
          <w:szCs w:val="22"/>
        </w:rPr>
        <w:t xml:space="preserve">yüzde </w:t>
      </w:r>
      <w:r w:rsidR="002F24CF" w:rsidRPr="00517505">
        <w:rPr>
          <w:rFonts w:ascii="Arial" w:hAnsi="Arial" w:cs="Arial"/>
          <w:b w:val="0"/>
          <w:sz w:val="22"/>
          <w:szCs w:val="22"/>
        </w:rPr>
        <w:t>75</w:t>
      </w:r>
      <w:r w:rsidR="0048538F" w:rsidRPr="00517505">
        <w:rPr>
          <w:rFonts w:ascii="Arial" w:hAnsi="Arial" w:cs="Arial"/>
          <w:b w:val="0"/>
          <w:sz w:val="22"/>
          <w:szCs w:val="22"/>
        </w:rPr>
        <w:t>’</w:t>
      </w:r>
      <w:r w:rsidR="002F24CF" w:rsidRPr="00517505">
        <w:rPr>
          <w:rFonts w:ascii="Arial" w:hAnsi="Arial" w:cs="Arial"/>
          <w:b w:val="0"/>
          <w:sz w:val="22"/>
          <w:szCs w:val="22"/>
        </w:rPr>
        <w:t>ine</w:t>
      </w:r>
      <w:r w:rsidR="00BF033E" w:rsidRPr="00517505">
        <w:rPr>
          <w:rFonts w:ascii="Arial" w:hAnsi="Arial" w:cs="Arial"/>
          <w:b w:val="0"/>
          <w:sz w:val="22"/>
          <w:szCs w:val="22"/>
        </w:rPr>
        <w:t xml:space="preserve"> </w:t>
      </w:r>
      <w:r w:rsidR="0072685A" w:rsidRPr="00517505">
        <w:rPr>
          <w:rFonts w:ascii="Arial" w:hAnsi="Arial" w:cs="Arial"/>
          <w:b w:val="0"/>
          <w:sz w:val="22"/>
          <w:szCs w:val="22"/>
        </w:rPr>
        <w:t>sahipti</w:t>
      </w:r>
      <w:r w:rsidR="00005663" w:rsidRPr="00517505">
        <w:rPr>
          <w:rFonts w:ascii="Arial" w:hAnsi="Arial" w:cs="Arial"/>
          <w:b w:val="0"/>
          <w:sz w:val="22"/>
          <w:szCs w:val="22"/>
        </w:rPr>
        <w:t>r</w:t>
      </w:r>
      <w:r w:rsidR="0072685A" w:rsidRPr="00517505">
        <w:rPr>
          <w:rFonts w:ascii="Arial" w:hAnsi="Arial" w:cs="Arial"/>
          <w:b w:val="0"/>
          <w:sz w:val="22"/>
          <w:szCs w:val="22"/>
        </w:rPr>
        <w:t xml:space="preserve">ler ve </w:t>
      </w:r>
      <w:r w:rsidR="006D04A6" w:rsidRPr="00517505">
        <w:rPr>
          <w:rFonts w:ascii="Arial" w:hAnsi="Arial" w:cs="Arial"/>
          <w:b w:val="0"/>
          <w:sz w:val="22"/>
          <w:szCs w:val="22"/>
        </w:rPr>
        <w:t xml:space="preserve">personelin yüzde </w:t>
      </w:r>
      <w:r w:rsidR="002F24CF" w:rsidRPr="00517505">
        <w:rPr>
          <w:rFonts w:ascii="Arial" w:hAnsi="Arial" w:cs="Arial"/>
          <w:b w:val="0"/>
          <w:sz w:val="22"/>
          <w:szCs w:val="22"/>
        </w:rPr>
        <w:t>7</w:t>
      </w:r>
      <w:r>
        <w:rPr>
          <w:rFonts w:ascii="Arial" w:hAnsi="Arial" w:cs="Arial"/>
          <w:b w:val="0"/>
          <w:sz w:val="22"/>
          <w:szCs w:val="22"/>
        </w:rPr>
        <w:t>6’sını</w:t>
      </w:r>
      <w:r w:rsidR="0072685A" w:rsidRPr="00517505">
        <w:rPr>
          <w:rFonts w:ascii="Arial" w:hAnsi="Arial" w:cs="Arial"/>
          <w:b w:val="0"/>
          <w:sz w:val="22"/>
          <w:szCs w:val="22"/>
        </w:rPr>
        <w:t xml:space="preserve"> istihdam etmektedirler</w:t>
      </w:r>
      <w:r w:rsidR="0072685A" w:rsidRPr="00367936">
        <w:rPr>
          <w:rFonts w:ascii="Arial" w:hAnsi="Arial" w:cs="Arial"/>
          <w:b w:val="0"/>
          <w:color w:val="FF0000"/>
          <w:sz w:val="22"/>
          <w:szCs w:val="22"/>
        </w:rPr>
        <w:t>.</w:t>
      </w:r>
      <w:r w:rsidR="00544DFA" w:rsidRPr="00367936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</w:p>
    <w:p w14:paraId="5698A38C" w14:textId="77777777" w:rsidR="0072685A" w:rsidRPr="00367936" w:rsidRDefault="0072685A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38C727CC" w14:textId="538C2FA3" w:rsidR="00544DFA" w:rsidRPr="00143457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143457">
        <w:rPr>
          <w:rFonts w:ascii="Arial" w:hAnsi="Arial" w:cs="Arial"/>
          <w:b w:val="0"/>
          <w:sz w:val="22"/>
          <w:szCs w:val="22"/>
        </w:rPr>
        <w:t>BIST</w:t>
      </w:r>
      <w:r w:rsidR="00544DFA" w:rsidRPr="00143457">
        <w:rPr>
          <w:rFonts w:ascii="Arial" w:hAnsi="Arial" w:cs="Arial"/>
          <w:b w:val="0"/>
          <w:sz w:val="22"/>
          <w:szCs w:val="22"/>
        </w:rPr>
        <w:t>’de işlem gören mevduat</w:t>
      </w:r>
      <w:r w:rsidR="00143457" w:rsidRPr="00143457">
        <w:rPr>
          <w:rFonts w:ascii="Arial" w:hAnsi="Arial" w:cs="Arial"/>
          <w:b w:val="0"/>
          <w:sz w:val="22"/>
          <w:szCs w:val="22"/>
        </w:rPr>
        <w:t xml:space="preserve"> bankalarının, Eylül 2014 itibariyle, sektör toplam aktifleri içindeki payı</w:t>
      </w:r>
      <w:r w:rsidR="008A4022" w:rsidRPr="00143457">
        <w:rPr>
          <w:rFonts w:ascii="Arial" w:hAnsi="Arial" w:cs="Arial"/>
          <w:b w:val="0"/>
          <w:sz w:val="22"/>
          <w:szCs w:val="22"/>
        </w:rPr>
        <w:t xml:space="preserve"> </w:t>
      </w:r>
      <w:r w:rsidR="00143457" w:rsidRPr="00143457">
        <w:rPr>
          <w:rFonts w:ascii="Arial" w:hAnsi="Arial" w:cs="Arial"/>
          <w:b w:val="0"/>
          <w:sz w:val="22"/>
          <w:szCs w:val="22"/>
        </w:rPr>
        <w:t>b</w:t>
      </w:r>
      <w:r w:rsidR="00B92854" w:rsidRPr="00143457">
        <w:rPr>
          <w:rFonts w:ascii="Arial" w:hAnsi="Arial" w:cs="Arial"/>
          <w:b w:val="0"/>
          <w:sz w:val="22"/>
          <w:szCs w:val="22"/>
        </w:rPr>
        <w:t xml:space="preserve">ir önceki </w:t>
      </w:r>
      <w:r w:rsidR="00143457" w:rsidRPr="00143457">
        <w:rPr>
          <w:rFonts w:ascii="Arial" w:hAnsi="Arial" w:cs="Arial"/>
          <w:b w:val="0"/>
          <w:sz w:val="22"/>
          <w:szCs w:val="22"/>
        </w:rPr>
        <w:t xml:space="preserve">yılın aynı ayına </w:t>
      </w:r>
      <w:r w:rsidR="00B92854" w:rsidRPr="00143457">
        <w:rPr>
          <w:rFonts w:ascii="Arial" w:hAnsi="Arial" w:cs="Arial"/>
          <w:b w:val="0"/>
          <w:sz w:val="22"/>
          <w:szCs w:val="22"/>
        </w:rPr>
        <w:t xml:space="preserve">göre </w:t>
      </w:r>
      <w:r w:rsidR="00143457" w:rsidRPr="00143457">
        <w:rPr>
          <w:rFonts w:ascii="Arial" w:hAnsi="Arial" w:cs="Arial"/>
          <w:b w:val="0"/>
          <w:sz w:val="22"/>
          <w:szCs w:val="22"/>
        </w:rPr>
        <w:t>2</w:t>
      </w:r>
      <w:r w:rsidR="00B92854" w:rsidRPr="00143457">
        <w:rPr>
          <w:rFonts w:ascii="Arial" w:hAnsi="Arial" w:cs="Arial"/>
          <w:b w:val="0"/>
          <w:sz w:val="22"/>
          <w:szCs w:val="22"/>
        </w:rPr>
        <w:t xml:space="preserve"> puan azalarak </w:t>
      </w:r>
      <w:r w:rsidR="008A4022" w:rsidRPr="00143457">
        <w:rPr>
          <w:rFonts w:ascii="Arial" w:hAnsi="Arial" w:cs="Arial"/>
          <w:b w:val="0"/>
          <w:sz w:val="22"/>
          <w:szCs w:val="22"/>
        </w:rPr>
        <w:t>yüzde</w:t>
      </w:r>
      <w:r w:rsidR="00110161" w:rsidRPr="00143457">
        <w:rPr>
          <w:rFonts w:ascii="Arial" w:hAnsi="Arial" w:cs="Arial"/>
          <w:b w:val="0"/>
          <w:sz w:val="22"/>
          <w:szCs w:val="22"/>
        </w:rPr>
        <w:t xml:space="preserve"> </w:t>
      </w:r>
      <w:r w:rsidR="00143457" w:rsidRPr="00143457">
        <w:rPr>
          <w:rFonts w:ascii="Arial" w:hAnsi="Arial" w:cs="Arial"/>
          <w:b w:val="0"/>
          <w:sz w:val="22"/>
          <w:szCs w:val="22"/>
        </w:rPr>
        <w:t>70</w:t>
      </w:r>
      <w:r w:rsidR="00B92854" w:rsidRPr="00143457">
        <w:rPr>
          <w:rFonts w:ascii="Arial" w:hAnsi="Arial" w:cs="Arial"/>
          <w:b w:val="0"/>
          <w:sz w:val="22"/>
          <w:szCs w:val="22"/>
        </w:rPr>
        <w:t xml:space="preserve"> olurken, </w:t>
      </w:r>
      <w:r w:rsidR="00544DFA" w:rsidRPr="00143457">
        <w:rPr>
          <w:rFonts w:ascii="Arial" w:hAnsi="Arial" w:cs="Arial"/>
          <w:b w:val="0"/>
          <w:sz w:val="22"/>
          <w:szCs w:val="22"/>
        </w:rPr>
        <w:t>toplam</w:t>
      </w:r>
      <w:r w:rsidR="00601214" w:rsidRPr="00143457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143457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323632" w:rsidRPr="00143457">
        <w:rPr>
          <w:rFonts w:ascii="Arial" w:hAnsi="Arial" w:cs="Arial"/>
          <w:b w:val="0"/>
          <w:sz w:val="22"/>
          <w:szCs w:val="22"/>
        </w:rPr>
        <w:t>7</w:t>
      </w:r>
      <w:r w:rsidR="00143457" w:rsidRPr="00143457">
        <w:rPr>
          <w:rFonts w:ascii="Arial" w:hAnsi="Arial" w:cs="Arial"/>
          <w:b w:val="0"/>
          <w:sz w:val="22"/>
          <w:szCs w:val="22"/>
        </w:rPr>
        <w:t>3</w:t>
      </w:r>
      <w:r w:rsidR="00544DFA" w:rsidRPr="00143457">
        <w:rPr>
          <w:rFonts w:ascii="Arial" w:hAnsi="Arial" w:cs="Arial"/>
          <w:b w:val="0"/>
          <w:sz w:val="22"/>
          <w:szCs w:val="22"/>
        </w:rPr>
        <w:t xml:space="preserve"> ve topla</w:t>
      </w:r>
      <w:r w:rsidR="00710A75" w:rsidRPr="00143457">
        <w:rPr>
          <w:rFonts w:ascii="Arial" w:hAnsi="Arial" w:cs="Arial"/>
          <w:b w:val="0"/>
          <w:sz w:val="22"/>
          <w:szCs w:val="22"/>
        </w:rPr>
        <w:t xml:space="preserve">m mevduat içindeki payı yüzde </w:t>
      </w:r>
      <w:r w:rsidR="00143457" w:rsidRPr="00143457">
        <w:rPr>
          <w:rFonts w:ascii="Arial" w:hAnsi="Arial" w:cs="Arial"/>
          <w:b w:val="0"/>
          <w:sz w:val="22"/>
          <w:szCs w:val="22"/>
        </w:rPr>
        <w:t>78</w:t>
      </w:r>
      <w:r w:rsidR="00544DFA" w:rsidRPr="00143457">
        <w:rPr>
          <w:rFonts w:ascii="Arial" w:hAnsi="Arial" w:cs="Arial"/>
          <w:b w:val="0"/>
          <w:sz w:val="22"/>
          <w:szCs w:val="22"/>
        </w:rPr>
        <w:t xml:space="preserve"> olmuştur.</w:t>
      </w:r>
    </w:p>
    <w:p w14:paraId="4B4E9334" w14:textId="77777777" w:rsidR="00544DFA" w:rsidRPr="00B92854" w:rsidRDefault="00544DFA" w:rsidP="00544DFA">
      <w:pPr>
        <w:rPr>
          <w:rFonts w:ascii="Arial" w:hAnsi="Arial" w:cs="Arial"/>
          <w:b/>
          <w:sz w:val="22"/>
          <w:szCs w:val="22"/>
        </w:rPr>
      </w:pPr>
    </w:p>
    <w:p w14:paraId="2072006B" w14:textId="38F655E3" w:rsidR="00373BB1" w:rsidRPr="00B92854" w:rsidRDefault="005839EF" w:rsidP="00373BB1">
      <w:pPr>
        <w:pStyle w:val="Subtitle"/>
        <w:rPr>
          <w:rFonts w:ascii="Arial" w:hAnsi="Arial" w:cs="Arial"/>
          <w:szCs w:val="24"/>
        </w:rPr>
      </w:pPr>
      <w:r w:rsidRPr="00B92854">
        <w:rPr>
          <w:rFonts w:ascii="Arial" w:hAnsi="Arial" w:cs="Arial"/>
          <w:szCs w:val="24"/>
        </w:rPr>
        <w:t>2</w:t>
      </w:r>
      <w:r w:rsidR="00A97252" w:rsidRPr="00B92854">
        <w:rPr>
          <w:rFonts w:ascii="Arial" w:hAnsi="Arial" w:cs="Arial"/>
          <w:szCs w:val="24"/>
        </w:rPr>
        <w:t xml:space="preserve">. </w:t>
      </w:r>
      <w:r w:rsidR="0070101B" w:rsidRPr="00B92854">
        <w:rPr>
          <w:rFonts w:ascii="Arial" w:hAnsi="Arial" w:cs="Arial"/>
          <w:szCs w:val="24"/>
        </w:rPr>
        <w:t>BIST</w:t>
      </w:r>
      <w:r w:rsidR="00373BB1" w:rsidRPr="00B92854">
        <w:rPr>
          <w:rFonts w:ascii="Arial" w:hAnsi="Arial" w:cs="Arial"/>
          <w:szCs w:val="24"/>
        </w:rPr>
        <w:t>’de İşlem Gören Mevduat Bankalarındaki Gelişmeler</w:t>
      </w:r>
    </w:p>
    <w:p w14:paraId="5086CA22" w14:textId="77777777" w:rsidR="00373BB1" w:rsidRPr="00B92854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14:paraId="5E055C35" w14:textId="6B5DA15F" w:rsidR="00373BB1" w:rsidRPr="00B92854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B92854">
        <w:rPr>
          <w:rFonts w:ascii="Arial" w:hAnsi="Arial" w:cs="Arial"/>
          <w:b w:val="0"/>
          <w:sz w:val="22"/>
          <w:szCs w:val="22"/>
        </w:rPr>
        <w:t>BIST</w:t>
      </w:r>
      <w:r w:rsidR="00373BB1" w:rsidRPr="00B92854">
        <w:rPr>
          <w:rFonts w:ascii="Arial" w:hAnsi="Arial" w:cs="Arial"/>
          <w:b w:val="0"/>
          <w:sz w:val="22"/>
          <w:szCs w:val="22"/>
        </w:rPr>
        <w:t>’de işlem gören mevduat bankalarının toplam aktifleri</w:t>
      </w:r>
      <w:r w:rsidR="00583A9A" w:rsidRPr="00B92854">
        <w:rPr>
          <w:rFonts w:ascii="Arial" w:hAnsi="Arial" w:cs="Arial"/>
          <w:b w:val="0"/>
          <w:sz w:val="22"/>
          <w:szCs w:val="22"/>
        </w:rPr>
        <w:t>,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0961CC">
        <w:rPr>
          <w:rFonts w:ascii="Arial" w:hAnsi="Arial" w:cs="Arial"/>
          <w:b w:val="0"/>
          <w:sz w:val="22"/>
          <w:szCs w:val="22"/>
        </w:rPr>
        <w:t>Eylül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 2014</w:t>
      </w:r>
      <w:r w:rsidR="00583A9A" w:rsidRPr="00B92854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0961CC">
        <w:rPr>
          <w:rFonts w:ascii="Arial" w:hAnsi="Arial" w:cs="Arial"/>
          <w:b w:val="0"/>
          <w:sz w:val="22"/>
          <w:szCs w:val="22"/>
        </w:rPr>
        <w:t>16</w:t>
      </w:r>
      <w:r w:rsidR="00694405" w:rsidRPr="00B92854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B92854">
        <w:rPr>
          <w:rFonts w:ascii="Arial" w:hAnsi="Arial" w:cs="Arial"/>
          <w:b w:val="0"/>
          <w:sz w:val="22"/>
          <w:szCs w:val="22"/>
        </w:rPr>
        <w:t>1.</w:t>
      </w:r>
      <w:r w:rsidR="000961CC">
        <w:rPr>
          <w:rFonts w:ascii="Arial" w:hAnsi="Arial" w:cs="Arial"/>
          <w:b w:val="0"/>
          <w:sz w:val="22"/>
          <w:szCs w:val="22"/>
        </w:rPr>
        <w:t>355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  <w:r w:rsidR="000961CC">
        <w:rPr>
          <w:rFonts w:ascii="Arial" w:hAnsi="Arial" w:cs="Arial"/>
          <w:b w:val="0"/>
          <w:sz w:val="22"/>
          <w:szCs w:val="22"/>
        </w:rPr>
        <w:t>Ancak Eylül ayı verileri aktiflerin artış hızında yavaşlamaya işaret etmektedir.</w:t>
      </w:r>
    </w:p>
    <w:p w14:paraId="0EAF3FA3" w14:textId="77777777" w:rsidR="00373BB1" w:rsidRPr="00367936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742916A5" w14:textId="77777777" w:rsidR="00373BB1" w:rsidRPr="00DC20B9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DC20B9">
        <w:rPr>
          <w:rFonts w:ascii="Arial" w:hAnsi="Arial" w:cs="Arial"/>
          <w:szCs w:val="24"/>
        </w:rPr>
        <w:t>Aktif Kalemlerdeki Gelişmeler (Milyon TL)</w:t>
      </w:r>
    </w:p>
    <w:p w14:paraId="3594DA30" w14:textId="77777777" w:rsidR="00315335" w:rsidRPr="00DC20B9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EF7712" w:rsidRPr="00DC20B9" w14:paraId="581D9BA0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A665D" w14:textId="77777777" w:rsidR="00EF7712" w:rsidRPr="00DC20B9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5FA78" w14:textId="3E0C5F51" w:rsidR="00EF7712" w:rsidRPr="00DC20B9" w:rsidRDefault="0056216D" w:rsidP="0056216D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68AA8" w14:textId="2C572E97" w:rsidR="00EF7712" w:rsidRPr="00DC20B9" w:rsidRDefault="0056216D" w:rsidP="0056216D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D2004" w14:textId="77777777"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1EAE9" w14:textId="77777777"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EF7712" w:rsidRPr="00DC20B9" w14:paraId="1C1F87D0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E81EB2" w14:textId="77777777" w:rsidR="00EF7712" w:rsidRPr="00DC20B9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EE56C7" w14:textId="0B62135A" w:rsidR="00EF7712" w:rsidRPr="00DC20B9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2014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83C80A" w14:textId="3017D0D1"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ECBF9D" w14:textId="77777777"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FCE71" w14:textId="6AB9EE39" w:rsidR="00EF7712" w:rsidRPr="00DC20B9" w:rsidRDefault="00E65B4A" w:rsidP="00E65B4A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  <w:r w:rsidR="00EF7712"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2014</w:t>
            </w:r>
          </w:p>
        </w:tc>
      </w:tr>
      <w:tr w:rsidR="0056216D" w:rsidRPr="00367936" w14:paraId="0319D1DE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A0A56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B3B91" w14:textId="63193428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190.694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8F79A" w14:textId="75AC9D99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164.061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A3B15" w14:textId="45435E44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98B17" w14:textId="2046BF26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14</w:t>
            </w:r>
          </w:p>
        </w:tc>
      </w:tr>
      <w:tr w:rsidR="0056216D" w:rsidRPr="00367936" w14:paraId="3717AAF2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4E354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D167" w14:textId="444F8A68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235.928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B3CA1" w14:textId="7FF77F08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215.849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00966" w14:textId="7D294A31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57C21" w14:textId="6DD0270F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17</w:t>
            </w:r>
          </w:p>
        </w:tc>
      </w:tr>
      <w:tr w:rsidR="0056216D" w:rsidRPr="00367936" w14:paraId="76D490CD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5DF28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EC1D2" w14:textId="2E7D5A49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871.994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E6949" w14:textId="29D866C8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740.775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FE74F" w14:textId="0913C7B9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9BF82" w14:textId="2D087DF8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64</w:t>
            </w:r>
          </w:p>
        </w:tc>
      </w:tr>
      <w:tr w:rsidR="0056216D" w:rsidRPr="00367936" w14:paraId="544E2311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3F99D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BEE27" w14:textId="4C6796FF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26.239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C1A26" w14:textId="70BA4007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21.120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4EAAC" w14:textId="448E7AEA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B9E21" w14:textId="23637572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</w:t>
            </w:r>
          </w:p>
        </w:tc>
      </w:tr>
      <w:tr w:rsidR="0056216D" w:rsidRPr="00367936" w14:paraId="00AA9DF3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41D2A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FB3DE" w14:textId="62F49851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20.231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41CCD" w14:textId="59100B73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16.584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E49B3" w14:textId="67915B70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E4786" w14:textId="64FD8EA6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</w:t>
            </w:r>
          </w:p>
        </w:tc>
      </w:tr>
      <w:tr w:rsidR="0056216D" w:rsidRPr="00367936" w14:paraId="7B4027DA" w14:textId="77777777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A2495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A2F89" w14:textId="018C7EC3" w:rsidR="0056216D" w:rsidRPr="0056216D" w:rsidRDefault="0056216D" w:rsidP="004205F5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33.880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E8415" w14:textId="25125AB4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30.559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721B7" w14:textId="2DA1E23A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54976" w14:textId="17B5EFE0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</w:t>
            </w:r>
          </w:p>
        </w:tc>
      </w:tr>
      <w:tr w:rsidR="0056216D" w:rsidRPr="00367936" w14:paraId="2EB12966" w14:textId="77777777" w:rsidTr="0056216D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5DD4A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74CE6" w14:textId="2562EC85" w:rsidR="0056216D" w:rsidRPr="0056216D" w:rsidRDefault="0056216D" w:rsidP="004205F5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22.827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5E1EC6" w14:textId="5F187A57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22.175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75181E" w14:textId="491A4C26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2B3C32" w14:textId="10E820E7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2</w:t>
            </w:r>
          </w:p>
        </w:tc>
      </w:tr>
      <w:tr w:rsidR="0056216D" w:rsidRPr="00367936" w14:paraId="1994B2FB" w14:textId="77777777" w:rsidTr="0056216D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E02CC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0E36A9" w14:textId="34430241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1.355.323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3B01C" w14:textId="09BA4445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1.173.419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DCAE90" w14:textId="49D9B793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21AA73" w14:textId="40645832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100</w:t>
            </w:r>
          </w:p>
        </w:tc>
      </w:tr>
      <w:tr w:rsidR="0056216D" w:rsidRPr="00367936" w14:paraId="1DBE4FF9" w14:textId="77777777" w:rsidTr="0056216D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2F94F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433966" w14:textId="64984F2D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875.741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FDAE88" w14:textId="42226975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767.806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8DCD07" w14:textId="3D348DDD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FF6B25" w14:textId="24332164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65</w:t>
            </w:r>
          </w:p>
        </w:tc>
      </w:tr>
      <w:tr w:rsidR="0056216D" w:rsidRPr="00367936" w14:paraId="6642FF6A" w14:textId="77777777" w:rsidTr="0056216D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0EBBBB" w14:textId="77777777" w:rsidR="0056216D" w:rsidRPr="00DC20B9" w:rsidRDefault="0056216D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544B838" w14:textId="5894C574" w:rsidR="0056216D" w:rsidRPr="0056216D" w:rsidRDefault="0056216D" w:rsidP="008610C7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479.582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285C1A88" w14:textId="5E67E1F5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405.613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7687A86E" w14:textId="525466A5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D558E5A" w14:textId="0AF29E56" w:rsidR="0056216D" w:rsidRPr="0056216D" w:rsidRDefault="0056216D" w:rsidP="00EF7712">
            <w:pPr>
              <w:jc w:val="right"/>
              <w:rPr>
                <w:rFonts w:ascii="Arial" w:hAnsi="Arial" w:cs="Arial"/>
                <w:sz w:val="20"/>
              </w:rPr>
            </w:pPr>
            <w:r w:rsidRPr="0056216D">
              <w:rPr>
                <w:rFonts w:ascii="Arial" w:hAnsi="Arial" w:cs="Arial"/>
                <w:sz w:val="20"/>
              </w:rPr>
              <w:t>35</w:t>
            </w:r>
          </w:p>
        </w:tc>
      </w:tr>
    </w:tbl>
    <w:p w14:paraId="10AD7C42" w14:textId="77777777" w:rsidR="00373BB1" w:rsidRPr="00367936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6A84AC24" w14:textId="7C8F8242" w:rsidR="006D7755" w:rsidRPr="00B92854" w:rsidRDefault="000961CC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2014 yılının üçüncü çeyreği itibariyle </w:t>
      </w:r>
      <w:r w:rsidR="00A44544" w:rsidRPr="00B92854">
        <w:rPr>
          <w:rFonts w:ascii="Arial" w:hAnsi="Arial" w:cs="Arial"/>
          <w:b w:val="0"/>
          <w:sz w:val="22"/>
          <w:szCs w:val="22"/>
        </w:rPr>
        <w:t>likit aktifler</w:t>
      </w:r>
      <w:r>
        <w:rPr>
          <w:rFonts w:ascii="Arial" w:hAnsi="Arial" w:cs="Arial"/>
          <w:b w:val="0"/>
          <w:sz w:val="22"/>
          <w:szCs w:val="22"/>
        </w:rPr>
        <w:t>in yıllık artış hızı bankalar kalemindeki sınırlı artışın etkisiyle yüzde 16 seviyesine gerilemiştir.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 Aynı dönemde m</w:t>
      </w:r>
      <w:r w:rsidR="00315335" w:rsidRPr="00B92854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yüzde </w:t>
      </w:r>
      <w:r>
        <w:rPr>
          <w:rFonts w:ascii="Arial" w:hAnsi="Arial" w:cs="Arial"/>
          <w:b w:val="0"/>
          <w:sz w:val="22"/>
          <w:szCs w:val="22"/>
        </w:rPr>
        <w:t>9</w:t>
      </w:r>
      <w:r w:rsidR="001D540E" w:rsidRPr="00B92854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B92854">
        <w:rPr>
          <w:rFonts w:ascii="Arial" w:hAnsi="Arial" w:cs="Arial"/>
          <w:b w:val="0"/>
          <w:sz w:val="22"/>
          <w:szCs w:val="22"/>
        </w:rPr>
        <w:t>kredil</w:t>
      </w:r>
      <w:r w:rsidR="00A44544" w:rsidRPr="00B92854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B92854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>
        <w:rPr>
          <w:rFonts w:ascii="Arial" w:hAnsi="Arial" w:cs="Arial"/>
          <w:b w:val="0"/>
          <w:sz w:val="22"/>
          <w:szCs w:val="22"/>
        </w:rPr>
        <w:t>18</w:t>
      </w:r>
      <w:r w:rsidR="00315335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B92854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B92854">
        <w:rPr>
          <w:rFonts w:ascii="Arial" w:hAnsi="Arial" w:cs="Arial"/>
          <w:b w:val="0"/>
          <w:sz w:val="22"/>
          <w:szCs w:val="22"/>
        </w:rPr>
        <w:t>.</w:t>
      </w:r>
      <w:r w:rsidR="001D540E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B92854">
        <w:rPr>
          <w:rFonts w:ascii="Arial" w:hAnsi="Arial" w:cs="Arial"/>
          <w:b w:val="0"/>
          <w:sz w:val="22"/>
          <w:szCs w:val="22"/>
        </w:rPr>
        <w:t>Kredi büyümesi</w:t>
      </w:r>
      <w:r>
        <w:rPr>
          <w:rFonts w:ascii="Arial" w:hAnsi="Arial" w:cs="Arial"/>
          <w:b w:val="0"/>
          <w:sz w:val="22"/>
          <w:szCs w:val="22"/>
        </w:rPr>
        <w:t xml:space="preserve">nin seyri aktif büyümesindeki yavaşlamanın başlıca nedeni olmuştur. </w:t>
      </w:r>
    </w:p>
    <w:p w14:paraId="7ECCDBCF" w14:textId="77777777" w:rsidR="001D540E" w:rsidRPr="00B92854" w:rsidRDefault="001D54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14:paraId="14198246" w14:textId="70ED0762" w:rsidR="00373BB1" w:rsidRPr="00626E1B" w:rsidRDefault="002758FF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K</w:t>
      </w:r>
      <w:r w:rsidR="00373BB1" w:rsidRPr="00B92854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B92854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B92854">
        <w:rPr>
          <w:rFonts w:ascii="Arial" w:hAnsi="Arial" w:cs="Arial"/>
          <w:b w:val="0"/>
          <w:sz w:val="22"/>
          <w:szCs w:val="22"/>
        </w:rPr>
        <w:t xml:space="preserve">ndeki payı </w:t>
      </w:r>
      <w:r w:rsidR="000961CC">
        <w:rPr>
          <w:rFonts w:ascii="Arial" w:hAnsi="Arial" w:cs="Arial"/>
          <w:b w:val="0"/>
          <w:sz w:val="22"/>
          <w:szCs w:val="22"/>
        </w:rPr>
        <w:t>Eylül</w:t>
      </w:r>
      <w:r>
        <w:rPr>
          <w:rFonts w:ascii="Arial" w:hAnsi="Arial" w:cs="Arial"/>
          <w:b w:val="0"/>
          <w:sz w:val="22"/>
          <w:szCs w:val="22"/>
        </w:rPr>
        <w:t xml:space="preserve"> 2014 itibariyle</w:t>
      </w:r>
      <w:r w:rsidR="000961CC">
        <w:rPr>
          <w:rFonts w:ascii="Arial" w:hAnsi="Arial" w:cs="Arial"/>
          <w:b w:val="0"/>
          <w:sz w:val="22"/>
          <w:szCs w:val="22"/>
        </w:rPr>
        <w:t xml:space="preserve"> bir önceki çeyreğe göre bir puan artarak </w:t>
      </w:r>
      <w:r w:rsidR="007526A6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B92854">
        <w:rPr>
          <w:rFonts w:ascii="Arial" w:hAnsi="Arial" w:cs="Arial"/>
          <w:b w:val="0"/>
          <w:sz w:val="22"/>
          <w:szCs w:val="22"/>
        </w:rPr>
        <w:t>6</w:t>
      </w:r>
      <w:r w:rsidR="000961CC">
        <w:rPr>
          <w:rFonts w:ascii="Arial" w:hAnsi="Arial" w:cs="Arial"/>
          <w:b w:val="0"/>
          <w:sz w:val="22"/>
          <w:szCs w:val="22"/>
        </w:rPr>
        <w:t>4</w:t>
      </w:r>
      <w:r w:rsidR="006B5546" w:rsidRPr="00B92854">
        <w:rPr>
          <w:rFonts w:ascii="Arial" w:hAnsi="Arial" w:cs="Arial"/>
          <w:b w:val="0"/>
          <w:sz w:val="22"/>
          <w:szCs w:val="22"/>
        </w:rPr>
        <w:t xml:space="preserve"> olarak gerçekleşmiştir.</w:t>
      </w:r>
      <w:r w:rsidR="000961CC">
        <w:rPr>
          <w:rFonts w:ascii="Arial" w:hAnsi="Arial" w:cs="Arial"/>
          <w:b w:val="0"/>
          <w:sz w:val="22"/>
          <w:szCs w:val="22"/>
        </w:rPr>
        <w:t xml:space="preserve"> T</w:t>
      </w:r>
      <w:r w:rsidR="00373BB1" w:rsidRPr="00B92854">
        <w:rPr>
          <w:rFonts w:ascii="Arial" w:hAnsi="Arial" w:cs="Arial"/>
          <w:b w:val="0"/>
          <w:sz w:val="22"/>
          <w:szCs w:val="22"/>
        </w:rPr>
        <w:t>akipteki krediler</w:t>
      </w:r>
      <w:r w:rsidR="006B5546" w:rsidRPr="00B92854">
        <w:rPr>
          <w:rFonts w:ascii="Arial" w:hAnsi="Arial" w:cs="Arial"/>
          <w:b w:val="0"/>
          <w:sz w:val="22"/>
          <w:szCs w:val="22"/>
        </w:rPr>
        <w:t>in yıllık artış</w:t>
      </w:r>
      <w:r w:rsidR="000961CC">
        <w:rPr>
          <w:rFonts w:ascii="Arial" w:hAnsi="Arial" w:cs="Arial"/>
          <w:b w:val="0"/>
          <w:sz w:val="22"/>
          <w:szCs w:val="22"/>
        </w:rPr>
        <w:t xml:space="preserve">ı hızlanmaya devam etmiş ve </w:t>
      </w:r>
      <w:r w:rsidR="00315335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0961CC">
        <w:rPr>
          <w:rFonts w:ascii="Arial" w:hAnsi="Arial" w:cs="Arial"/>
          <w:b w:val="0"/>
          <w:sz w:val="22"/>
          <w:szCs w:val="22"/>
        </w:rPr>
        <w:t>24’</w:t>
      </w:r>
      <w:r w:rsidR="00B92854" w:rsidRPr="00B92854">
        <w:rPr>
          <w:rFonts w:ascii="Arial" w:hAnsi="Arial" w:cs="Arial"/>
          <w:b w:val="0"/>
          <w:sz w:val="22"/>
          <w:szCs w:val="22"/>
        </w:rPr>
        <w:t>e</w:t>
      </w:r>
      <w:r w:rsidR="00834737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0961CC">
        <w:rPr>
          <w:rFonts w:ascii="Arial" w:hAnsi="Arial" w:cs="Arial"/>
          <w:b w:val="0"/>
          <w:sz w:val="22"/>
          <w:szCs w:val="22"/>
        </w:rPr>
        <w:t xml:space="preserve">yükselmiştir. Buna paralel olarak, </w:t>
      </w:r>
      <w:r w:rsidR="00373BB1" w:rsidRPr="00B92854">
        <w:rPr>
          <w:rFonts w:ascii="Arial" w:hAnsi="Arial" w:cs="Arial"/>
          <w:b w:val="0"/>
          <w:sz w:val="22"/>
          <w:szCs w:val="22"/>
        </w:rPr>
        <w:t>özel karşılıklar</w:t>
      </w:r>
      <w:r w:rsidR="006B5546" w:rsidRPr="00B92854">
        <w:rPr>
          <w:rFonts w:ascii="Arial" w:hAnsi="Arial" w:cs="Arial"/>
          <w:b w:val="0"/>
          <w:sz w:val="22"/>
          <w:szCs w:val="22"/>
        </w:rPr>
        <w:t>ın artış oranı</w:t>
      </w:r>
      <w:r w:rsidR="000961CC">
        <w:rPr>
          <w:rFonts w:ascii="Arial" w:hAnsi="Arial" w:cs="Arial"/>
          <w:b w:val="0"/>
          <w:sz w:val="22"/>
          <w:szCs w:val="22"/>
        </w:rPr>
        <w:t xml:space="preserve"> </w:t>
      </w:r>
      <w:r w:rsidR="00DD33E5" w:rsidRPr="00B92854">
        <w:rPr>
          <w:rFonts w:ascii="Arial" w:hAnsi="Arial" w:cs="Arial"/>
          <w:b w:val="0"/>
          <w:sz w:val="22"/>
          <w:szCs w:val="22"/>
        </w:rPr>
        <w:t xml:space="preserve">ise 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6B5546" w:rsidRPr="00B92854">
        <w:rPr>
          <w:rFonts w:ascii="Arial" w:hAnsi="Arial" w:cs="Arial"/>
          <w:b w:val="0"/>
          <w:sz w:val="22"/>
          <w:szCs w:val="22"/>
        </w:rPr>
        <w:t>2</w:t>
      </w:r>
      <w:r w:rsidR="000961CC">
        <w:rPr>
          <w:rFonts w:ascii="Arial" w:hAnsi="Arial" w:cs="Arial"/>
          <w:b w:val="0"/>
          <w:sz w:val="22"/>
          <w:szCs w:val="22"/>
        </w:rPr>
        <w:t xml:space="preserve">2 olarak gerçekleşmiştir. </w:t>
      </w:r>
      <w:r w:rsidR="00963A10">
        <w:rPr>
          <w:rFonts w:ascii="Arial" w:hAnsi="Arial" w:cs="Arial"/>
          <w:b w:val="0"/>
          <w:sz w:val="22"/>
          <w:szCs w:val="22"/>
        </w:rPr>
        <w:t xml:space="preserve">2013 yılı </w:t>
      </w:r>
      <w:r w:rsidR="000961CC">
        <w:rPr>
          <w:rFonts w:ascii="Arial" w:hAnsi="Arial" w:cs="Arial"/>
          <w:b w:val="0"/>
          <w:sz w:val="22"/>
          <w:szCs w:val="22"/>
        </w:rPr>
        <w:t>Eylül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 ayında yüzde 7</w:t>
      </w:r>
      <w:r w:rsidR="000961CC">
        <w:rPr>
          <w:rFonts w:ascii="Arial" w:hAnsi="Arial" w:cs="Arial"/>
          <w:b w:val="0"/>
          <w:sz w:val="22"/>
          <w:szCs w:val="22"/>
        </w:rPr>
        <w:t>7,1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 olan ö</w:t>
      </w:r>
      <w:r w:rsidR="00373BB1" w:rsidRPr="00B92854">
        <w:rPr>
          <w:rFonts w:ascii="Arial" w:hAnsi="Arial" w:cs="Arial"/>
          <w:b w:val="0"/>
          <w:sz w:val="22"/>
          <w:szCs w:val="22"/>
        </w:rPr>
        <w:t>zel karşılıkların takipteki kr</w:t>
      </w:r>
      <w:r w:rsidR="00532BF8" w:rsidRPr="00B92854">
        <w:rPr>
          <w:rFonts w:ascii="Arial" w:hAnsi="Arial" w:cs="Arial"/>
          <w:b w:val="0"/>
          <w:sz w:val="22"/>
          <w:szCs w:val="22"/>
        </w:rPr>
        <w:t>e</w:t>
      </w:r>
      <w:r w:rsidR="006538FE" w:rsidRPr="00B92854">
        <w:rPr>
          <w:rFonts w:ascii="Arial" w:hAnsi="Arial" w:cs="Arial"/>
          <w:b w:val="0"/>
          <w:sz w:val="22"/>
          <w:szCs w:val="22"/>
        </w:rPr>
        <w:t>dileri k</w:t>
      </w:r>
      <w:r w:rsidR="00F62EE1" w:rsidRPr="00B92854">
        <w:rPr>
          <w:rFonts w:ascii="Arial" w:hAnsi="Arial" w:cs="Arial"/>
          <w:b w:val="0"/>
          <w:sz w:val="22"/>
          <w:szCs w:val="22"/>
        </w:rPr>
        <w:t xml:space="preserve">arşılama oranı </w:t>
      </w:r>
      <w:r w:rsidR="00B92854" w:rsidRPr="00B92854">
        <w:rPr>
          <w:rFonts w:ascii="Arial" w:hAnsi="Arial" w:cs="Arial"/>
          <w:b w:val="0"/>
          <w:sz w:val="22"/>
          <w:szCs w:val="22"/>
        </w:rPr>
        <w:t>2014 yılı ilk</w:t>
      </w:r>
      <w:r w:rsidR="000961CC">
        <w:rPr>
          <w:rFonts w:ascii="Arial" w:hAnsi="Arial" w:cs="Arial"/>
          <w:b w:val="0"/>
          <w:sz w:val="22"/>
          <w:szCs w:val="22"/>
        </w:rPr>
        <w:t xml:space="preserve"> </w:t>
      </w:r>
      <w:r w:rsidR="005909A2">
        <w:rPr>
          <w:rFonts w:ascii="Arial" w:hAnsi="Arial" w:cs="Arial"/>
          <w:b w:val="0"/>
          <w:sz w:val="22"/>
          <w:szCs w:val="22"/>
        </w:rPr>
        <w:t>üç çeyreğinde</w:t>
      </w:r>
      <w:r w:rsidR="000961CC">
        <w:rPr>
          <w:rFonts w:ascii="Arial" w:hAnsi="Arial" w:cs="Arial"/>
          <w:b w:val="0"/>
          <w:sz w:val="22"/>
          <w:szCs w:val="22"/>
        </w:rPr>
        <w:t xml:space="preserve"> yüzde 78,5</w:t>
      </w:r>
      <w:r w:rsidR="00B92854" w:rsidRPr="00B92854">
        <w:rPr>
          <w:rFonts w:ascii="Arial" w:hAnsi="Arial" w:cs="Arial"/>
          <w:b w:val="0"/>
          <w:sz w:val="22"/>
          <w:szCs w:val="22"/>
        </w:rPr>
        <w:t>’e yükselmiştir.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640A37">
        <w:rPr>
          <w:rFonts w:ascii="Arial" w:hAnsi="Arial" w:cs="Arial"/>
          <w:b w:val="0"/>
          <w:sz w:val="22"/>
          <w:szCs w:val="22"/>
        </w:rPr>
        <w:t>Tahsili gecikmiş alacakların kredilere oranı</w:t>
      </w:r>
      <w:r w:rsidR="00301D46" w:rsidRPr="00640A37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4C1C2D">
        <w:rPr>
          <w:rFonts w:ascii="Arial" w:hAnsi="Arial" w:cs="Arial"/>
          <w:b w:val="0"/>
          <w:sz w:val="22"/>
          <w:szCs w:val="22"/>
        </w:rPr>
        <w:t>Eylül</w:t>
      </w:r>
      <w:r w:rsidR="00640A37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C87E78" w:rsidRPr="00640A37">
        <w:rPr>
          <w:rFonts w:ascii="Arial" w:hAnsi="Arial" w:cs="Arial"/>
          <w:b w:val="0"/>
          <w:sz w:val="22"/>
          <w:szCs w:val="22"/>
        </w:rPr>
        <w:t>201</w:t>
      </w:r>
      <w:r w:rsidR="004C1C2D">
        <w:rPr>
          <w:rFonts w:ascii="Arial" w:hAnsi="Arial" w:cs="Arial"/>
          <w:b w:val="0"/>
          <w:sz w:val="22"/>
          <w:szCs w:val="22"/>
        </w:rPr>
        <w:t>3</w:t>
      </w:r>
      <w:r w:rsidR="005C39DE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640A37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1057E4">
        <w:rPr>
          <w:rFonts w:ascii="Arial" w:hAnsi="Arial" w:cs="Arial"/>
          <w:b w:val="0"/>
          <w:sz w:val="22"/>
          <w:szCs w:val="22"/>
        </w:rPr>
        <w:t>0,2</w:t>
      </w:r>
      <w:r w:rsidR="004C1C2D">
        <w:rPr>
          <w:rFonts w:ascii="Arial" w:hAnsi="Arial" w:cs="Arial"/>
          <w:b w:val="0"/>
          <w:sz w:val="22"/>
          <w:szCs w:val="22"/>
        </w:rPr>
        <w:t xml:space="preserve"> puan artarak </w:t>
      </w:r>
      <w:r w:rsidR="007F5D5D" w:rsidRPr="00640A37">
        <w:rPr>
          <w:rFonts w:ascii="Arial" w:hAnsi="Arial" w:cs="Arial"/>
          <w:b w:val="0"/>
          <w:sz w:val="22"/>
          <w:szCs w:val="22"/>
        </w:rPr>
        <w:t xml:space="preserve">yüzde </w:t>
      </w:r>
      <w:r w:rsidR="004C1C2D">
        <w:rPr>
          <w:rFonts w:ascii="Arial" w:hAnsi="Arial" w:cs="Arial"/>
          <w:b w:val="0"/>
          <w:sz w:val="22"/>
          <w:szCs w:val="22"/>
        </w:rPr>
        <w:t>3</w:t>
      </w:r>
      <w:r w:rsidR="00A47BD6" w:rsidRPr="00640A37">
        <w:rPr>
          <w:rFonts w:ascii="Arial" w:hAnsi="Arial" w:cs="Arial"/>
          <w:b w:val="0"/>
          <w:sz w:val="22"/>
          <w:szCs w:val="22"/>
        </w:rPr>
        <w:t xml:space="preserve"> düzeyinde gerçekleşmiştir.</w:t>
      </w:r>
      <w:r w:rsidR="00A47BD6" w:rsidRPr="00626E1B">
        <w:rPr>
          <w:rFonts w:ascii="Arial" w:hAnsi="Arial" w:cs="Arial"/>
          <w:b w:val="0"/>
          <w:sz w:val="22"/>
          <w:szCs w:val="22"/>
        </w:rPr>
        <w:t xml:space="preserve"> </w:t>
      </w:r>
    </w:p>
    <w:p w14:paraId="31A76476" w14:textId="77777777" w:rsidR="00373BB1" w:rsidRPr="00626E1B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14:paraId="7DC5E312" w14:textId="46E57405" w:rsidR="00373BB1" w:rsidRPr="00626E1B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681AA1">
        <w:rPr>
          <w:rFonts w:ascii="Arial" w:hAnsi="Arial" w:cs="Arial"/>
          <w:b w:val="0"/>
          <w:sz w:val="22"/>
          <w:szCs w:val="22"/>
        </w:rPr>
        <w:t>TL mevduat, geçen y</w:t>
      </w:r>
      <w:r w:rsidR="00CA32CB" w:rsidRPr="00681AA1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681AA1">
        <w:rPr>
          <w:rFonts w:ascii="Arial" w:hAnsi="Arial" w:cs="Arial"/>
          <w:b w:val="0"/>
          <w:sz w:val="22"/>
          <w:szCs w:val="22"/>
        </w:rPr>
        <w:t xml:space="preserve">e </w:t>
      </w:r>
      <w:r w:rsidR="00681AA1" w:rsidRPr="00681AA1">
        <w:rPr>
          <w:rFonts w:ascii="Arial" w:hAnsi="Arial" w:cs="Arial"/>
          <w:b w:val="0"/>
          <w:sz w:val="22"/>
          <w:szCs w:val="22"/>
        </w:rPr>
        <w:t>7</w:t>
      </w:r>
      <w:r w:rsidR="001D000A" w:rsidRPr="00681AA1">
        <w:rPr>
          <w:rFonts w:ascii="Arial" w:hAnsi="Arial" w:cs="Arial"/>
          <w:b w:val="0"/>
          <w:sz w:val="22"/>
          <w:szCs w:val="22"/>
        </w:rPr>
        <w:t xml:space="preserve"> </w:t>
      </w:r>
      <w:r w:rsidRPr="00681AA1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5C0876">
        <w:rPr>
          <w:rFonts w:ascii="Arial" w:hAnsi="Arial" w:cs="Arial"/>
          <w:b w:val="0"/>
          <w:sz w:val="22"/>
          <w:szCs w:val="22"/>
        </w:rPr>
        <w:t>21</w:t>
      </w:r>
      <w:r w:rsidRPr="00681AA1">
        <w:rPr>
          <w:rFonts w:ascii="Arial" w:hAnsi="Arial" w:cs="Arial"/>
          <w:b w:val="0"/>
          <w:sz w:val="22"/>
          <w:szCs w:val="22"/>
        </w:rPr>
        <w:t xml:space="preserve"> oranında artmıştır.</w:t>
      </w:r>
      <w:r w:rsidRPr="00626E1B">
        <w:rPr>
          <w:rFonts w:ascii="Arial" w:hAnsi="Arial" w:cs="Arial"/>
          <w:b w:val="0"/>
          <w:sz w:val="22"/>
          <w:szCs w:val="22"/>
        </w:rPr>
        <w:t xml:space="preserve"> </w:t>
      </w:r>
      <w:r w:rsidR="00C4175C" w:rsidRPr="00A312E8">
        <w:rPr>
          <w:rFonts w:ascii="Arial" w:hAnsi="Arial" w:cs="Arial"/>
          <w:b w:val="0"/>
          <w:sz w:val="22"/>
          <w:szCs w:val="22"/>
        </w:rPr>
        <w:t xml:space="preserve">Toplam </w:t>
      </w:r>
      <w:r w:rsidR="00A312E8" w:rsidRPr="00A312E8">
        <w:rPr>
          <w:rFonts w:ascii="Arial" w:hAnsi="Arial" w:cs="Arial"/>
          <w:b w:val="0"/>
          <w:sz w:val="22"/>
          <w:szCs w:val="22"/>
        </w:rPr>
        <w:t xml:space="preserve">mevduatın yüzde </w:t>
      </w:r>
      <w:r w:rsidR="005C0876">
        <w:rPr>
          <w:rFonts w:ascii="Arial" w:hAnsi="Arial" w:cs="Arial"/>
          <w:b w:val="0"/>
          <w:sz w:val="22"/>
          <w:szCs w:val="22"/>
        </w:rPr>
        <w:t>4</w:t>
      </w:r>
      <w:r w:rsidR="00240C25" w:rsidRPr="00A312E8">
        <w:rPr>
          <w:rFonts w:ascii="Arial" w:hAnsi="Arial" w:cs="Arial"/>
          <w:b w:val="0"/>
          <w:sz w:val="22"/>
          <w:szCs w:val="22"/>
        </w:rPr>
        <w:t>’ü</w:t>
      </w:r>
      <w:r w:rsidR="00A05A4D" w:rsidRPr="00A312E8">
        <w:rPr>
          <w:rFonts w:ascii="Arial" w:hAnsi="Arial" w:cs="Arial"/>
          <w:b w:val="0"/>
          <w:sz w:val="22"/>
          <w:szCs w:val="22"/>
        </w:rPr>
        <w:t xml:space="preserve"> (</w:t>
      </w:r>
      <w:r w:rsidR="005C0876">
        <w:rPr>
          <w:rFonts w:ascii="Arial" w:hAnsi="Arial" w:cs="Arial"/>
          <w:b w:val="0"/>
          <w:sz w:val="22"/>
          <w:szCs w:val="22"/>
        </w:rPr>
        <w:t>31,6</w:t>
      </w:r>
      <w:r w:rsidR="00E82638" w:rsidRPr="00A312E8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A312E8">
        <w:rPr>
          <w:rFonts w:ascii="Arial" w:hAnsi="Arial" w:cs="Arial"/>
          <w:b w:val="0"/>
          <w:sz w:val="22"/>
          <w:szCs w:val="22"/>
        </w:rPr>
        <w:t>milyar TL) bankanın dahil ol</w:t>
      </w:r>
      <w:r w:rsidR="002D67D5" w:rsidRPr="00A312E8">
        <w:rPr>
          <w:rFonts w:ascii="Arial" w:hAnsi="Arial" w:cs="Arial"/>
          <w:b w:val="0"/>
          <w:sz w:val="22"/>
          <w:szCs w:val="22"/>
        </w:rPr>
        <w:t>duğu risk grubuna aittir.</w:t>
      </w:r>
      <w:r w:rsidRPr="00A312E8">
        <w:rPr>
          <w:rFonts w:ascii="Arial" w:hAnsi="Arial" w:cs="Arial"/>
          <w:b w:val="0"/>
          <w:sz w:val="22"/>
          <w:szCs w:val="22"/>
        </w:rPr>
        <w:t xml:space="preserve"> </w:t>
      </w:r>
    </w:p>
    <w:p w14:paraId="1E5CD041" w14:textId="77777777" w:rsidR="005F72BB" w:rsidRPr="00367936" w:rsidRDefault="005F72BB" w:rsidP="00373BB1">
      <w:pPr>
        <w:pStyle w:val="Subtitle"/>
        <w:rPr>
          <w:rFonts w:ascii="Arial" w:hAnsi="Arial" w:cs="Arial"/>
          <w:color w:val="FF0000"/>
          <w:szCs w:val="24"/>
        </w:rPr>
      </w:pPr>
    </w:p>
    <w:p w14:paraId="5D00743D" w14:textId="0CABF650" w:rsidR="002D67D5" w:rsidRPr="003629D9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3629D9">
        <w:rPr>
          <w:rFonts w:ascii="Arial" w:hAnsi="Arial" w:cs="Arial"/>
          <w:szCs w:val="24"/>
        </w:rPr>
        <w:t>Pasif Kalemlerdeki Gelişmeler (Milyon TL)</w:t>
      </w:r>
    </w:p>
    <w:p w14:paraId="69AE0E20" w14:textId="77777777" w:rsidR="005F72BB" w:rsidRPr="003629D9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3629D9" w:rsidRPr="003629D9" w14:paraId="06800CCD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8F6AA" w14:textId="77777777" w:rsidR="00EF7712" w:rsidRPr="003629D9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BBA4B" w14:textId="6A62E081" w:rsidR="00EF7712" w:rsidRPr="003629D9" w:rsidRDefault="00E65B4A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67D41" w14:textId="36500101" w:rsidR="00EF7712" w:rsidRPr="003629D9" w:rsidRDefault="00E65B4A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6931C" w14:textId="2BCADBDE"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67269" w14:textId="598C5CA8"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3629D9" w:rsidRPr="003629D9" w14:paraId="3014E558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77C21A" w14:textId="77777777" w:rsidR="00EF7712" w:rsidRPr="003629D9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5E510A" w14:textId="43BACDD7"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2014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57AE31" w14:textId="34008443"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6FC93B" w14:textId="31DA117A"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87BAC4" w14:textId="0406CEB4" w:rsidR="00EF7712" w:rsidRPr="003629D9" w:rsidRDefault="00E65B4A" w:rsidP="00E65B4A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  <w:r w:rsidR="00EF7712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2014</w:t>
            </w:r>
          </w:p>
        </w:tc>
      </w:tr>
      <w:tr w:rsidR="00E65B4A" w:rsidRPr="003629D9" w14:paraId="694B5251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F2947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F4722" w14:textId="77E123B2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791.776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8C1FC" w14:textId="50F73F2B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702.690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BE5A" w14:textId="6CEE7F21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E4289" w14:textId="73EC089A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58</w:t>
            </w:r>
          </w:p>
        </w:tc>
      </w:tr>
      <w:tr w:rsidR="00E65B4A" w:rsidRPr="003629D9" w14:paraId="1B127CA2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1D162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A5BEB" w14:textId="1079EE51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460.809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50C80" w14:textId="298AAA2B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429.610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5EC19" w14:textId="2087A658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F8732" w14:textId="58DBAAD4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34</w:t>
            </w:r>
          </w:p>
        </w:tc>
      </w:tr>
      <w:tr w:rsidR="00E65B4A" w:rsidRPr="003629D9" w14:paraId="2A883F37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402E2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F5C23" w14:textId="64F63382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330.967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E81DB" w14:textId="5A66B291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273.081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2924E" w14:textId="3674346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37B26" w14:textId="27B337E7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24</w:t>
            </w:r>
          </w:p>
        </w:tc>
      </w:tr>
      <w:tr w:rsidR="00E65B4A" w:rsidRPr="003629D9" w14:paraId="03721C41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F5B9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8A4C2" w14:textId="0B3B0FF6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304.423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56530" w14:textId="76D4A68C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241.621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F5D0D" w14:textId="26B501F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19BC8" w14:textId="4E526A49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22</w:t>
            </w:r>
          </w:p>
        </w:tc>
      </w:tr>
      <w:tr w:rsidR="00E65B4A" w:rsidRPr="003629D9" w14:paraId="6AD9D534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29FDC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BA83F" w14:textId="6A8F361D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20.814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22CE3" w14:textId="30827D1B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16.641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9F022" w14:textId="1D8EDB52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DF2D6" w14:textId="3E381458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</w:t>
            </w:r>
          </w:p>
        </w:tc>
      </w:tr>
      <w:tr w:rsidR="00E65B4A" w:rsidRPr="003629D9" w14:paraId="4F4F8FEB" w14:textId="77777777" w:rsidTr="00E65B4A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52773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72E7C" w14:textId="7E32EAD3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146.552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F1E5F" w14:textId="5B6AB08D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129.580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31D9E" w14:textId="5CAB49F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40A64" w14:textId="3E92C4D2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11</w:t>
            </w:r>
          </w:p>
        </w:tc>
      </w:tr>
      <w:tr w:rsidR="00E65B4A" w:rsidRPr="003629D9" w14:paraId="4C736E8E" w14:textId="77777777" w:rsidTr="00224DB9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1124C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7C4FA" w14:textId="7889CAD3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13.207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C7CB8" w14:textId="2AA2174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15.063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8A227" w14:textId="61E7417B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-12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1A569" w14:textId="32753A96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E65B4A" w:rsidRPr="003629D9" w14:paraId="78623909" w14:textId="77777777" w:rsidTr="00224DB9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52D62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ABC60" w14:textId="23667205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112.572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9C6B" w14:textId="6E5DA199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99.528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FC8E1" w14:textId="3208BB4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2460" w14:textId="53221608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8</w:t>
            </w:r>
          </w:p>
        </w:tc>
      </w:tr>
      <w:tr w:rsidR="00E65B4A" w:rsidRPr="003629D9" w14:paraId="1AB0A917" w14:textId="77777777" w:rsidTr="00224DB9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2F704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B521C" w14:textId="631504A1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1.355.323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9C72E" w14:textId="42882220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1.173.419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4E5E0" w14:textId="2927FF3E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3B983" w14:textId="52845F56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100</w:t>
            </w:r>
          </w:p>
        </w:tc>
      </w:tr>
      <w:tr w:rsidR="00E65B4A" w:rsidRPr="003629D9" w14:paraId="29E0660B" w14:textId="77777777" w:rsidTr="00224DB9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38A50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DBFF5" w14:textId="2E660AD0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774.185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9E9E1" w14:textId="3C8BA9C3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702.718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E7602" w14:textId="74D89C42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213DB" w14:textId="655E47C0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57</w:t>
            </w:r>
          </w:p>
        </w:tc>
      </w:tr>
      <w:tr w:rsidR="00E65B4A" w:rsidRPr="003629D9" w14:paraId="7990312F" w14:textId="77777777" w:rsidTr="00224DB9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B7714A" w14:textId="77777777" w:rsidR="00E65B4A" w:rsidRPr="003629D9" w:rsidRDefault="00E65B4A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1EDB0" w14:textId="52B4445C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581.138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84F8D" w14:textId="2CEF51C4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470.700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FACE6" w14:textId="23D9824F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8B8A3" w14:textId="515A3716" w:rsidR="00E65B4A" w:rsidRPr="00E65B4A" w:rsidRDefault="00E65B4A" w:rsidP="003629D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E65B4A">
              <w:rPr>
                <w:rFonts w:ascii="Arial" w:hAnsi="Arial" w:cs="Arial"/>
                <w:sz w:val="20"/>
                <w:szCs w:val="22"/>
              </w:rPr>
              <w:t>43</w:t>
            </w:r>
          </w:p>
        </w:tc>
      </w:tr>
    </w:tbl>
    <w:p w14:paraId="7FF244B1" w14:textId="77777777" w:rsidR="002D67D5" w:rsidRDefault="002D67D5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6B8B094A" w14:textId="06EC4FD1" w:rsidR="00E65B4A" w:rsidRPr="00095048" w:rsidRDefault="00095048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095048">
        <w:rPr>
          <w:rFonts w:ascii="Arial" w:hAnsi="Arial" w:cs="Arial"/>
          <w:b w:val="0"/>
          <w:sz w:val="22"/>
          <w:szCs w:val="22"/>
        </w:rPr>
        <w:t xml:space="preserve">Mevduat dışı kaynaklardaki artış oranının diğer pasif kalemlerden daha yüksek olması sonucunda Mevduat dışı kaynakların toplam pasifler içindeki payı Eylül 2014 itibariyle bir önceki yılın aynı </w:t>
      </w:r>
      <w:r w:rsidR="001057E4">
        <w:rPr>
          <w:rFonts w:ascii="Arial" w:hAnsi="Arial" w:cs="Arial"/>
          <w:b w:val="0"/>
          <w:sz w:val="22"/>
          <w:szCs w:val="22"/>
        </w:rPr>
        <w:t>dönemine</w:t>
      </w:r>
      <w:r w:rsidRPr="00095048">
        <w:rPr>
          <w:rFonts w:ascii="Arial" w:hAnsi="Arial" w:cs="Arial"/>
          <w:b w:val="0"/>
          <w:sz w:val="22"/>
          <w:szCs w:val="22"/>
        </w:rPr>
        <w:t xml:space="preserve"> göre artarak yüzde 22’ye yükselmiştir. </w:t>
      </w:r>
    </w:p>
    <w:p w14:paraId="0C423D6E" w14:textId="7A11D395" w:rsidR="00234523" w:rsidRPr="00095048" w:rsidRDefault="00234523" w:rsidP="00234523">
      <w:pPr>
        <w:pStyle w:val="Subtitle"/>
        <w:rPr>
          <w:rFonts w:ascii="Arial" w:hAnsi="Arial" w:cs="Arial"/>
          <w:b w:val="0"/>
          <w:sz w:val="22"/>
          <w:szCs w:val="22"/>
        </w:rPr>
      </w:pPr>
    </w:p>
    <w:p w14:paraId="334FAFB3" w14:textId="57413FE8" w:rsidR="0058382B" w:rsidRPr="0058382B" w:rsidRDefault="0058382B" w:rsidP="0058382B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58382B">
        <w:rPr>
          <w:rFonts w:ascii="Arial" w:hAnsi="Arial" w:cs="Arial"/>
          <w:b w:val="0"/>
          <w:sz w:val="22"/>
          <w:szCs w:val="22"/>
        </w:rPr>
        <w:t xml:space="preserve">BIST’de işlem gören mevduat bankalarının özkaynakları Eylül 2014 itibariyle geçen yılın aynı dönemine göre yüzde 13 oranında artmıştır. </w:t>
      </w:r>
      <w:proofErr w:type="spellStart"/>
      <w:r w:rsidRPr="0058382B">
        <w:rPr>
          <w:rFonts w:ascii="Arial" w:hAnsi="Arial" w:cs="Arial"/>
          <w:b w:val="0"/>
          <w:sz w:val="22"/>
          <w:szCs w:val="22"/>
        </w:rPr>
        <w:t>Özkaynakların</w:t>
      </w:r>
      <w:proofErr w:type="spellEnd"/>
      <w:r w:rsidRPr="0058382B">
        <w:rPr>
          <w:rFonts w:ascii="Arial" w:hAnsi="Arial" w:cs="Arial"/>
          <w:b w:val="0"/>
          <w:sz w:val="22"/>
          <w:szCs w:val="22"/>
        </w:rPr>
        <w:t xml:space="preserve"> toplam pasiflere oranı yüzde 11 düzeyindedir. </w:t>
      </w:r>
    </w:p>
    <w:p w14:paraId="131427E4" w14:textId="77777777" w:rsidR="0058382B" w:rsidRPr="004F1132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074B22B5" w14:textId="4B74B5BF" w:rsidR="0058382B" w:rsidRPr="0058382B" w:rsidRDefault="0058382B" w:rsidP="0058382B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58382B">
        <w:rPr>
          <w:rFonts w:ascii="Arial" w:hAnsi="Arial" w:cs="Arial"/>
          <w:b w:val="0"/>
          <w:sz w:val="22"/>
          <w:szCs w:val="22"/>
        </w:rPr>
        <w:t xml:space="preserve">Eylül 2014 itibariyle, YP aktiflerin toplam aktifler içindeki payı yüzde 35, YP pasiflerin toplam pasifler içindeki payı ise yüzde 43 seviyesinde gerçekleşmiştir. </w:t>
      </w:r>
    </w:p>
    <w:p w14:paraId="740DAA0C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4B418EDC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2D127B8B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391A535F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41FD2F1D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29054FF1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7D3D7DE5" w14:textId="77777777" w:rsidR="00330C22" w:rsidRDefault="00330C22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4BD89350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4E9837D5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40A2C311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3F22311A" w14:textId="77777777" w:rsidR="0058382B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3F69BC70" w14:textId="77777777" w:rsidR="0058382B" w:rsidRPr="004F1132" w:rsidRDefault="0058382B" w:rsidP="0058382B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79A968CF" w14:textId="77777777" w:rsidR="00373BB1" w:rsidRPr="003629D9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3629D9">
        <w:rPr>
          <w:rFonts w:ascii="Arial" w:hAnsi="Arial" w:cs="Arial"/>
          <w:szCs w:val="24"/>
        </w:rPr>
        <w:lastRenderedPageBreak/>
        <w:t>Seçilmiş Gelir-Gider Dengesi Kalemleri (Milyon TL)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3629D9" w:rsidRPr="003629D9" w14:paraId="528CF7D3" w14:textId="77777777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C2B9F7" w14:textId="77777777" w:rsidR="002C3493" w:rsidRPr="003629D9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650C6C" w14:textId="69D13D10" w:rsidR="002C3493" w:rsidRPr="003629D9" w:rsidRDefault="00E65B4A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  <w:r w:rsidR="00D67174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DC20B9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A8751" w14:textId="03504783" w:rsidR="002C3493" w:rsidRPr="003629D9" w:rsidRDefault="00E65B4A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tr-TR"/>
              </w:rPr>
              <w:t>Eylül</w:t>
            </w:r>
            <w:r w:rsidR="00D67174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DC20B9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46007A" w14:textId="77777777" w:rsidR="002C3493" w:rsidRPr="003629D9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E65B4A" w:rsidRPr="003629D9" w14:paraId="3ACB3513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C39A4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C06D8" w14:textId="61D2B38E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74.199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F6424" w14:textId="70D0B156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60.366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15A20" w14:textId="7F102A8E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23</w:t>
            </w:r>
          </w:p>
        </w:tc>
      </w:tr>
      <w:tr w:rsidR="00E65B4A" w:rsidRPr="003629D9" w14:paraId="7A623BFC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FDD44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387D" w14:textId="177CA94E" w:rsidR="00E65B4A" w:rsidRPr="00A93EC1" w:rsidRDefault="00E65B4A" w:rsidP="00DD6570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39.963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C1BDB" w14:textId="24BE29F3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28.172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5718E" w14:textId="1CBCC273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42</w:t>
            </w:r>
          </w:p>
        </w:tc>
      </w:tr>
      <w:tr w:rsidR="00E65B4A" w:rsidRPr="003629D9" w14:paraId="33089A2F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425DD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D57BE" w14:textId="1162C2D4" w:rsidR="00E65B4A" w:rsidRPr="00A93EC1" w:rsidRDefault="00E65B4A" w:rsidP="00091F8C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34.236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BE04D" w14:textId="64A75D3E" w:rsidR="00E65B4A" w:rsidRPr="00A93EC1" w:rsidRDefault="00E65B4A" w:rsidP="00091F8C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32.194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C05D" w14:textId="36F06A8D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6</w:t>
            </w:r>
          </w:p>
        </w:tc>
      </w:tr>
      <w:tr w:rsidR="00E65B4A" w:rsidRPr="003629D9" w14:paraId="0C5CA075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FD437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D2556" w14:textId="37640F5C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11.005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2889" w14:textId="71D02597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9.607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5F6DE" w14:textId="64BB6E93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15</w:t>
            </w:r>
          </w:p>
        </w:tc>
      </w:tr>
      <w:tr w:rsidR="00E65B4A" w:rsidRPr="003629D9" w14:paraId="5ABB4B30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45B14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6FF68" w14:textId="30CBB190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-1.315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11D42" w14:textId="51F40AD1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1.625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C5D11" w14:textId="021FCF2E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-181</w:t>
            </w:r>
          </w:p>
        </w:tc>
      </w:tr>
      <w:tr w:rsidR="00E65B4A" w:rsidRPr="003629D9" w14:paraId="2217B088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04D7F" w14:textId="795D4C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Diğer faal.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9F1E7" w14:textId="73D0881D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4.450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212EC" w14:textId="5EA324AA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3.536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C9FB6" w14:textId="464370C7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26</w:t>
            </w:r>
          </w:p>
        </w:tc>
      </w:tr>
      <w:tr w:rsidR="00E65B4A" w:rsidRPr="003629D9" w14:paraId="12C8E077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C19B8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356D2" w14:textId="52BD8188" w:rsidR="00E65B4A" w:rsidRPr="00A93EC1" w:rsidRDefault="00E65B4A" w:rsidP="00D06BF9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49.467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6B23A" w14:textId="0619B639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47.795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00FBF" w14:textId="276AF5CF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3</w:t>
            </w:r>
          </w:p>
        </w:tc>
      </w:tr>
      <w:tr w:rsidR="00E65B4A" w:rsidRPr="003629D9" w14:paraId="318E3664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7F30C" w14:textId="52613C6E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3E795" w14:textId="31051C0A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23.264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7F8E7" w14:textId="36AD6AF7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20.539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46B1E" w14:textId="6FEB0506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13</w:t>
            </w:r>
          </w:p>
        </w:tc>
      </w:tr>
      <w:tr w:rsidR="00E65B4A" w:rsidRPr="003629D9" w14:paraId="7739A6BC" w14:textId="77777777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961A9" w14:textId="77777777" w:rsidR="00E65B4A" w:rsidRPr="003629D9" w:rsidRDefault="00E65B4A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4673D" w14:textId="1D44939C" w:rsidR="00E65B4A" w:rsidRPr="00A93EC1" w:rsidRDefault="00E65B4A" w:rsidP="00FC3771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16.696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956A3" w14:textId="1F105E1A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17.784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DB65B" w14:textId="04D01556" w:rsidR="00E65B4A" w:rsidRPr="00A93EC1" w:rsidRDefault="00E65B4A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-6</w:t>
            </w:r>
          </w:p>
        </w:tc>
      </w:tr>
      <w:tr w:rsidR="00A93EC1" w:rsidRPr="003629D9" w14:paraId="5728F90B" w14:textId="77777777" w:rsidTr="005B33C6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BE66CA" w14:textId="77777777" w:rsidR="00A93EC1" w:rsidRPr="003629D9" w:rsidRDefault="00A93EC1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7A5430" w14:textId="217AC635" w:rsidR="00A93EC1" w:rsidRPr="00A93EC1" w:rsidRDefault="00A93EC1" w:rsidP="00FC3771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13.207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C7235" w14:textId="2A48F976" w:rsidR="00A93EC1" w:rsidRPr="00A93EC1" w:rsidRDefault="00A93EC1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15.063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61AA5" w14:textId="5317CDE6" w:rsidR="00A93EC1" w:rsidRPr="00A93EC1" w:rsidRDefault="00A93EC1" w:rsidP="002C3493">
            <w:pPr>
              <w:jc w:val="right"/>
              <w:rPr>
                <w:rFonts w:ascii="Arial" w:hAnsi="Arial" w:cs="Arial"/>
                <w:sz w:val="20"/>
              </w:rPr>
            </w:pPr>
            <w:r w:rsidRPr="00E65B4A">
              <w:rPr>
                <w:rFonts w:ascii="Arial" w:hAnsi="Arial" w:cs="Arial"/>
                <w:sz w:val="20"/>
              </w:rPr>
              <w:t>-12</w:t>
            </w:r>
          </w:p>
        </w:tc>
      </w:tr>
    </w:tbl>
    <w:p w14:paraId="2992AE67" w14:textId="77777777" w:rsidR="00234523" w:rsidRPr="004F1132" w:rsidRDefault="00234523" w:rsidP="002D67D5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7B397A3C" w14:textId="57A7B6A3" w:rsidR="002D67D5" w:rsidRPr="005909A2" w:rsidRDefault="00963A10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5909A2">
        <w:rPr>
          <w:rFonts w:ascii="Arial" w:hAnsi="Arial" w:cs="Arial"/>
          <w:b w:val="0"/>
          <w:sz w:val="22"/>
          <w:szCs w:val="22"/>
        </w:rPr>
        <w:t xml:space="preserve">2014 yılı </w:t>
      </w:r>
      <w:r w:rsidR="005909A2" w:rsidRPr="005909A2">
        <w:rPr>
          <w:rFonts w:ascii="Arial" w:hAnsi="Arial" w:cs="Arial"/>
          <w:b w:val="0"/>
          <w:sz w:val="22"/>
          <w:szCs w:val="22"/>
        </w:rPr>
        <w:t>üçüncü çeyreği itibariyle</w:t>
      </w:r>
      <w:r w:rsidR="0052039A" w:rsidRPr="005909A2">
        <w:rPr>
          <w:rFonts w:ascii="Arial" w:hAnsi="Arial" w:cs="Arial"/>
          <w:b w:val="0"/>
          <w:sz w:val="22"/>
          <w:szCs w:val="22"/>
        </w:rPr>
        <w:t>, BIST</w:t>
      </w:r>
      <w:r w:rsidR="002D67D5" w:rsidRPr="005909A2">
        <w:rPr>
          <w:rFonts w:ascii="Arial" w:hAnsi="Arial" w:cs="Arial"/>
          <w:b w:val="0"/>
          <w:sz w:val="22"/>
          <w:szCs w:val="22"/>
        </w:rPr>
        <w:t xml:space="preserve">’de işlem gören mevduat bankalarının faiz gelirleri </w:t>
      </w:r>
      <w:r w:rsidR="006B5546" w:rsidRPr="005909A2">
        <w:rPr>
          <w:rFonts w:ascii="Arial" w:hAnsi="Arial" w:cs="Arial"/>
          <w:b w:val="0"/>
          <w:sz w:val="22"/>
          <w:szCs w:val="22"/>
        </w:rPr>
        <w:t xml:space="preserve">yüzde </w:t>
      </w:r>
      <w:r w:rsidR="005909A2" w:rsidRPr="005909A2">
        <w:rPr>
          <w:rFonts w:ascii="Arial" w:hAnsi="Arial" w:cs="Arial"/>
          <w:b w:val="0"/>
          <w:sz w:val="22"/>
          <w:szCs w:val="22"/>
        </w:rPr>
        <w:t>23’lü</w:t>
      </w:r>
      <w:r w:rsidR="006B5546" w:rsidRPr="005909A2">
        <w:rPr>
          <w:rFonts w:ascii="Arial" w:hAnsi="Arial" w:cs="Arial"/>
          <w:b w:val="0"/>
          <w:sz w:val="22"/>
          <w:szCs w:val="22"/>
        </w:rPr>
        <w:t>k bir artış gösterirken</w:t>
      </w:r>
      <w:r w:rsidR="0052039A" w:rsidRPr="005909A2">
        <w:rPr>
          <w:rFonts w:ascii="Arial" w:hAnsi="Arial" w:cs="Arial"/>
          <w:b w:val="0"/>
          <w:sz w:val="22"/>
          <w:szCs w:val="22"/>
        </w:rPr>
        <w:t>,</w:t>
      </w:r>
      <w:r w:rsidR="00FB37B5" w:rsidRPr="005909A2">
        <w:rPr>
          <w:rFonts w:ascii="Arial" w:hAnsi="Arial" w:cs="Arial"/>
          <w:b w:val="0"/>
          <w:sz w:val="22"/>
          <w:szCs w:val="22"/>
        </w:rPr>
        <w:t xml:space="preserve"> faiz giderleri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 yüzde</w:t>
      </w:r>
      <w:r w:rsidR="005909A2" w:rsidRPr="005909A2">
        <w:rPr>
          <w:rFonts w:ascii="Arial" w:hAnsi="Arial" w:cs="Arial"/>
          <w:b w:val="0"/>
          <w:sz w:val="22"/>
          <w:szCs w:val="22"/>
        </w:rPr>
        <w:t xml:space="preserve"> 42</w:t>
      </w:r>
      <w:r w:rsidR="00BE3BD4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5909A2">
        <w:rPr>
          <w:rFonts w:ascii="Arial" w:hAnsi="Arial" w:cs="Arial"/>
          <w:b w:val="0"/>
          <w:sz w:val="22"/>
          <w:szCs w:val="22"/>
        </w:rPr>
        <w:t>artmıştır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. Net faiz </w:t>
      </w:r>
      <w:r w:rsidR="00BE3BD4" w:rsidRPr="005909A2">
        <w:rPr>
          <w:rFonts w:ascii="Arial" w:hAnsi="Arial" w:cs="Arial"/>
          <w:b w:val="0"/>
          <w:sz w:val="22"/>
          <w:szCs w:val="22"/>
        </w:rPr>
        <w:t>geliri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FB37B5" w:rsidRPr="005909A2">
        <w:rPr>
          <w:rFonts w:ascii="Arial" w:hAnsi="Arial" w:cs="Arial"/>
          <w:b w:val="0"/>
          <w:sz w:val="22"/>
          <w:szCs w:val="22"/>
        </w:rPr>
        <w:t xml:space="preserve">ise </w:t>
      </w:r>
      <w:r w:rsidR="00363946" w:rsidRPr="005909A2">
        <w:rPr>
          <w:rFonts w:ascii="Arial" w:hAnsi="Arial" w:cs="Arial"/>
          <w:b w:val="0"/>
          <w:sz w:val="22"/>
          <w:szCs w:val="22"/>
        </w:rPr>
        <w:t xml:space="preserve">yüzde </w:t>
      </w:r>
      <w:r w:rsidR="005909A2" w:rsidRPr="005909A2">
        <w:rPr>
          <w:rFonts w:ascii="Arial" w:hAnsi="Arial" w:cs="Arial"/>
          <w:b w:val="0"/>
          <w:sz w:val="22"/>
          <w:szCs w:val="22"/>
        </w:rPr>
        <w:t>6</w:t>
      </w:r>
      <w:r w:rsidR="00DC56DB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oranında </w:t>
      </w:r>
      <w:r w:rsidR="005909A2" w:rsidRPr="005909A2">
        <w:rPr>
          <w:rFonts w:ascii="Arial" w:hAnsi="Arial" w:cs="Arial"/>
          <w:b w:val="0"/>
          <w:sz w:val="22"/>
          <w:szCs w:val="22"/>
        </w:rPr>
        <w:t>yükselmiştir.</w:t>
      </w:r>
      <w:r w:rsidR="00A410CF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 </w:t>
      </w:r>
    </w:p>
    <w:p w14:paraId="67134150" w14:textId="77777777" w:rsidR="004440D6" w:rsidRPr="00367936" w:rsidRDefault="004440D6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64A01461" w14:textId="2D570193" w:rsidR="00C46ED2" w:rsidRPr="00A410CF" w:rsidRDefault="009E5EED" w:rsidP="001E3E7D">
      <w:pPr>
        <w:pStyle w:val="Subtitle"/>
        <w:jc w:val="center"/>
        <w:rPr>
          <w:rFonts w:ascii="Arial" w:hAnsi="Arial" w:cs="Arial"/>
          <w:szCs w:val="24"/>
        </w:rPr>
      </w:pPr>
      <w:r w:rsidRPr="00A410CF">
        <w:rPr>
          <w:rFonts w:ascii="Arial" w:hAnsi="Arial" w:cs="Arial"/>
          <w:szCs w:val="24"/>
        </w:rPr>
        <w:t>Net Kar (milyon TL)  ve</w:t>
      </w:r>
      <w:r w:rsidR="00ED3956">
        <w:rPr>
          <w:rFonts w:ascii="Arial" w:hAnsi="Arial" w:cs="Arial"/>
          <w:szCs w:val="24"/>
        </w:rPr>
        <w:t xml:space="preserve"> Ortalama</w:t>
      </w:r>
      <w:r w:rsidRPr="00A410CF">
        <w:rPr>
          <w:rFonts w:ascii="Arial" w:hAnsi="Arial" w:cs="Arial"/>
          <w:szCs w:val="24"/>
        </w:rPr>
        <w:t xml:space="preserve"> </w:t>
      </w:r>
      <w:r w:rsidR="00C54487" w:rsidRPr="00A410CF">
        <w:rPr>
          <w:rFonts w:ascii="Arial" w:hAnsi="Arial" w:cs="Arial"/>
          <w:szCs w:val="24"/>
        </w:rPr>
        <w:t>Özkaynak Karlılığı (y</w:t>
      </w:r>
      <w:r w:rsidR="00373BB1" w:rsidRPr="00A410CF">
        <w:rPr>
          <w:rFonts w:ascii="Arial" w:hAnsi="Arial" w:cs="Arial"/>
          <w:szCs w:val="24"/>
        </w:rPr>
        <w:t>ıllık</w:t>
      </w:r>
      <w:r w:rsidR="00360C27" w:rsidRPr="00A410CF">
        <w:rPr>
          <w:rFonts w:ascii="Arial" w:hAnsi="Arial" w:cs="Arial"/>
          <w:szCs w:val="24"/>
        </w:rPr>
        <w:t>, yüzde</w:t>
      </w:r>
      <w:r w:rsidR="00373BB1" w:rsidRPr="00A410CF">
        <w:rPr>
          <w:rFonts w:ascii="Arial" w:hAnsi="Arial" w:cs="Arial"/>
          <w:szCs w:val="24"/>
        </w:rPr>
        <w:t>)</w:t>
      </w:r>
      <w:r w:rsidRPr="00A410CF">
        <w:rPr>
          <w:rFonts w:ascii="Arial" w:hAnsi="Arial" w:cs="Arial"/>
          <w:szCs w:val="24"/>
        </w:rPr>
        <w:t xml:space="preserve"> </w:t>
      </w:r>
      <w:r w:rsidR="00C54487" w:rsidRPr="00A410CF">
        <w:rPr>
          <w:rFonts w:ascii="Arial" w:hAnsi="Arial" w:cs="Arial"/>
          <w:szCs w:val="24"/>
        </w:rPr>
        <w:t xml:space="preserve"> </w:t>
      </w:r>
    </w:p>
    <w:p w14:paraId="6C3AC44C" w14:textId="61267A48"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14:paraId="25898981" w14:textId="5627DED1" w:rsidR="00C46ED2" w:rsidRPr="00367936" w:rsidRDefault="00A93EC1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  <w:r>
        <w:rPr>
          <w:noProof/>
          <w:lang w:eastAsia="tr-TR"/>
        </w:rPr>
        <w:drawing>
          <wp:inline distT="0" distB="0" distL="0" distR="0" wp14:anchorId="529BE984" wp14:editId="3731F956">
            <wp:extent cx="4667250" cy="2276475"/>
            <wp:effectExtent l="0" t="0" r="19050" b="95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6CD0F0" w14:textId="77777777"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14:paraId="71984E11" w14:textId="77777777"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14:paraId="7C700A93" w14:textId="0B96386C" w:rsidR="002D67D5" w:rsidRPr="005909A2" w:rsidRDefault="00A410CF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5909A2">
        <w:rPr>
          <w:rFonts w:ascii="Arial" w:hAnsi="Arial" w:cs="Arial"/>
          <w:b w:val="0"/>
          <w:sz w:val="22"/>
          <w:szCs w:val="22"/>
        </w:rPr>
        <w:t xml:space="preserve">2014 yılının ilk üç </w:t>
      </w:r>
      <w:r w:rsidR="005909A2" w:rsidRPr="005909A2">
        <w:rPr>
          <w:rFonts w:ascii="Arial" w:hAnsi="Arial" w:cs="Arial"/>
          <w:b w:val="0"/>
          <w:sz w:val="22"/>
          <w:szCs w:val="22"/>
        </w:rPr>
        <w:t>çeyreklik</w:t>
      </w:r>
      <w:r w:rsidRPr="005909A2">
        <w:rPr>
          <w:rFonts w:ascii="Arial" w:hAnsi="Arial" w:cs="Arial"/>
          <w:b w:val="0"/>
          <w:sz w:val="22"/>
          <w:szCs w:val="22"/>
        </w:rPr>
        <w:t xml:space="preserve"> bölümünde net dönem karı bir önceki yılın aynı dönemine göre yüzde </w:t>
      </w:r>
      <w:r w:rsidR="005909A2" w:rsidRPr="005909A2">
        <w:rPr>
          <w:rFonts w:ascii="Arial" w:hAnsi="Arial" w:cs="Arial"/>
          <w:b w:val="0"/>
          <w:sz w:val="22"/>
          <w:szCs w:val="22"/>
        </w:rPr>
        <w:t>12</w:t>
      </w:r>
      <w:r w:rsidRPr="005909A2">
        <w:rPr>
          <w:rFonts w:ascii="Arial" w:hAnsi="Arial" w:cs="Arial"/>
          <w:b w:val="0"/>
          <w:sz w:val="22"/>
          <w:szCs w:val="22"/>
        </w:rPr>
        <w:t xml:space="preserve"> gerilemiş ve </w:t>
      </w:r>
      <w:r w:rsidR="005909A2" w:rsidRPr="005909A2">
        <w:rPr>
          <w:rFonts w:ascii="Arial" w:hAnsi="Arial" w:cs="Arial"/>
          <w:b w:val="0"/>
          <w:sz w:val="22"/>
          <w:szCs w:val="22"/>
        </w:rPr>
        <w:t>15</w:t>
      </w:r>
      <w:r w:rsidRPr="005909A2">
        <w:rPr>
          <w:rFonts w:ascii="Arial" w:hAnsi="Arial" w:cs="Arial"/>
          <w:b w:val="0"/>
          <w:sz w:val="22"/>
          <w:szCs w:val="22"/>
        </w:rPr>
        <w:t xml:space="preserve">,1 milyar </w:t>
      </w:r>
      <w:r w:rsidR="00BE3BD4" w:rsidRPr="005909A2">
        <w:rPr>
          <w:rFonts w:ascii="Arial" w:hAnsi="Arial" w:cs="Arial"/>
          <w:b w:val="0"/>
          <w:sz w:val="22"/>
          <w:szCs w:val="22"/>
        </w:rPr>
        <w:t>TL</w:t>
      </w:r>
      <w:r w:rsidR="00BF0D5E" w:rsidRPr="005909A2">
        <w:rPr>
          <w:rFonts w:ascii="Arial" w:hAnsi="Arial" w:cs="Arial"/>
          <w:b w:val="0"/>
          <w:sz w:val="22"/>
          <w:szCs w:val="22"/>
        </w:rPr>
        <w:t xml:space="preserve"> olmuştur. </w:t>
      </w:r>
      <w:r w:rsidR="005909A2" w:rsidRPr="005909A2">
        <w:rPr>
          <w:rFonts w:ascii="Arial" w:hAnsi="Arial" w:cs="Arial"/>
          <w:b w:val="0"/>
          <w:sz w:val="22"/>
          <w:szCs w:val="22"/>
        </w:rPr>
        <w:t>Eylül</w:t>
      </w:r>
      <w:r w:rsidRPr="005909A2">
        <w:rPr>
          <w:rFonts w:ascii="Arial" w:hAnsi="Arial" w:cs="Arial"/>
          <w:b w:val="0"/>
          <w:sz w:val="22"/>
          <w:szCs w:val="22"/>
        </w:rPr>
        <w:t xml:space="preserve"> 2014’de </w:t>
      </w:r>
      <w:r w:rsidR="005F5390" w:rsidRPr="005909A2">
        <w:rPr>
          <w:rFonts w:ascii="Arial" w:hAnsi="Arial" w:cs="Arial"/>
          <w:b w:val="0"/>
          <w:sz w:val="22"/>
          <w:szCs w:val="22"/>
        </w:rPr>
        <w:t xml:space="preserve">yıllık </w:t>
      </w:r>
      <w:r w:rsidR="002D67D5" w:rsidRPr="005909A2">
        <w:rPr>
          <w:rFonts w:ascii="Arial" w:hAnsi="Arial" w:cs="Arial"/>
          <w:b w:val="0"/>
          <w:sz w:val="22"/>
          <w:szCs w:val="22"/>
        </w:rPr>
        <w:t xml:space="preserve">bazda </w:t>
      </w:r>
      <w:r w:rsidR="005909A2" w:rsidRPr="005909A2">
        <w:rPr>
          <w:rFonts w:ascii="Arial" w:hAnsi="Arial" w:cs="Arial"/>
          <w:b w:val="0"/>
          <w:sz w:val="22"/>
          <w:szCs w:val="22"/>
        </w:rPr>
        <w:t xml:space="preserve">ortalama </w:t>
      </w:r>
      <w:r w:rsidR="002D67D5" w:rsidRPr="005909A2">
        <w:rPr>
          <w:rFonts w:ascii="Arial" w:hAnsi="Arial" w:cs="Arial"/>
          <w:b w:val="0"/>
          <w:sz w:val="22"/>
          <w:szCs w:val="22"/>
        </w:rPr>
        <w:t>özkaynak karlılığı</w:t>
      </w:r>
      <w:r w:rsidR="005909A2" w:rsidRPr="005909A2">
        <w:rPr>
          <w:rFonts w:ascii="Arial" w:hAnsi="Arial" w:cs="Arial"/>
          <w:b w:val="0"/>
          <w:sz w:val="22"/>
          <w:szCs w:val="22"/>
        </w:rPr>
        <w:t xml:space="preserve"> bir önceki çeyreğe göre 0,3 puan; bir önceki yılın aynı dönemine göre ise 4 puan gerileyerek</w:t>
      </w:r>
      <w:r w:rsidR="005F5390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F40DE4" w:rsidRPr="005909A2">
        <w:rPr>
          <w:rFonts w:ascii="Arial" w:hAnsi="Arial" w:cs="Arial"/>
          <w:b w:val="0"/>
          <w:sz w:val="22"/>
          <w:szCs w:val="22"/>
        </w:rPr>
        <w:t xml:space="preserve">yüzde </w:t>
      </w:r>
      <w:r w:rsidRPr="005909A2">
        <w:rPr>
          <w:rFonts w:ascii="Arial" w:hAnsi="Arial" w:cs="Arial"/>
          <w:b w:val="0"/>
          <w:sz w:val="22"/>
          <w:szCs w:val="22"/>
        </w:rPr>
        <w:t>12,</w:t>
      </w:r>
      <w:r w:rsidR="005909A2" w:rsidRPr="005909A2">
        <w:rPr>
          <w:rFonts w:ascii="Arial" w:hAnsi="Arial" w:cs="Arial"/>
          <w:b w:val="0"/>
          <w:sz w:val="22"/>
          <w:szCs w:val="22"/>
        </w:rPr>
        <w:t>2</w:t>
      </w:r>
      <w:r w:rsidR="00B15CA2" w:rsidRPr="005909A2">
        <w:rPr>
          <w:rFonts w:ascii="Arial" w:hAnsi="Arial" w:cs="Arial"/>
          <w:b w:val="0"/>
          <w:sz w:val="22"/>
          <w:szCs w:val="22"/>
        </w:rPr>
        <w:t xml:space="preserve"> </w:t>
      </w:r>
      <w:r w:rsidR="005F5390" w:rsidRPr="005909A2">
        <w:rPr>
          <w:rFonts w:ascii="Arial" w:hAnsi="Arial" w:cs="Arial"/>
          <w:b w:val="0"/>
          <w:sz w:val="22"/>
          <w:szCs w:val="22"/>
        </w:rPr>
        <w:t>seviyesinde gerçekleşmiştir.</w:t>
      </w:r>
    </w:p>
    <w:p w14:paraId="34827AC0" w14:textId="77777777" w:rsidR="005E3060" w:rsidRPr="004F1132" w:rsidRDefault="005E3060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14:paraId="0A38FCF5" w14:textId="095D3419" w:rsidR="00544DFA" w:rsidRPr="00DE0410" w:rsidRDefault="00D34B4A" w:rsidP="00544DFA">
      <w:pPr>
        <w:pStyle w:val="Subtitle"/>
        <w:rPr>
          <w:rFonts w:ascii="Arial" w:hAnsi="Arial" w:cs="Arial"/>
          <w:szCs w:val="24"/>
        </w:rPr>
      </w:pPr>
      <w:r w:rsidRPr="00DE0410">
        <w:rPr>
          <w:rFonts w:ascii="Arial" w:hAnsi="Arial" w:cs="Arial"/>
          <w:szCs w:val="24"/>
        </w:rPr>
        <w:t>3</w:t>
      </w:r>
      <w:r w:rsidR="00DD41D0" w:rsidRPr="00DE0410">
        <w:rPr>
          <w:rFonts w:ascii="Arial" w:hAnsi="Arial" w:cs="Arial"/>
          <w:szCs w:val="24"/>
        </w:rPr>
        <w:t>. BİST</w:t>
      </w:r>
      <w:r w:rsidR="00544DFA" w:rsidRPr="00DE0410">
        <w:rPr>
          <w:rFonts w:ascii="Arial" w:hAnsi="Arial" w:cs="Arial"/>
          <w:szCs w:val="24"/>
        </w:rPr>
        <w:t>’de İşle</w:t>
      </w:r>
      <w:r w:rsidR="00DD41D0" w:rsidRPr="00DE0410">
        <w:rPr>
          <w:rFonts w:ascii="Arial" w:hAnsi="Arial" w:cs="Arial"/>
          <w:szCs w:val="24"/>
        </w:rPr>
        <w:t xml:space="preserve">m Gören Mevduat Bankalarının </w:t>
      </w:r>
      <w:r w:rsidR="00544DFA" w:rsidRPr="00DE0410">
        <w:rPr>
          <w:rFonts w:ascii="Arial" w:hAnsi="Arial" w:cs="Arial"/>
          <w:szCs w:val="24"/>
        </w:rPr>
        <w:t>B</w:t>
      </w:r>
      <w:r w:rsidR="00DD41D0" w:rsidRPr="00DE0410">
        <w:rPr>
          <w:rFonts w:ascii="Arial" w:hAnsi="Arial" w:cs="Arial"/>
          <w:szCs w:val="24"/>
        </w:rPr>
        <w:t>İST</w:t>
      </w:r>
      <w:r w:rsidR="00544DFA" w:rsidRPr="00DE0410">
        <w:rPr>
          <w:rFonts w:ascii="Arial" w:hAnsi="Arial" w:cs="Arial"/>
          <w:szCs w:val="24"/>
        </w:rPr>
        <w:t xml:space="preserve"> İçindeki Yeri</w:t>
      </w:r>
    </w:p>
    <w:p w14:paraId="474CF894" w14:textId="77777777" w:rsidR="00544DFA" w:rsidRPr="00DE0410" w:rsidRDefault="00544DFA" w:rsidP="00544DFA">
      <w:pPr>
        <w:jc w:val="both"/>
        <w:rPr>
          <w:rFonts w:ascii="Arial" w:hAnsi="Arial" w:cs="Arial"/>
          <w:b/>
          <w:sz w:val="22"/>
          <w:szCs w:val="22"/>
        </w:rPr>
      </w:pPr>
    </w:p>
    <w:p w14:paraId="6EE91ABB" w14:textId="55FB5B85" w:rsidR="004723E4" w:rsidRPr="00DE0410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DE0410">
        <w:rPr>
          <w:rFonts w:ascii="Arial" w:hAnsi="Arial" w:cs="Arial"/>
          <w:b w:val="0"/>
          <w:sz w:val="22"/>
          <w:szCs w:val="22"/>
        </w:rPr>
        <w:t>BIST</w:t>
      </w:r>
      <w:r w:rsidR="004723E4" w:rsidRPr="00DE0410">
        <w:rPr>
          <w:rFonts w:ascii="Arial" w:hAnsi="Arial" w:cs="Arial"/>
          <w:b w:val="0"/>
          <w:sz w:val="22"/>
          <w:szCs w:val="22"/>
        </w:rPr>
        <w:t xml:space="preserve">’de işlem gören hisse senetlerinin toplam piyasa değeri, </w:t>
      </w:r>
      <w:r w:rsidR="005909A2" w:rsidRPr="00DE0410">
        <w:rPr>
          <w:rFonts w:ascii="Arial" w:hAnsi="Arial" w:cs="Arial"/>
          <w:b w:val="0"/>
          <w:sz w:val="22"/>
          <w:szCs w:val="22"/>
        </w:rPr>
        <w:t>Eylül</w:t>
      </w:r>
      <w:r w:rsidR="00D04B07" w:rsidRPr="00DE0410">
        <w:rPr>
          <w:rFonts w:ascii="Arial" w:hAnsi="Arial" w:cs="Arial"/>
          <w:b w:val="0"/>
          <w:sz w:val="22"/>
          <w:szCs w:val="22"/>
        </w:rPr>
        <w:t xml:space="preserve"> 2014 </w:t>
      </w:r>
      <w:r w:rsidR="00CA550F" w:rsidRPr="00DE0410">
        <w:rPr>
          <w:rFonts w:ascii="Arial" w:hAnsi="Arial" w:cs="Arial"/>
          <w:b w:val="0"/>
          <w:sz w:val="22"/>
          <w:szCs w:val="22"/>
        </w:rPr>
        <w:t xml:space="preserve">itibariyle </w:t>
      </w:r>
      <w:r w:rsidR="00D04B07" w:rsidRPr="00DE0410">
        <w:rPr>
          <w:rFonts w:ascii="Arial" w:hAnsi="Arial" w:cs="Arial"/>
          <w:b w:val="0"/>
          <w:sz w:val="22"/>
          <w:szCs w:val="22"/>
        </w:rPr>
        <w:t>50</w:t>
      </w:r>
      <w:r w:rsidR="00DE0410" w:rsidRPr="00DE0410">
        <w:rPr>
          <w:rFonts w:ascii="Arial" w:hAnsi="Arial" w:cs="Arial"/>
          <w:b w:val="0"/>
          <w:sz w:val="22"/>
          <w:szCs w:val="22"/>
        </w:rPr>
        <w:t>1</w:t>
      </w:r>
      <w:r w:rsidR="00D04B07" w:rsidRPr="00DE0410">
        <w:rPr>
          <w:rFonts w:ascii="Arial" w:hAnsi="Arial" w:cs="Arial"/>
          <w:b w:val="0"/>
          <w:sz w:val="22"/>
          <w:szCs w:val="22"/>
        </w:rPr>
        <w:t xml:space="preserve"> </w:t>
      </w:r>
      <w:r w:rsidR="004723E4" w:rsidRPr="00DE0410">
        <w:rPr>
          <w:rFonts w:ascii="Arial" w:hAnsi="Arial" w:cs="Arial"/>
          <w:b w:val="0"/>
          <w:sz w:val="22"/>
          <w:szCs w:val="22"/>
        </w:rPr>
        <w:t>milyar</w:t>
      </w:r>
      <w:r w:rsidRPr="00DE0410">
        <w:rPr>
          <w:rFonts w:ascii="Arial" w:hAnsi="Arial" w:cs="Arial"/>
          <w:b w:val="0"/>
          <w:sz w:val="22"/>
          <w:szCs w:val="22"/>
        </w:rPr>
        <w:t xml:space="preserve"> TL </w:t>
      </w:r>
      <w:r w:rsidR="00DE0410" w:rsidRPr="00DE0410">
        <w:rPr>
          <w:rFonts w:ascii="Arial" w:hAnsi="Arial" w:cs="Arial"/>
          <w:b w:val="0"/>
          <w:sz w:val="22"/>
          <w:szCs w:val="22"/>
        </w:rPr>
        <w:t xml:space="preserve">(220 milyar USD) </w:t>
      </w:r>
      <w:r w:rsidRPr="00DE0410">
        <w:rPr>
          <w:rFonts w:ascii="Arial" w:hAnsi="Arial" w:cs="Arial"/>
          <w:b w:val="0"/>
          <w:sz w:val="22"/>
          <w:szCs w:val="22"/>
        </w:rPr>
        <w:t>olarak gerçekleşmiştir. BİST</w:t>
      </w:r>
      <w:r w:rsidR="004723E4" w:rsidRPr="00DE0410">
        <w:rPr>
          <w:rFonts w:ascii="Arial" w:hAnsi="Arial" w:cs="Arial"/>
          <w:b w:val="0"/>
          <w:sz w:val="22"/>
          <w:szCs w:val="22"/>
        </w:rPr>
        <w:t xml:space="preserve">’de işlem gören </w:t>
      </w:r>
      <w:r w:rsidR="00D04B07" w:rsidRPr="00DE0410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DE0410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DE0410">
        <w:rPr>
          <w:rFonts w:ascii="Arial" w:hAnsi="Arial" w:cs="Arial"/>
          <w:b w:val="0"/>
          <w:sz w:val="22"/>
          <w:szCs w:val="22"/>
        </w:rPr>
        <w:t>1</w:t>
      </w:r>
      <w:r w:rsidR="00DE0410" w:rsidRPr="00DE0410">
        <w:rPr>
          <w:rFonts w:ascii="Arial" w:hAnsi="Arial" w:cs="Arial"/>
          <w:b w:val="0"/>
          <w:sz w:val="22"/>
          <w:szCs w:val="22"/>
        </w:rPr>
        <w:t>62</w:t>
      </w:r>
      <w:r w:rsidR="004723E4" w:rsidRPr="00DE0410">
        <w:rPr>
          <w:rFonts w:ascii="Arial" w:hAnsi="Arial" w:cs="Arial"/>
          <w:b w:val="0"/>
          <w:sz w:val="22"/>
          <w:szCs w:val="22"/>
        </w:rPr>
        <w:t xml:space="preserve"> milyar TL </w:t>
      </w:r>
      <w:r w:rsidR="00DE0410" w:rsidRPr="00DE0410">
        <w:rPr>
          <w:rFonts w:ascii="Arial" w:hAnsi="Arial" w:cs="Arial"/>
          <w:b w:val="0"/>
          <w:sz w:val="22"/>
          <w:szCs w:val="22"/>
        </w:rPr>
        <w:t xml:space="preserve">(72 milyar USD) </w:t>
      </w:r>
      <w:r w:rsidR="004723E4" w:rsidRPr="00DE0410">
        <w:rPr>
          <w:rFonts w:ascii="Arial" w:hAnsi="Arial" w:cs="Arial"/>
          <w:b w:val="0"/>
          <w:sz w:val="22"/>
          <w:szCs w:val="22"/>
        </w:rPr>
        <w:t>ile</w:t>
      </w:r>
      <w:r w:rsidR="00B742C3" w:rsidRPr="00DE0410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DE0410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D04B07" w:rsidRPr="00DE0410">
        <w:rPr>
          <w:rFonts w:ascii="Arial" w:hAnsi="Arial" w:cs="Arial"/>
          <w:b w:val="0"/>
          <w:sz w:val="22"/>
          <w:szCs w:val="22"/>
        </w:rPr>
        <w:t>3</w:t>
      </w:r>
      <w:r w:rsidR="00DE0410" w:rsidRPr="00DE0410">
        <w:rPr>
          <w:rFonts w:ascii="Arial" w:hAnsi="Arial" w:cs="Arial"/>
          <w:b w:val="0"/>
          <w:sz w:val="22"/>
          <w:szCs w:val="22"/>
        </w:rPr>
        <w:t>2’sini</w:t>
      </w:r>
      <w:r w:rsidR="004723E4" w:rsidRPr="00DE0410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1"/>
    <w:bookmarkEnd w:id="2"/>
    <w:p w14:paraId="22F7E9C2" w14:textId="101E1A75" w:rsidR="00BF0D5E" w:rsidRPr="00367936" w:rsidRDefault="00BF0D5E" w:rsidP="00544DFA">
      <w:pPr>
        <w:pStyle w:val="BodyText"/>
        <w:rPr>
          <w:rFonts w:ascii="Arial" w:hAnsi="Arial" w:cs="Arial"/>
          <w:color w:val="FF0000"/>
          <w:sz w:val="22"/>
          <w:szCs w:val="22"/>
        </w:rPr>
      </w:pPr>
    </w:p>
    <w:sectPr w:rsidR="00BF0D5E" w:rsidRPr="00367936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BB892" w14:textId="77777777" w:rsidR="003A377F" w:rsidRDefault="003A377F">
      <w:r>
        <w:separator/>
      </w:r>
    </w:p>
  </w:endnote>
  <w:endnote w:type="continuationSeparator" w:id="0">
    <w:p w14:paraId="0E204BF8" w14:textId="77777777" w:rsidR="003A377F" w:rsidRDefault="003A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EB8D5" w14:textId="77777777"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5BCEA" w14:textId="77777777"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04D98" w14:textId="04AB78EF"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5909A2">
      <w:rPr>
        <w:rFonts w:ascii="Arial" w:hAnsi="Arial" w:cs="Arial"/>
        <w:sz w:val="18"/>
      </w:rPr>
      <w:t>Eylül</w:t>
    </w:r>
    <w:r w:rsidR="00963A10">
      <w:rPr>
        <w:rFonts w:ascii="Arial" w:hAnsi="Arial" w:cs="Arial"/>
        <w:sz w:val="18"/>
      </w:rPr>
      <w:t xml:space="preserve"> 2014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330C22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E640D" w14:textId="77777777" w:rsidR="00CE6326" w:rsidRDefault="00CE632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FFF63" w14:textId="77777777" w:rsidR="003A377F" w:rsidRDefault="003A377F">
      <w:r>
        <w:separator/>
      </w:r>
    </w:p>
  </w:footnote>
  <w:footnote w:type="continuationSeparator" w:id="0">
    <w:p w14:paraId="7191EF96" w14:textId="77777777" w:rsidR="003A377F" w:rsidRDefault="003A377F">
      <w:r>
        <w:continuationSeparator/>
      </w:r>
    </w:p>
  </w:footnote>
  <w:footnote w:id="1">
    <w:p w14:paraId="6F4D51A5" w14:textId="409CE125"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T.A.Ş., Alternatifbank A.Ş., Denizbank A.Ş., Finans Bank A.Ş., Şekerbank T.A.Ş., Tekstil Bankası A.Ş., Türk Ekonomi Bankası A.Ş.,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A.Ş.’yi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C07C1" w14:textId="2F1D952A"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F0E80" w14:textId="5A4795D0"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7542"/>
    <w:rsid w:val="0003146D"/>
    <w:rsid w:val="000337BE"/>
    <w:rsid w:val="000344BC"/>
    <w:rsid w:val="0004336A"/>
    <w:rsid w:val="00050A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5048"/>
    <w:rsid w:val="000961C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57E4"/>
    <w:rsid w:val="001068D7"/>
    <w:rsid w:val="00107091"/>
    <w:rsid w:val="00107DCC"/>
    <w:rsid w:val="00110161"/>
    <w:rsid w:val="0011151D"/>
    <w:rsid w:val="00112B10"/>
    <w:rsid w:val="00112B9E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7C05"/>
    <w:rsid w:val="00140928"/>
    <w:rsid w:val="00142011"/>
    <w:rsid w:val="00143457"/>
    <w:rsid w:val="00144589"/>
    <w:rsid w:val="00146BE4"/>
    <w:rsid w:val="001515D7"/>
    <w:rsid w:val="00154624"/>
    <w:rsid w:val="0015577B"/>
    <w:rsid w:val="00161692"/>
    <w:rsid w:val="00163489"/>
    <w:rsid w:val="00167BF5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1B4B"/>
    <w:rsid w:val="001E3E7D"/>
    <w:rsid w:val="001E4CF9"/>
    <w:rsid w:val="001E5DA7"/>
    <w:rsid w:val="001E6811"/>
    <w:rsid w:val="001F3908"/>
    <w:rsid w:val="001F7734"/>
    <w:rsid w:val="001F7FCE"/>
    <w:rsid w:val="002004E8"/>
    <w:rsid w:val="0020749D"/>
    <w:rsid w:val="0021271F"/>
    <w:rsid w:val="002159C0"/>
    <w:rsid w:val="002170BE"/>
    <w:rsid w:val="00217C37"/>
    <w:rsid w:val="00220627"/>
    <w:rsid w:val="002230B9"/>
    <w:rsid w:val="002248F2"/>
    <w:rsid w:val="00225B06"/>
    <w:rsid w:val="00225EB5"/>
    <w:rsid w:val="00227388"/>
    <w:rsid w:val="00234523"/>
    <w:rsid w:val="00234AAA"/>
    <w:rsid w:val="00237A14"/>
    <w:rsid w:val="0024036D"/>
    <w:rsid w:val="00240C25"/>
    <w:rsid w:val="00240E2F"/>
    <w:rsid w:val="00242C53"/>
    <w:rsid w:val="00245CC4"/>
    <w:rsid w:val="00246E5F"/>
    <w:rsid w:val="00247827"/>
    <w:rsid w:val="00250E81"/>
    <w:rsid w:val="00252DBF"/>
    <w:rsid w:val="002621F6"/>
    <w:rsid w:val="002625DF"/>
    <w:rsid w:val="00267D7A"/>
    <w:rsid w:val="002702F1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0C22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377F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3493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B19F7"/>
    <w:rsid w:val="004B1E2A"/>
    <w:rsid w:val="004B3375"/>
    <w:rsid w:val="004B3FB7"/>
    <w:rsid w:val="004B4D0D"/>
    <w:rsid w:val="004B547B"/>
    <w:rsid w:val="004B6E31"/>
    <w:rsid w:val="004C1C2D"/>
    <w:rsid w:val="004C374A"/>
    <w:rsid w:val="004C419B"/>
    <w:rsid w:val="004D17D7"/>
    <w:rsid w:val="004D5A79"/>
    <w:rsid w:val="004E0368"/>
    <w:rsid w:val="004E1FDB"/>
    <w:rsid w:val="004E3BB6"/>
    <w:rsid w:val="004F1132"/>
    <w:rsid w:val="004F4F22"/>
    <w:rsid w:val="004F7254"/>
    <w:rsid w:val="005010CA"/>
    <w:rsid w:val="00511F4E"/>
    <w:rsid w:val="00514D84"/>
    <w:rsid w:val="00517505"/>
    <w:rsid w:val="0052039A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216D"/>
    <w:rsid w:val="005629AB"/>
    <w:rsid w:val="0056307D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82B"/>
    <w:rsid w:val="005839EF"/>
    <w:rsid w:val="00583A9A"/>
    <w:rsid w:val="00584765"/>
    <w:rsid w:val="00587DD8"/>
    <w:rsid w:val="005909A2"/>
    <w:rsid w:val="005927DF"/>
    <w:rsid w:val="0059316B"/>
    <w:rsid w:val="00593CD0"/>
    <w:rsid w:val="005A4254"/>
    <w:rsid w:val="005A7FAF"/>
    <w:rsid w:val="005B14F4"/>
    <w:rsid w:val="005B1D48"/>
    <w:rsid w:val="005B2EDB"/>
    <w:rsid w:val="005B54D6"/>
    <w:rsid w:val="005B5E79"/>
    <w:rsid w:val="005B61D6"/>
    <w:rsid w:val="005C0876"/>
    <w:rsid w:val="005C0915"/>
    <w:rsid w:val="005C1C6E"/>
    <w:rsid w:val="005C39DE"/>
    <w:rsid w:val="005D351C"/>
    <w:rsid w:val="005D427A"/>
    <w:rsid w:val="005D5F86"/>
    <w:rsid w:val="005E0EB8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CE2"/>
    <w:rsid w:val="00613C90"/>
    <w:rsid w:val="0061706E"/>
    <w:rsid w:val="00622936"/>
    <w:rsid w:val="00622C1C"/>
    <w:rsid w:val="006240D7"/>
    <w:rsid w:val="00624300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7A07"/>
    <w:rsid w:val="006B0957"/>
    <w:rsid w:val="006B4CC7"/>
    <w:rsid w:val="006B5546"/>
    <w:rsid w:val="006B789C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4768"/>
    <w:rsid w:val="0072482D"/>
    <w:rsid w:val="0072503B"/>
    <w:rsid w:val="007257BA"/>
    <w:rsid w:val="0072627E"/>
    <w:rsid w:val="0072685A"/>
    <w:rsid w:val="00726C63"/>
    <w:rsid w:val="007277F2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7819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5D97"/>
    <w:rsid w:val="008610C7"/>
    <w:rsid w:val="00867B10"/>
    <w:rsid w:val="0087259E"/>
    <w:rsid w:val="00872982"/>
    <w:rsid w:val="00874202"/>
    <w:rsid w:val="00877572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52C9"/>
    <w:rsid w:val="009863CA"/>
    <w:rsid w:val="009905A9"/>
    <w:rsid w:val="0099182F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3EC1"/>
    <w:rsid w:val="00A94D4B"/>
    <w:rsid w:val="00A96553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1B45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E24"/>
    <w:rsid w:val="00B4452B"/>
    <w:rsid w:val="00B53222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5D10"/>
    <w:rsid w:val="00B867F7"/>
    <w:rsid w:val="00B911BA"/>
    <w:rsid w:val="00B92854"/>
    <w:rsid w:val="00B931E6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3974"/>
    <w:rsid w:val="00C2508B"/>
    <w:rsid w:val="00C25D29"/>
    <w:rsid w:val="00C261E5"/>
    <w:rsid w:val="00C270D2"/>
    <w:rsid w:val="00C3577A"/>
    <w:rsid w:val="00C379B4"/>
    <w:rsid w:val="00C4175C"/>
    <w:rsid w:val="00C41FF2"/>
    <w:rsid w:val="00C45413"/>
    <w:rsid w:val="00C46ED2"/>
    <w:rsid w:val="00C54487"/>
    <w:rsid w:val="00C54AD7"/>
    <w:rsid w:val="00C56587"/>
    <w:rsid w:val="00C56A04"/>
    <w:rsid w:val="00C577D3"/>
    <w:rsid w:val="00C61B4B"/>
    <w:rsid w:val="00C61FB1"/>
    <w:rsid w:val="00C65B99"/>
    <w:rsid w:val="00C71218"/>
    <w:rsid w:val="00C71B5D"/>
    <w:rsid w:val="00C72888"/>
    <w:rsid w:val="00C733A1"/>
    <w:rsid w:val="00C80B1F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6BF9"/>
    <w:rsid w:val="00D107E7"/>
    <w:rsid w:val="00D10A14"/>
    <w:rsid w:val="00D11ABF"/>
    <w:rsid w:val="00D13E15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7174"/>
    <w:rsid w:val="00D7259F"/>
    <w:rsid w:val="00D734D4"/>
    <w:rsid w:val="00D740D5"/>
    <w:rsid w:val="00D74A3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0410"/>
    <w:rsid w:val="00DE2198"/>
    <w:rsid w:val="00DF162A"/>
    <w:rsid w:val="00DF1951"/>
    <w:rsid w:val="00DF1B81"/>
    <w:rsid w:val="00DF263C"/>
    <w:rsid w:val="00E11872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5B4A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B034E"/>
    <w:rsid w:val="00EB3B9B"/>
    <w:rsid w:val="00EB7CA0"/>
    <w:rsid w:val="00EC16EE"/>
    <w:rsid w:val="00EC68BF"/>
    <w:rsid w:val="00EC75A1"/>
    <w:rsid w:val="00ED1D6F"/>
    <w:rsid w:val="00ED3956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67BC"/>
    <w:rsid w:val="00F126EF"/>
    <w:rsid w:val="00F12A0D"/>
    <w:rsid w:val="00F1364A"/>
    <w:rsid w:val="00F16D4F"/>
    <w:rsid w:val="00F17128"/>
    <w:rsid w:val="00F233FE"/>
    <w:rsid w:val="00F254B1"/>
    <w:rsid w:val="00F313B2"/>
    <w:rsid w:val="00F33313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4EBA1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müsvedde!$G$38</c:f>
              <c:strCache>
                <c:ptCount val="1"/>
                <c:pt idx="0">
                  <c:v>Net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strRef>
              <c:f>müsvedde!$F$63:$F$78</c:f>
              <c:strCache>
                <c:ptCount val="16"/>
                <c:pt idx="0">
                  <c:v>10/12</c:v>
                </c:pt>
                <c:pt idx="1">
                  <c:v>11/3</c:v>
                </c:pt>
                <c:pt idx="2">
                  <c:v>11/6</c:v>
                </c:pt>
                <c:pt idx="3">
                  <c:v>11/9</c:v>
                </c:pt>
                <c:pt idx="4">
                  <c:v>11/12</c:v>
                </c:pt>
                <c:pt idx="5">
                  <c:v>12/3</c:v>
                </c:pt>
                <c:pt idx="6">
                  <c:v>12/06</c:v>
                </c:pt>
                <c:pt idx="7">
                  <c:v>12/09</c:v>
                </c:pt>
                <c:pt idx="8">
                  <c:v>12/12</c:v>
                </c:pt>
                <c:pt idx="9">
                  <c:v>13/3</c:v>
                </c:pt>
                <c:pt idx="10">
                  <c:v>13/6</c:v>
                </c:pt>
                <c:pt idx="11">
                  <c:v>13/9</c:v>
                </c:pt>
                <c:pt idx="12">
                  <c:v>13/12</c:v>
                </c:pt>
                <c:pt idx="13">
                  <c:v>14/3</c:v>
                </c:pt>
                <c:pt idx="14">
                  <c:v>14/6</c:v>
                </c:pt>
                <c:pt idx="15">
                  <c:v>14/9</c:v>
                </c:pt>
              </c:strCache>
            </c:strRef>
          </c:cat>
          <c:val>
            <c:numRef>
              <c:f>müsvedde!$G$63:$G$78</c:f>
              <c:numCache>
                <c:formatCode>#,##0</c:formatCode>
                <c:ptCount val="16"/>
                <c:pt idx="0">
                  <c:v>16119</c:v>
                </c:pt>
                <c:pt idx="1">
                  <c:v>15623.207</c:v>
                </c:pt>
                <c:pt idx="2">
                  <c:v>15258</c:v>
                </c:pt>
                <c:pt idx="3">
                  <c:v>15159</c:v>
                </c:pt>
                <c:pt idx="4">
                  <c:v>15359</c:v>
                </c:pt>
                <c:pt idx="5">
                  <c:v>15509.793</c:v>
                </c:pt>
                <c:pt idx="6">
                  <c:v>15701</c:v>
                </c:pt>
                <c:pt idx="7">
                  <c:v>16646</c:v>
                </c:pt>
                <c:pt idx="8">
                  <c:v>17835</c:v>
                </c:pt>
                <c:pt idx="9">
                  <c:v>18855</c:v>
                </c:pt>
                <c:pt idx="10">
                  <c:v>19744</c:v>
                </c:pt>
                <c:pt idx="11">
                  <c:v>20238</c:v>
                </c:pt>
                <c:pt idx="12">
                  <c:v>18704</c:v>
                </c:pt>
                <c:pt idx="13">
                  <c:v>17367</c:v>
                </c:pt>
                <c:pt idx="14">
                  <c:v>16867.719000000001</c:v>
                </c:pt>
                <c:pt idx="15">
                  <c:v>16848.414000000001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9040896"/>
        <c:axId val="39042432"/>
      </c:barChart>
      <c:lineChart>
        <c:grouping val="standard"/>
        <c:varyColors val="0"/>
        <c:ser>
          <c:idx val="0"/>
          <c:order val="1"/>
          <c:tx>
            <c:strRef>
              <c:f>müsvedde!$J$42</c:f>
              <c:strCache>
                <c:ptCount val="1"/>
                <c:pt idx="0">
                  <c:v>Ortalama Özkaynak Karlılığı (sağ eksen)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strRef>
              <c:f>müsvedde!$F$63:$F$78</c:f>
              <c:strCache>
                <c:ptCount val="16"/>
                <c:pt idx="0">
                  <c:v>10/12</c:v>
                </c:pt>
                <c:pt idx="1">
                  <c:v>11/3</c:v>
                </c:pt>
                <c:pt idx="2">
                  <c:v>11/6</c:v>
                </c:pt>
                <c:pt idx="3">
                  <c:v>11/9</c:v>
                </c:pt>
                <c:pt idx="4">
                  <c:v>11/12</c:v>
                </c:pt>
                <c:pt idx="5">
                  <c:v>12/3</c:v>
                </c:pt>
                <c:pt idx="6">
                  <c:v>12/06</c:v>
                </c:pt>
                <c:pt idx="7">
                  <c:v>12/09</c:v>
                </c:pt>
                <c:pt idx="8">
                  <c:v>12/12</c:v>
                </c:pt>
                <c:pt idx="9">
                  <c:v>13/3</c:v>
                </c:pt>
                <c:pt idx="10">
                  <c:v>13/6</c:v>
                </c:pt>
                <c:pt idx="11">
                  <c:v>13/9</c:v>
                </c:pt>
                <c:pt idx="12">
                  <c:v>13/12</c:v>
                </c:pt>
                <c:pt idx="13">
                  <c:v>14/3</c:v>
                </c:pt>
                <c:pt idx="14">
                  <c:v>14/6</c:v>
                </c:pt>
                <c:pt idx="15">
                  <c:v>14/9</c:v>
                </c:pt>
              </c:strCache>
            </c:strRef>
          </c:cat>
          <c:val>
            <c:numRef>
              <c:f>müsvedde!$J$63:$J$78</c:f>
              <c:numCache>
                <c:formatCode>#,##0.0</c:formatCode>
                <c:ptCount val="16"/>
                <c:pt idx="0">
                  <c:v>19.391495146953222</c:v>
                </c:pt>
                <c:pt idx="1">
                  <c:v>18.269887925376118</c:v>
                </c:pt>
                <c:pt idx="2">
                  <c:v>17.304338476535136</c:v>
                </c:pt>
                <c:pt idx="3">
                  <c:v>16.525333765084344</c:v>
                </c:pt>
                <c:pt idx="4">
                  <c:v>16.096784866611742</c:v>
                </c:pt>
                <c:pt idx="5">
                  <c:v>15.677316809712805</c:v>
                </c:pt>
                <c:pt idx="6">
                  <c:v>15.27737080583762</c:v>
                </c:pt>
                <c:pt idx="7">
                  <c:v>15.593386530581475</c:v>
                </c:pt>
                <c:pt idx="8">
                  <c:v>15.770346266756269</c:v>
                </c:pt>
                <c:pt idx="9">
                  <c:v>16.010766231922634</c:v>
                </c:pt>
                <c:pt idx="10">
                  <c:v>16.671169954066471</c:v>
                </c:pt>
                <c:pt idx="11">
                  <c:v>16.445569455674242</c:v>
                </c:pt>
                <c:pt idx="12">
                  <c:v>14.396218634288683</c:v>
                </c:pt>
                <c:pt idx="13">
                  <c:v>13.093761305639578</c:v>
                </c:pt>
                <c:pt idx="14">
                  <c:v>12.498588439196986</c:v>
                </c:pt>
                <c:pt idx="15">
                  <c:v>12.203171821065482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048704"/>
        <c:axId val="39050240"/>
      </c:lineChart>
      <c:catAx>
        <c:axId val="3904089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904243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9042432"/>
        <c:scaling>
          <c:orientation val="minMax"/>
          <c:min val="1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9040896"/>
        <c:crosses val="autoZero"/>
        <c:crossBetween val="between"/>
      </c:valAx>
      <c:catAx>
        <c:axId val="39048704"/>
        <c:scaling>
          <c:orientation val="minMax"/>
        </c:scaling>
        <c:delete val="1"/>
        <c:axPos val="b"/>
        <c:majorTickMark val="out"/>
        <c:minorTickMark val="none"/>
        <c:tickLblPos val="nextTo"/>
        <c:crossAx val="39050240"/>
        <c:crosses val="autoZero"/>
        <c:auto val="0"/>
        <c:lblAlgn val="ctr"/>
        <c:lblOffset val="100"/>
        <c:noMultiLvlLbl val="0"/>
      </c:catAx>
      <c:valAx>
        <c:axId val="39050240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9048704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897821069581759E-2"/>
          <c:y val="0.9003141429751188"/>
          <c:w val="0.94845508597139638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7EE0E-CC99-448B-8216-FD6874971DF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E0CE61-56F6-4FC3-AD20-5FBA0220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Aslı Özaktan</cp:lastModifiedBy>
  <cp:revision>3</cp:revision>
  <cp:lastPrinted>2014-11-19T07:50:00Z</cp:lastPrinted>
  <dcterms:created xsi:type="dcterms:W3CDTF">2014-11-19T08:17:00Z</dcterms:created>
  <dcterms:modified xsi:type="dcterms:W3CDTF">2014-11-20T11:22:00Z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