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24" w:rsidRPr="001344ED" w:rsidRDefault="007937D6" w:rsidP="007937D6">
      <w:pPr>
        <w:pStyle w:val="Title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1344ED">
        <w:rPr>
          <w:rFonts w:ascii="Arial" w:hAnsi="Arial" w:cs="Arial"/>
          <w:sz w:val="26"/>
          <w:szCs w:val="26"/>
        </w:rPr>
        <w:t xml:space="preserve"> Türkiye'de Bankacılık Sistemi Konsolide Tablolar </w:t>
      </w:r>
    </w:p>
    <w:p w:rsidR="00544DFA" w:rsidRPr="001344ED" w:rsidRDefault="00A37D1F" w:rsidP="00D34B4A">
      <w:pPr>
        <w:pStyle w:val="Titl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Mart</w:t>
      </w:r>
      <w:r w:rsidR="007937D6" w:rsidRPr="001344ED">
        <w:rPr>
          <w:rFonts w:ascii="Arial" w:hAnsi="Arial" w:cs="Arial"/>
          <w:sz w:val="26"/>
          <w:szCs w:val="26"/>
        </w:rPr>
        <w:t xml:space="preserve"> </w:t>
      </w:r>
      <w:r w:rsidR="007060EC" w:rsidRPr="001344ED">
        <w:rPr>
          <w:rFonts w:ascii="Arial" w:hAnsi="Arial" w:cs="Arial"/>
          <w:sz w:val="26"/>
          <w:szCs w:val="26"/>
        </w:rPr>
        <w:t>20</w:t>
      </w:r>
      <w:r w:rsidR="00290CE8" w:rsidRPr="001344ED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6</w:t>
      </w:r>
      <w:r w:rsidR="00932962" w:rsidRPr="001344ED">
        <w:rPr>
          <w:rStyle w:val="FootnoteReference"/>
          <w:rFonts w:ascii="Arial" w:hAnsi="Arial" w:cs="Arial"/>
          <w:sz w:val="26"/>
          <w:szCs w:val="26"/>
        </w:rPr>
        <w:footnoteReference w:id="1"/>
      </w:r>
    </w:p>
    <w:p w:rsidR="004440D6" w:rsidRPr="001344ED" w:rsidRDefault="004440D6" w:rsidP="00544DFA">
      <w:pPr>
        <w:pStyle w:val="Subtitle"/>
        <w:rPr>
          <w:rFonts w:ascii="Arial" w:hAnsi="Arial" w:cs="Arial"/>
          <w:szCs w:val="24"/>
        </w:rPr>
      </w:pPr>
      <w:bookmarkStart w:id="1" w:name="OLE_LINK3"/>
      <w:bookmarkStart w:id="2" w:name="OLE_LINK4"/>
    </w:p>
    <w:p w:rsidR="008A28E6" w:rsidRPr="001344ED" w:rsidRDefault="00A24631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1344ED">
        <w:rPr>
          <w:rFonts w:ascii="Arial" w:hAnsi="Arial" w:cs="Arial"/>
          <w:b w:val="0"/>
          <w:sz w:val="22"/>
          <w:szCs w:val="22"/>
        </w:rPr>
        <w:t>Türkiye’de faaliyette bulunan mevduat, kalkınma ve yatırım bankalarına ait finansal iştirakler ve ba</w:t>
      </w:r>
      <w:r w:rsidR="008A28E6" w:rsidRPr="001344ED">
        <w:rPr>
          <w:rFonts w:ascii="Arial" w:hAnsi="Arial" w:cs="Arial"/>
          <w:b w:val="0"/>
          <w:sz w:val="22"/>
          <w:szCs w:val="22"/>
        </w:rPr>
        <w:t>ğlı ortaklıkların bilanço büyüklüklerini de içeren</w:t>
      </w:r>
      <w:r w:rsidRPr="001344ED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1344ED">
        <w:rPr>
          <w:rFonts w:ascii="Arial" w:hAnsi="Arial" w:cs="Arial"/>
          <w:b w:val="0"/>
          <w:sz w:val="22"/>
          <w:szCs w:val="22"/>
        </w:rPr>
        <w:t>konsolide</w:t>
      </w:r>
      <w:proofErr w:type="gramEnd"/>
      <w:r w:rsidRPr="001344ED">
        <w:rPr>
          <w:rFonts w:ascii="Arial" w:hAnsi="Arial" w:cs="Arial"/>
          <w:b w:val="0"/>
          <w:sz w:val="22"/>
          <w:szCs w:val="22"/>
        </w:rPr>
        <w:t xml:space="preserve"> </w:t>
      </w:r>
      <w:r w:rsidR="008A28E6" w:rsidRPr="001344ED">
        <w:rPr>
          <w:rFonts w:ascii="Arial" w:hAnsi="Arial" w:cs="Arial"/>
          <w:b w:val="0"/>
          <w:sz w:val="22"/>
          <w:szCs w:val="22"/>
        </w:rPr>
        <w:t xml:space="preserve">bilanço verileri </w:t>
      </w:r>
      <w:r w:rsidR="00A37D1F">
        <w:rPr>
          <w:rFonts w:ascii="Arial" w:hAnsi="Arial" w:cs="Arial"/>
          <w:b w:val="0"/>
          <w:sz w:val="22"/>
          <w:szCs w:val="22"/>
        </w:rPr>
        <w:t>Mart 2016</w:t>
      </w:r>
      <w:r w:rsidR="008A28E6" w:rsidRPr="001344ED">
        <w:rPr>
          <w:rFonts w:ascii="Arial" w:hAnsi="Arial" w:cs="Arial"/>
          <w:b w:val="0"/>
          <w:sz w:val="22"/>
          <w:szCs w:val="22"/>
        </w:rPr>
        <w:t xml:space="preserve"> tarihi itibariyle oluşturulmuştur. </w:t>
      </w:r>
      <w:r w:rsidR="00131E48" w:rsidRPr="001344ED">
        <w:rPr>
          <w:rFonts w:ascii="Arial" w:hAnsi="Arial" w:cs="Arial"/>
          <w:b w:val="0"/>
          <w:sz w:val="22"/>
          <w:szCs w:val="22"/>
        </w:rPr>
        <w:t xml:space="preserve">Buna göre, </w:t>
      </w:r>
      <w:proofErr w:type="gramStart"/>
      <w:r w:rsidR="00131E48" w:rsidRPr="001344ED">
        <w:rPr>
          <w:rFonts w:ascii="Arial" w:hAnsi="Arial" w:cs="Arial"/>
          <w:b w:val="0"/>
          <w:sz w:val="22"/>
          <w:szCs w:val="22"/>
        </w:rPr>
        <w:t>konsolidasyona</w:t>
      </w:r>
      <w:proofErr w:type="gramEnd"/>
      <w:r w:rsidR="00131E48" w:rsidRPr="001344ED">
        <w:rPr>
          <w:rFonts w:ascii="Arial" w:hAnsi="Arial" w:cs="Arial"/>
          <w:b w:val="0"/>
          <w:sz w:val="22"/>
          <w:szCs w:val="22"/>
        </w:rPr>
        <w:t xml:space="preserve"> tabi bankaların finansal iştirak ve bağlı ortaklıklarının toplam aktifleri, bu bankaların toplam aktiflerinin yüzde </w:t>
      </w:r>
      <w:r w:rsidR="00712D93">
        <w:rPr>
          <w:rFonts w:ascii="Arial" w:hAnsi="Arial" w:cs="Arial"/>
          <w:b w:val="0"/>
          <w:sz w:val="22"/>
          <w:szCs w:val="22"/>
        </w:rPr>
        <w:t>7</w:t>
      </w:r>
      <w:r w:rsidR="00131E48" w:rsidRPr="001344ED">
        <w:rPr>
          <w:rFonts w:ascii="Arial" w:hAnsi="Arial" w:cs="Arial"/>
          <w:b w:val="0"/>
          <w:sz w:val="22"/>
          <w:szCs w:val="22"/>
        </w:rPr>
        <w:t>’</w:t>
      </w:r>
      <w:r w:rsidR="00712D93">
        <w:rPr>
          <w:rFonts w:ascii="Arial" w:hAnsi="Arial" w:cs="Arial"/>
          <w:b w:val="0"/>
          <w:sz w:val="22"/>
          <w:szCs w:val="22"/>
        </w:rPr>
        <w:t>s</w:t>
      </w:r>
      <w:r w:rsidR="00131E48" w:rsidRPr="001344ED">
        <w:rPr>
          <w:rFonts w:ascii="Arial" w:hAnsi="Arial" w:cs="Arial"/>
          <w:b w:val="0"/>
          <w:sz w:val="22"/>
          <w:szCs w:val="22"/>
        </w:rPr>
        <w:t>i düzeyindedir. Aynı karşılaştırma itibariyle krediler yüzde 6 ve mevduat yüzde 5’lik düzeydedir.</w:t>
      </w:r>
    </w:p>
    <w:p w:rsidR="008A28E6" w:rsidRPr="001344ED" w:rsidRDefault="008A28E6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813665" w:rsidRDefault="00F4744D" w:rsidP="00170110">
      <w:pPr>
        <w:pStyle w:val="Subtitle"/>
        <w:spacing w:after="120"/>
        <w:rPr>
          <w:rFonts w:ascii="Arial" w:hAnsi="Arial" w:cs="Arial"/>
          <w:b w:val="0"/>
          <w:sz w:val="22"/>
          <w:szCs w:val="22"/>
        </w:rPr>
      </w:pPr>
      <w:r w:rsidRPr="00813665">
        <w:rPr>
          <w:rFonts w:ascii="Arial" w:hAnsi="Arial" w:cs="Arial"/>
          <w:sz w:val="22"/>
          <w:szCs w:val="22"/>
        </w:rPr>
        <w:t xml:space="preserve">Toplam aktifler yüzde </w:t>
      </w:r>
      <w:r w:rsidR="00BB4AB1" w:rsidRPr="00813665">
        <w:rPr>
          <w:rFonts w:ascii="Arial" w:hAnsi="Arial" w:cs="Arial"/>
          <w:sz w:val="22"/>
          <w:szCs w:val="22"/>
        </w:rPr>
        <w:t>1</w:t>
      </w:r>
      <w:r w:rsidR="00813665" w:rsidRPr="00813665">
        <w:rPr>
          <w:rFonts w:ascii="Arial" w:hAnsi="Arial" w:cs="Arial"/>
          <w:sz w:val="22"/>
          <w:szCs w:val="22"/>
        </w:rPr>
        <w:t>3</w:t>
      </w:r>
      <w:r w:rsidR="00170110" w:rsidRPr="00813665">
        <w:rPr>
          <w:rFonts w:ascii="Arial" w:hAnsi="Arial" w:cs="Arial"/>
          <w:sz w:val="22"/>
          <w:szCs w:val="22"/>
        </w:rPr>
        <w:t xml:space="preserve"> büyüdü. </w:t>
      </w:r>
    </w:p>
    <w:p w:rsidR="00544DFA" w:rsidRPr="00813665" w:rsidRDefault="00170110" w:rsidP="00170110">
      <w:pPr>
        <w:pStyle w:val="Subtitle"/>
        <w:spacing w:after="120"/>
        <w:rPr>
          <w:rFonts w:ascii="Arial" w:hAnsi="Arial" w:cs="Arial"/>
          <w:b w:val="0"/>
          <w:sz w:val="21"/>
          <w:szCs w:val="21"/>
        </w:rPr>
      </w:pPr>
      <w:r w:rsidRPr="00813665">
        <w:rPr>
          <w:rFonts w:ascii="Arial" w:hAnsi="Arial" w:cs="Arial"/>
          <w:b w:val="0"/>
          <w:sz w:val="21"/>
          <w:szCs w:val="21"/>
        </w:rPr>
        <w:t>201</w:t>
      </w:r>
      <w:r w:rsidR="00A37D1F" w:rsidRPr="00813665">
        <w:rPr>
          <w:rFonts w:ascii="Arial" w:hAnsi="Arial" w:cs="Arial"/>
          <w:b w:val="0"/>
          <w:sz w:val="21"/>
          <w:szCs w:val="21"/>
        </w:rPr>
        <w:t xml:space="preserve">6 yılı ilk çeyreği itibariyle </w:t>
      </w:r>
      <w:proofErr w:type="gramStart"/>
      <w:r w:rsidR="00E64F12" w:rsidRPr="00813665">
        <w:rPr>
          <w:rFonts w:ascii="Arial" w:hAnsi="Arial" w:cs="Arial"/>
          <w:b w:val="0"/>
          <w:sz w:val="21"/>
          <w:szCs w:val="21"/>
        </w:rPr>
        <w:t>konsolide</w:t>
      </w:r>
      <w:proofErr w:type="gramEnd"/>
      <w:r w:rsidR="00E64F12" w:rsidRPr="00813665">
        <w:rPr>
          <w:rFonts w:ascii="Arial" w:hAnsi="Arial" w:cs="Arial"/>
          <w:b w:val="0"/>
          <w:sz w:val="21"/>
          <w:szCs w:val="21"/>
        </w:rPr>
        <w:t xml:space="preserve"> bilançolar</w:t>
      </w:r>
      <w:r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A37D1F" w:rsidRPr="00813665">
        <w:rPr>
          <w:rFonts w:ascii="Arial" w:hAnsi="Arial" w:cs="Arial"/>
          <w:b w:val="0"/>
          <w:sz w:val="21"/>
          <w:szCs w:val="21"/>
        </w:rPr>
        <w:t>bir önceki yılın aynı dönemine</w:t>
      </w:r>
      <w:r w:rsidRPr="00813665">
        <w:rPr>
          <w:rFonts w:ascii="Arial" w:hAnsi="Arial" w:cs="Arial"/>
          <w:b w:val="0"/>
          <w:sz w:val="21"/>
          <w:szCs w:val="21"/>
        </w:rPr>
        <w:t xml:space="preserve"> göre yüzde </w:t>
      </w:r>
      <w:r w:rsidR="00BB4AB1" w:rsidRPr="00813665">
        <w:rPr>
          <w:rFonts w:ascii="Arial" w:hAnsi="Arial" w:cs="Arial"/>
          <w:b w:val="0"/>
          <w:sz w:val="21"/>
          <w:szCs w:val="21"/>
        </w:rPr>
        <w:t>1</w:t>
      </w:r>
      <w:r w:rsidR="00813665" w:rsidRPr="00813665">
        <w:rPr>
          <w:rFonts w:ascii="Arial" w:hAnsi="Arial" w:cs="Arial"/>
          <w:b w:val="0"/>
          <w:sz w:val="21"/>
          <w:szCs w:val="21"/>
        </w:rPr>
        <w:t>3</w:t>
      </w:r>
      <w:r w:rsidRPr="00813665">
        <w:rPr>
          <w:rFonts w:ascii="Arial" w:hAnsi="Arial" w:cs="Arial"/>
          <w:b w:val="0"/>
          <w:sz w:val="21"/>
          <w:szCs w:val="21"/>
        </w:rPr>
        <w:t xml:space="preserve"> oranında </w:t>
      </w:r>
      <w:r w:rsidR="00F4744D" w:rsidRPr="00813665">
        <w:rPr>
          <w:rFonts w:ascii="Arial" w:hAnsi="Arial" w:cs="Arial"/>
          <w:b w:val="0"/>
          <w:sz w:val="21"/>
          <w:szCs w:val="21"/>
        </w:rPr>
        <w:t>artarak 2.</w:t>
      </w:r>
      <w:r w:rsidR="00813665" w:rsidRPr="00813665">
        <w:rPr>
          <w:rFonts w:ascii="Arial" w:hAnsi="Arial" w:cs="Arial"/>
          <w:b w:val="0"/>
          <w:sz w:val="21"/>
          <w:szCs w:val="21"/>
        </w:rPr>
        <w:t>310</w:t>
      </w:r>
      <w:r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F4744D" w:rsidRPr="00813665">
        <w:rPr>
          <w:rFonts w:ascii="Arial" w:hAnsi="Arial" w:cs="Arial"/>
          <w:b w:val="0"/>
          <w:sz w:val="21"/>
          <w:szCs w:val="21"/>
        </w:rPr>
        <w:t>milyar TL (</w:t>
      </w:r>
      <w:r w:rsidR="00813665" w:rsidRPr="00813665">
        <w:rPr>
          <w:rFonts w:ascii="Arial" w:hAnsi="Arial" w:cs="Arial"/>
          <w:b w:val="0"/>
          <w:sz w:val="21"/>
          <w:szCs w:val="21"/>
        </w:rPr>
        <w:t>819</w:t>
      </w:r>
      <w:r w:rsidRPr="00813665">
        <w:rPr>
          <w:rFonts w:ascii="Arial" w:hAnsi="Arial" w:cs="Arial"/>
          <w:b w:val="0"/>
          <w:sz w:val="21"/>
          <w:szCs w:val="21"/>
        </w:rPr>
        <w:t xml:space="preserve"> milyar USD) olarak gerçekleşmiştir. </w:t>
      </w:r>
      <w:r w:rsidR="00F4744D" w:rsidRPr="00813665">
        <w:rPr>
          <w:rFonts w:ascii="Arial" w:hAnsi="Arial" w:cs="Arial"/>
          <w:b w:val="0"/>
          <w:sz w:val="21"/>
          <w:szCs w:val="21"/>
        </w:rPr>
        <w:t xml:space="preserve">Aynı </w:t>
      </w:r>
      <w:r w:rsidR="00813665" w:rsidRPr="00813665">
        <w:rPr>
          <w:rFonts w:ascii="Arial" w:hAnsi="Arial" w:cs="Arial"/>
          <w:b w:val="0"/>
          <w:sz w:val="21"/>
          <w:szCs w:val="21"/>
        </w:rPr>
        <w:t>dönem</w:t>
      </w:r>
      <w:r w:rsidR="00F4744D" w:rsidRPr="00813665">
        <w:rPr>
          <w:rFonts w:ascii="Arial" w:hAnsi="Arial" w:cs="Arial"/>
          <w:b w:val="0"/>
          <w:sz w:val="21"/>
          <w:szCs w:val="21"/>
        </w:rPr>
        <w:t xml:space="preserve"> itibariyle</w:t>
      </w:r>
      <w:r w:rsidR="006A1A16" w:rsidRPr="00813665">
        <w:rPr>
          <w:rFonts w:ascii="Arial" w:hAnsi="Arial" w:cs="Arial"/>
          <w:b w:val="0"/>
          <w:sz w:val="21"/>
          <w:szCs w:val="21"/>
        </w:rPr>
        <w:t>, s</w:t>
      </w:r>
      <w:r w:rsidRPr="00813665">
        <w:rPr>
          <w:rFonts w:ascii="Arial" w:hAnsi="Arial" w:cs="Arial"/>
          <w:b w:val="0"/>
          <w:sz w:val="21"/>
          <w:szCs w:val="21"/>
        </w:rPr>
        <w:t xml:space="preserve">öz konusu bankaların kredileri yüzde </w:t>
      </w:r>
      <w:r w:rsidR="00813665" w:rsidRPr="00813665">
        <w:rPr>
          <w:rFonts w:ascii="Arial" w:hAnsi="Arial" w:cs="Arial"/>
          <w:b w:val="0"/>
          <w:sz w:val="21"/>
          <w:szCs w:val="21"/>
        </w:rPr>
        <w:t>14’lü</w:t>
      </w:r>
      <w:r w:rsidRPr="00813665">
        <w:rPr>
          <w:rFonts w:ascii="Arial" w:hAnsi="Arial" w:cs="Arial"/>
          <w:b w:val="0"/>
          <w:sz w:val="21"/>
          <w:szCs w:val="21"/>
        </w:rPr>
        <w:t xml:space="preserve">k artış ile </w:t>
      </w:r>
      <w:r w:rsidR="00813665" w:rsidRPr="00813665">
        <w:rPr>
          <w:rFonts w:ascii="Arial" w:hAnsi="Arial" w:cs="Arial"/>
          <w:b w:val="0"/>
          <w:sz w:val="21"/>
          <w:szCs w:val="21"/>
        </w:rPr>
        <w:t>1.465</w:t>
      </w:r>
      <w:r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6A1A16" w:rsidRPr="00813665">
        <w:rPr>
          <w:rFonts w:ascii="Arial" w:hAnsi="Arial" w:cs="Arial"/>
          <w:b w:val="0"/>
          <w:sz w:val="21"/>
          <w:szCs w:val="21"/>
        </w:rPr>
        <w:t>milyar</w:t>
      </w:r>
      <w:r w:rsidRPr="00813665">
        <w:rPr>
          <w:rFonts w:ascii="Arial" w:hAnsi="Arial" w:cs="Arial"/>
          <w:b w:val="0"/>
          <w:sz w:val="21"/>
          <w:szCs w:val="21"/>
        </w:rPr>
        <w:t xml:space="preserve"> TL (5</w:t>
      </w:r>
      <w:r w:rsidR="00813665" w:rsidRPr="00813665">
        <w:rPr>
          <w:rFonts w:ascii="Arial" w:hAnsi="Arial" w:cs="Arial"/>
          <w:b w:val="0"/>
          <w:sz w:val="21"/>
          <w:szCs w:val="21"/>
        </w:rPr>
        <w:t>18</w:t>
      </w:r>
      <w:r w:rsidRPr="00813665">
        <w:rPr>
          <w:rFonts w:ascii="Arial" w:hAnsi="Arial" w:cs="Arial"/>
          <w:b w:val="0"/>
          <w:sz w:val="21"/>
          <w:szCs w:val="21"/>
        </w:rPr>
        <w:t xml:space="preserve"> milyar USD)</w:t>
      </w:r>
      <w:r w:rsidR="006A1A16" w:rsidRPr="00813665">
        <w:rPr>
          <w:rFonts w:ascii="Arial" w:hAnsi="Arial" w:cs="Arial"/>
          <w:b w:val="0"/>
          <w:sz w:val="21"/>
          <w:szCs w:val="21"/>
        </w:rPr>
        <w:t xml:space="preserve">, </w:t>
      </w:r>
      <w:proofErr w:type="gramStart"/>
      <w:r w:rsidR="006A1A16" w:rsidRPr="00813665">
        <w:rPr>
          <w:rFonts w:ascii="Arial" w:hAnsi="Arial" w:cs="Arial"/>
          <w:b w:val="0"/>
          <w:sz w:val="21"/>
          <w:szCs w:val="21"/>
        </w:rPr>
        <w:t>likit</w:t>
      </w:r>
      <w:proofErr w:type="gramEnd"/>
      <w:r w:rsidR="006A1A16" w:rsidRPr="00813665">
        <w:rPr>
          <w:rFonts w:ascii="Arial" w:hAnsi="Arial" w:cs="Arial"/>
          <w:b w:val="0"/>
          <w:sz w:val="21"/>
          <w:szCs w:val="21"/>
        </w:rPr>
        <w:t xml:space="preserve"> aktifler ise </w:t>
      </w:r>
      <w:r w:rsidR="00E7047F" w:rsidRPr="00813665">
        <w:rPr>
          <w:rFonts w:ascii="Arial" w:hAnsi="Arial" w:cs="Arial"/>
          <w:b w:val="0"/>
          <w:sz w:val="21"/>
          <w:szCs w:val="21"/>
        </w:rPr>
        <w:t>yüzde 1</w:t>
      </w:r>
      <w:r w:rsidR="00813665" w:rsidRPr="00813665">
        <w:rPr>
          <w:rFonts w:ascii="Arial" w:hAnsi="Arial" w:cs="Arial"/>
          <w:b w:val="0"/>
          <w:sz w:val="21"/>
          <w:szCs w:val="21"/>
        </w:rPr>
        <w:t>0</w:t>
      </w:r>
      <w:r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6A1A16" w:rsidRPr="00813665">
        <w:rPr>
          <w:rFonts w:ascii="Arial" w:hAnsi="Arial" w:cs="Arial"/>
          <w:b w:val="0"/>
          <w:sz w:val="21"/>
          <w:szCs w:val="21"/>
        </w:rPr>
        <w:t xml:space="preserve">artış ile </w:t>
      </w:r>
      <w:r w:rsidR="00813665" w:rsidRPr="00813665">
        <w:rPr>
          <w:rFonts w:ascii="Arial" w:hAnsi="Arial" w:cs="Arial"/>
          <w:b w:val="0"/>
          <w:sz w:val="21"/>
          <w:szCs w:val="21"/>
        </w:rPr>
        <w:t>706</w:t>
      </w:r>
      <w:r w:rsidR="006A1A16" w:rsidRPr="00813665">
        <w:rPr>
          <w:rFonts w:ascii="Arial" w:hAnsi="Arial" w:cs="Arial"/>
          <w:b w:val="0"/>
          <w:sz w:val="21"/>
          <w:szCs w:val="21"/>
        </w:rPr>
        <w:t xml:space="preserve"> milyar TL </w:t>
      </w:r>
      <w:r w:rsidR="00813665" w:rsidRPr="00813665">
        <w:rPr>
          <w:rFonts w:ascii="Arial" w:hAnsi="Arial" w:cs="Arial"/>
          <w:b w:val="0"/>
          <w:sz w:val="21"/>
          <w:szCs w:val="21"/>
        </w:rPr>
        <w:t>(250</w:t>
      </w:r>
      <w:r w:rsidR="00B139C1" w:rsidRPr="00813665">
        <w:rPr>
          <w:rFonts w:ascii="Arial" w:hAnsi="Arial" w:cs="Arial"/>
          <w:b w:val="0"/>
          <w:sz w:val="21"/>
          <w:szCs w:val="21"/>
        </w:rPr>
        <w:t xml:space="preserve"> milyar USD) </w:t>
      </w:r>
      <w:r w:rsidR="006A1A16" w:rsidRPr="00813665">
        <w:rPr>
          <w:rFonts w:ascii="Arial" w:hAnsi="Arial" w:cs="Arial"/>
          <w:b w:val="0"/>
          <w:sz w:val="21"/>
          <w:szCs w:val="21"/>
        </w:rPr>
        <w:t>düzeyine ulaşmıştır. Krediler</w:t>
      </w:r>
      <w:r w:rsidRPr="00813665">
        <w:rPr>
          <w:rFonts w:ascii="Arial" w:hAnsi="Arial" w:cs="Arial"/>
          <w:b w:val="0"/>
          <w:sz w:val="21"/>
          <w:szCs w:val="21"/>
        </w:rPr>
        <w:t xml:space="preserve"> toplam aktiflerin yüzde 63’ünü oluşturmuştur. </w:t>
      </w:r>
      <w:r w:rsidR="00813665" w:rsidRPr="00813665">
        <w:rPr>
          <w:rFonts w:ascii="Arial" w:hAnsi="Arial" w:cs="Arial"/>
          <w:b w:val="0"/>
          <w:sz w:val="21"/>
          <w:szCs w:val="21"/>
        </w:rPr>
        <w:t>2016 yılı Mart</w:t>
      </w:r>
      <w:r w:rsidRPr="00813665">
        <w:rPr>
          <w:rFonts w:ascii="Arial" w:hAnsi="Arial" w:cs="Arial"/>
          <w:b w:val="0"/>
          <w:sz w:val="21"/>
          <w:szCs w:val="21"/>
        </w:rPr>
        <w:t xml:space="preserve"> ayı itibariyle takipteki kredilerin toplam kredilere oranı yüzde 3,</w:t>
      </w:r>
      <w:r w:rsidR="00813665" w:rsidRPr="00813665">
        <w:rPr>
          <w:rFonts w:ascii="Arial" w:hAnsi="Arial" w:cs="Arial"/>
          <w:b w:val="0"/>
          <w:sz w:val="21"/>
          <w:szCs w:val="21"/>
        </w:rPr>
        <w:t>3</w:t>
      </w:r>
      <w:r w:rsidRPr="00813665">
        <w:rPr>
          <w:rFonts w:ascii="Arial" w:hAnsi="Arial" w:cs="Arial"/>
          <w:b w:val="0"/>
          <w:sz w:val="21"/>
          <w:szCs w:val="21"/>
        </w:rPr>
        <w:t xml:space="preserve"> olmuştur.</w:t>
      </w:r>
    </w:p>
    <w:p w:rsidR="00B139C1" w:rsidRPr="00813665" w:rsidRDefault="00363BF1" w:rsidP="00363BF1">
      <w:pPr>
        <w:pStyle w:val="Subtitle"/>
        <w:spacing w:after="120"/>
        <w:rPr>
          <w:rFonts w:ascii="Arial" w:hAnsi="Arial" w:cs="Arial"/>
          <w:b w:val="0"/>
          <w:sz w:val="21"/>
          <w:szCs w:val="21"/>
        </w:rPr>
      </w:pPr>
      <w:r w:rsidRPr="00813665">
        <w:rPr>
          <w:rFonts w:ascii="Arial" w:hAnsi="Arial" w:cs="Arial"/>
          <w:b w:val="0"/>
          <w:sz w:val="21"/>
          <w:szCs w:val="21"/>
        </w:rPr>
        <w:t xml:space="preserve">Konsolide tablolar </w:t>
      </w:r>
      <w:proofErr w:type="gramStart"/>
      <w:r w:rsidRPr="00813665">
        <w:rPr>
          <w:rFonts w:ascii="Arial" w:hAnsi="Arial" w:cs="Arial"/>
          <w:b w:val="0"/>
          <w:sz w:val="21"/>
          <w:szCs w:val="21"/>
        </w:rPr>
        <w:t>baz</w:t>
      </w:r>
      <w:proofErr w:type="gramEnd"/>
      <w:r w:rsidRPr="00813665">
        <w:rPr>
          <w:rFonts w:ascii="Arial" w:hAnsi="Arial" w:cs="Arial"/>
          <w:b w:val="0"/>
          <w:sz w:val="21"/>
          <w:szCs w:val="21"/>
        </w:rPr>
        <w:t xml:space="preserve"> alındığında bankacılık sektörü toplam</w:t>
      </w:r>
      <w:r w:rsidR="00C425DF">
        <w:rPr>
          <w:rFonts w:ascii="Arial" w:hAnsi="Arial" w:cs="Arial"/>
          <w:b w:val="0"/>
          <w:sz w:val="21"/>
          <w:szCs w:val="21"/>
        </w:rPr>
        <w:t xml:space="preserve"> konsolide </w:t>
      </w:r>
      <w:r w:rsidRPr="00813665">
        <w:rPr>
          <w:rFonts w:ascii="Arial" w:hAnsi="Arial" w:cs="Arial"/>
          <w:b w:val="0"/>
          <w:sz w:val="21"/>
          <w:szCs w:val="21"/>
        </w:rPr>
        <w:t>mevduatları 201</w:t>
      </w:r>
      <w:r w:rsidR="00813665" w:rsidRPr="00813665">
        <w:rPr>
          <w:rFonts w:ascii="Arial" w:hAnsi="Arial" w:cs="Arial"/>
          <w:b w:val="0"/>
          <w:sz w:val="21"/>
          <w:szCs w:val="21"/>
        </w:rPr>
        <w:t>6 yılı ilk çeyreği itibariyle bir önceki yılın aynı ayına göre</w:t>
      </w:r>
      <w:r w:rsidRPr="00813665">
        <w:rPr>
          <w:rFonts w:ascii="Arial" w:hAnsi="Arial" w:cs="Arial"/>
          <w:b w:val="0"/>
          <w:sz w:val="21"/>
          <w:szCs w:val="21"/>
        </w:rPr>
        <w:t xml:space="preserve"> yüzde 1</w:t>
      </w:r>
      <w:r w:rsidR="00813665" w:rsidRPr="00813665">
        <w:rPr>
          <w:rFonts w:ascii="Arial" w:hAnsi="Arial" w:cs="Arial"/>
          <w:b w:val="0"/>
          <w:sz w:val="21"/>
          <w:szCs w:val="21"/>
        </w:rPr>
        <w:t>5</w:t>
      </w:r>
      <w:r w:rsidRPr="00813665">
        <w:rPr>
          <w:rFonts w:ascii="Arial" w:hAnsi="Arial" w:cs="Arial"/>
          <w:b w:val="0"/>
          <w:sz w:val="21"/>
          <w:szCs w:val="21"/>
        </w:rPr>
        <w:t xml:space="preserve"> oranında artarak </w:t>
      </w:r>
      <w:r w:rsidR="00E7047F" w:rsidRPr="00813665">
        <w:rPr>
          <w:rFonts w:ascii="Arial" w:hAnsi="Arial" w:cs="Arial"/>
          <w:b w:val="0"/>
          <w:sz w:val="21"/>
          <w:szCs w:val="21"/>
        </w:rPr>
        <w:t>1.</w:t>
      </w:r>
      <w:r w:rsidR="00813665" w:rsidRPr="00813665">
        <w:rPr>
          <w:rFonts w:ascii="Arial" w:hAnsi="Arial" w:cs="Arial"/>
          <w:b w:val="0"/>
          <w:sz w:val="21"/>
          <w:szCs w:val="21"/>
        </w:rPr>
        <w:t>314</w:t>
      </w:r>
      <w:r w:rsidR="00B139C1" w:rsidRPr="00813665">
        <w:rPr>
          <w:rFonts w:ascii="Arial" w:hAnsi="Arial" w:cs="Arial"/>
          <w:b w:val="0"/>
          <w:sz w:val="21"/>
          <w:szCs w:val="21"/>
        </w:rPr>
        <w:t xml:space="preserve"> milyar TL (4</w:t>
      </w:r>
      <w:r w:rsidR="00813665" w:rsidRPr="00813665">
        <w:rPr>
          <w:rFonts w:ascii="Arial" w:hAnsi="Arial" w:cs="Arial"/>
          <w:b w:val="0"/>
          <w:sz w:val="21"/>
          <w:szCs w:val="21"/>
        </w:rPr>
        <w:t>65</w:t>
      </w:r>
      <w:r w:rsidRPr="00813665">
        <w:rPr>
          <w:rFonts w:ascii="Arial" w:hAnsi="Arial" w:cs="Arial"/>
          <w:b w:val="0"/>
          <w:sz w:val="21"/>
          <w:szCs w:val="21"/>
        </w:rPr>
        <w:t xml:space="preserve"> milyar USD) düzeyinde gerçekleşmiştir. Mevduatlar bankaların toplam kaynaklarının yüzde </w:t>
      </w:r>
      <w:r w:rsidR="00813665" w:rsidRPr="00813665">
        <w:rPr>
          <w:rFonts w:ascii="Arial" w:hAnsi="Arial" w:cs="Arial"/>
          <w:b w:val="0"/>
          <w:sz w:val="21"/>
          <w:szCs w:val="21"/>
        </w:rPr>
        <w:t>57’sini</w:t>
      </w:r>
      <w:r w:rsidRPr="00813665">
        <w:rPr>
          <w:rFonts w:ascii="Arial" w:hAnsi="Arial" w:cs="Arial"/>
          <w:b w:val="0"/>
          <w:sz w:val="21"/>
          <w:szCs w:val="21"/>
        </w:rPr>
        <w:t xml:space="preserve"> oluşturmuştur. Mevduat dışı kaynaklardaki büyüme oranı ise yüzde </w:t>
      </w:r>
      <w:r w:rsidR="00813665" w:rsidRPr="00813665">
        <w:rPr>
          <w:rFonts w:ascii="Arial" w:hAnsi="Arial" w:cs="Arial"/>
          <w:b w:val="0"/>
          <w:sz w:val="21"/>
          <w:szCs w:val="21"/>
        </w:rPr>
        <w:t>10</w:t>
      </w:r>
      <w:r w:rsidRPr="00813665">
        <w:rPr>
          <w:rFonts w:ascii="Arial" w:hAnsi="Arial" w:cs="Arial"/>
          <w:b w:val="0"/>
          <w:sz w:val="21"/>
          <w:szCs w:val="21"/>
        </w:rPr>
        <w:t xml:space="preserve"> olarak gerçekleşmiştir. </w:t>
      </w:r>
    </w:p>
    <w:p w:rsidR="007937D6" w:rsidRPr="001E49B3" w:rsidRDefault="007937D6" w:rsidP="007937D6">
      <w:pPr>
        <w:pStyle w:val="Subtitle"/>
        <w:jc w:val="center"/>
        <w:rPr>
          <w:rFonts w:ascii="Arial" w:hAnsi="Arial" w:cs="Arial"/>
          <w:sz w:val="22"/>
          <w:szCs w:val="24"/>
        </w:rPr>
      </w:pPr>
      <w:r w:rsidRPr="001E49B3">
        <w:rPr>
          <w:rFonts w:ascii="Arial" w:hAnsi="Arial" w:cs="Arial"/>
          <w:sz w:val="22"/>
          <w:szCs w:val="24"/>
        </w:rPr>
        <w:t>Bilanço Gelişmeleri (Milyar TL)</w:t>
      </w:r>
    </w:p>
    <w:bookmarkEnd w:id="1"/>
    <w:bookmarkEnd w:id="2"/>
    <w:tbl>
      <w:tblPr>
        <w:tblStyle w:val="LightShading"/>
        <w:tblW w:w="7080" w:type="dxa"/>
        <w:jc w:val="center"/>
        <w:tblLook w:val="04A0" w:firstRow="1" w:lastRow="0" w:firstColumn="1" w:lastColumn="0" w:noHBand="0" w:noVBand="1"/>
      </w:tblPr>
      <w:tblGrid>
        <w:gridCol w:w="3199"/>
        <w:gridCol w:w="1067"/>
        <w:gridCol w:w="1067"/>
        <w:gridCol w:w="1747"/>
      </w:tblGrid>
      <w:tr w:rsidR="001E49B3" w:rsidRPr="001E49B3" w:rsidTr="00793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7937D6" w:rsidRPr="001E49B3" w:rsidRDefault="007937D6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noWrap/>
            <w:hideMark/>
          </w:tcPr>
          <w:p w:rsidR="007937D6" w:rsidRPr="001E49B3" w:rsidRDefault="001E49B3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Mart</w:t>
            </w:r>
            <w:r w:rsidR="007937D6"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1</w:t>
            </w: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67" w:type="dxa"/>
            <w:noWrap/>
            <w:hideMark/>
          </w:tcPr>
          <w:p w:rsidR="007937D6" w:rsidRPr="001E49B3" w:rsidRDefault="001E49B3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Mart</w:t>
            </w:r>
            <w:r w:rsidR="007937D6"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15</w:t>
            </w:r>
          </w:p>
        </w:tc>
        <w:tc>
          <w:tcPr>
            <w:tcW w:w="1747" w:type="dxa"/>
            <w:noWrap/>
            <w:hideMark/>
          </w:tcPr>
          <w:p w:rsidR="007937D6" w:rsidRPr="001E49B3" w:rsidRDefault="007937D6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Değişme (yüzde)</w:t>
            </w:r>
          </w:p>
        </w:tc>
      </w:tr>
      <w:tr w:rsidR="001E49B3" w:rsidRPr="001E49B3" w:rsidTr="009B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Likit Aktifler                          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644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706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10</w:t>
            </w:r>
          </w:p>
        </w:tc>
      </w:tr>
      <w:tr w:rsidR="001E49B3" w:rsidRPr="001E49B3" w:rsidTr="009B3CA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Krediler ve Alacaklar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1.279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1.465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14</w:t>
            </w:r>
          </w:p>
        </w:tc>
      </w:tr>
      <w:tr w:rsidR="001E49B3" w:rsidRPr="001E49B3" w:rsidTr="009B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  Takipteki Krediler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37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47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30</w:t>
            </w:r>
          </w:p>
        </w:tc>
      </w:tr>
      <w:tr w:rsidR="001E49B3" w:rsidRPr="001E49B3" w:rsidTr="009B3CA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  Özel Karşılıklar (-)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27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36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35</w:t>
            </w:r>
          </w:p>
        </w:tc>
      </w:tr>
      <w:tr w:rsidR="001E49B3" w:rsidRPr="001E49B3" w:rsidTr="009B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Duran Aktifler          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31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42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35</w:t>
            </w:r>
          </w:p>
        </w:tc>
      </w:tr>
      <w:tr w:rsidR="001E49B3" w:rsidRPr="001E49B3" w:rsidTr="009B3CA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Mevduat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1.144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1.314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15</w:t>
            </w:r>
          </w:p>
        </w:tc>
      </w:tr>
      <w:tr w:rsidR="001E49B3" w:rsidRPr="001E49B3" w:rsidTr="009B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Mevduat Dışı Kaynaklar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516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568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10</w:t>
            </w:r>
          </w:p>
        </w:tc>
      </w:tr>
      <w:tr w:rsidR="001E49B3" w:rsidRPr="001E49B3" w:rsidTr="009B3CA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proofErr w:type="spellStart"/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Özkaynaklar</w:t>
            </w:r>
            <w:proofErr w:type="spellEnd"/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202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234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16</w:t>
            </w:r>
          </w:p>
        </w:tc>
      </w:tr>
      <w:tr w:rsidR="001E49B3" w:rsidRPr="001E49B3" w:rsidTr="009B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:rsidR="001E49B3" w:rsidRPr="001E49B3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Toplam Aktif/Pasif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2.041</w:t>
            </w:r>
          </w:p>
        </w:tc>
        <w:tc>
          <w:tcPr>
            <w:tcW w:w="106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2.310</w:t>
            </w:r>
          </w:p>
        </w:tc>
        <w:tc>
          <w:tcPr>
            <w:tcW w:w="1747" w:type="dxa"/>
            <w:noWrap/>
            <w:vAlign w:val="center"/>
            <w:hideMark/>
          </w:tcPr>
          <w:p w:rsidR="001E49B3" w:rsidRPr="001E49B3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E49B3">
              <w:rPr>
                <w:rFonts w:ascii="Arial" w:hAnsi="Arial" w:cs="Arial"/>
                <w:color w:val="auto"/>
                <w:sz w:val="18"/>
                <w:szCs w:val="18"/>
              </w:rPr>
              <w:t>13</w:t>
            </w:r>
          </w:p>
        </w:tc>
      </w:tr>
    </w:tbl>
    <w:p w:rsidR="00563E0B" w:rsidRPr="00FF1D0B" w:rsidRDefault="00813665" w:rsidP="00563E0B">
      <w:pPr>
        <w:pStyle w:val="Subtitle"/>
        <w:spacing w:before="120" w:after="120"/>
        <w:rPr>
          <w:rFonts w:ascii="Arial" w:hAnsi="Arial" w:cs="Arial"/>
          <w:b w:val="0"/>
          <w:sz w:val="21"/>
          <w:szCs w:val="21"/>
        </w:rPr>
      </w:pPr>
      <w:r w:rsidRPr="00813665">
        <w:rPr>
          <w:rFonts w:ascii="Arial" w:hAnsi="Arial" w:cs="Arial"/>
          <w:b w:val="0"/>
          <w:sz w:val="21"/>
          <w:szCs w:val="21"/>
        </w:rPr>
        <w:t xml:space="preserve">2016 yılının ilk üç aylık bölümünde </w:t>
      </w:r>
      <w:proofErr w:type="gramStart"/>
      <w:r w:rsidR="00B139C1" w:rsidRPr="00813665">
        <w:rPr>
          <w:rFonts w:ascii="Arial" w:hAnsi="Arial" w:cs="Arial"/>
          <w:b w:val="0"/>
          <w:sz w:val="21"/>
          <w:szCs w:val="21"/>
        </w:rPr>
        <w:t>konsolidasyona</w:t>
      </w:r>
      <w:proofErr w:type="gramEnd"/>
      <w:r w:rsidR="00B139C1" w:rsidRPr="00813665">
        <w:rPr>
          <w:rFonts w:ascii="Arial" w:hAnsi="Arial" w:cs="Arial"/>
          <w:b w:val="0"/>
          <w:sz w:val="21"/>
          <w:szCs w:val="21"/>
        </w:rPr>
        <w:t xml:space="preserve"> tabi bankaların</w:t>
      </w:r>
      <w:r w:rsidR="00B8247C" w:rsidRPr="00813665">
        <w:rPr>
          <w:rFonts w:ascii="Arial" w:hAnsi="Arial" w:cs="Arial"/>
          <w:b w:val="0"/>
          <w:sz w:val="21"/>
          <w:szCs w:val="21"/>
        </w:rPr>
        <w:t xml:space="preserve"> ve finansal iştiraklerinin</w:t>
      </w:r>
      <w:r w:rsidR="00B139C1"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563E0B" w:rsidRPr="00813665">
        <w:rPr>
          <w:rFonts w:ascii="Arial" w:hAnsi="Arial" w:cs="Arial"/>
          <w:b w:val="0"/>
          <w:sz w:val="21"/>
          <w:szCs w:val="21"/>
        </w:rPr>
        <w:t>faiz gelirleri</w:t>
      </w:r>
      <w:r w:rsidRPr="00813665">
        <w:rPr>
          <w:rFonts w:ascii="Arial" w:hAnsi="Arial" w:cs="Arial"/>
          <w:b w:val="0"/>
          <w:sz w:val="21"/>
          <w:szCs w:val="21"/>
        </w:rPr>
        <w:t xml:space="preserve"> bir önceki yıla göre yüzde 26</w:t>
      </w:r>
      <w:r w:rsidR="00563E0B"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="00B8247C" w:rsidRPr="00813665">
        <w:rPr>
          <w:rFonts w:ascii="Arial" w:hAnsi="Arial" w:cs="Arial"/>
          <w:b w:val="0"/>
          <w:sz w:val="21"/>
          <w:szCs w:val="21"/>
        </w:rPr>
        <w:t>ve faiz giderleri</w:t>
      </w:r>
      <w:r w:rsidRPr="00813665">
        <w:rPr>
          <w:rFonts w:ascii="Arial" w:hAnsi="Arial" w:cs="Arial"/>
          <w:b w:val="0"/>
          <w:sz w:val="21"/>
          <w:szCs w:val="21"/>
        </w:rPr>
        <w:t xml:space="preserve"> ise</w:t>
      </w:r>
      <w:r w:rsidR="00B8247C" w:rsidRPr="00813665">
        <w:rPr>
          <w:rFonts w:ascii="Arial" w:hAnsi="Arial" w:cs="Arial"/>
          <w:b w:val="0"/>
          <w:sz w:val="21"/>
          <w:szCs w:val="21"/>
        </w:rPr>
        <w:t xml:space="preserve"> </w:t>
      </w:r>
      <w:r w:rsidRPr="00813665">
        <w:rPr>
          <w:rFonts w:ascii="Arial" w:hAnsi="Arial" w:cs="Arial"/>
          <w:b w:val="0"/>
          <w:sz w:val="21"/>
          <w:szCs w:val="21"/>
        </w:rPr>
        <w:t>yüzde 28</w:t>
      </w:r>
      <w:r w:rsidR="00563E0B" w:rsidRPr="00813665">
        <w:rPr>
          <w:rFonts w:ascii="Arial" w:hAnsi="Arial" w:cs="Arial"/>
          <w:b w:val="0"/>
          <w:sz w:val="21"/>
          <w:szCs w:val="21"/>
        </w:rPr>
        <w:t xml:space="preserve"> artmıştır. Böylece net faiz </w:t>
      </w:r>
      <w:r w:rsidR="00563E0B" w:rsidRPr="00FF1D0B">
        <w:rPr>
          <w:rFonts w:ascii="Arial" w:hAnsi="Arial" w:cs="Arial"/>
          <w:b w:val="0"/>
          <w:sz w:val="21"/>
          <w:szCs w:val="21"/>
        </w:rPr>
        <w:t xml:space="preserve">gelirleri yüzde </w:t>
      </w:r>
      <w:r w:rsidRPr="00FF1D0B">
        <w:rPr>
          <w:rFonts w:ascii="Arial" w:hAnsi="Arial" w:cs="Arial"/>
          <w:b w:val="0"/>
          <w:sz w:val="21"/>
          <w:szCs w:val="21"/>
        </w:rPr>
        <w:t>24 artış ile 21</w:t>
      </w:r>
      <w:r w:rsidR="00563E0B" w:rsidRPr="00FF1D0B">
        <w:rPr>
          <w:rFonts w:ascii="Arial" w:hAnsi="Arial" w:cs="Arial"/>
          <w:b w:val="0"/>
          <w:sz w:val="21"/>
          <w:szCs w:val="21"/>
        </w:rPr>
        <w:t xml:space="preserve"> milyar TL olmuştur. </w:t>
      </w:r>
    </w:p>
    <w:p w:rsidR="00363BF1" w:rsidRPr="00FF1D0B" w:rsidRDefault="00B8247C" w:rsidP="00563E0B">
      <w:pPr>
        <w:pStyle w:val="Subtitle"/>
        <w:spacing w:after="120"/>
        <w:rPr>
          <w:rFonts w:ascii="Arial" w:hAnsi="Arial" w:cs="Arial"/>
          <w:b w:val="0"/>
          <w:sz w:val="21"/>
          <w:szCs w:val="21"/>
        </w:rPr>
      </w:pPr>
      <w:r w:rsidRPr="00FF1D0B">
        <w:rPr>
          <w:rFonts w:ascii="Arial" w:hAnsi="Arial" w:cs="Arial"/>
          <w:b w:val="0"/>
          <w:sz w:val="21"/>
          <w:szCs w:val="21"/>
        </w:rPr>
        <w:t xml:space="preserve">Konsolidasyona tabi bankaların ve finansal iştiraklerinin </w:t>
      </w:r>
      <w:r w:rsidR="00563E0B" w:rsidRPr="00FF1D0B">
        <w:rPr>
          <w:rFonts w:ascii="Arial" w:hAnsi="Arial" w:cs="Arial"/>
          <w:b w:val="0"/>
          <w:sz w:val="21"/>
          <w:szCs w:val="21"/>
        </w:rPr>
        <w:t xml:space="preserve">karı </w:t>
      </w:r>
      <w:r w:rsidR="00FF1D0B" w:rsidRPr="00FF1D0B">
        <w:rPr>
          <w:rFonts w:ascii="Arial" w:hAnsi="Arial" w:cs="Arial"/>
          <w:b w:val="0"/>
          <w:sz w:val="21"/>
          <w:szCs w:val="21"/>
        </w:rPr>
        <w:t>2016 yılını ilk üç ayında bir önceki yıla göre yüzde 20</w:t>
      </w:r>
      <w:r w:rsidR="00563E0B" w:rsidRPr="00FF1D0B">
        <w:rPr>
          <w:rFonts w:ascii="Arial" w:hAnsi="Arial" w:cs="Arial"/>
          <w:b w:val="0"/>
          <w:sz w:val="21"/>
          <w:szCs w:val="21"/>
        </w:rPr>
        <w:t xml:space="preserve"> </w:t>
      </w:r>
      <w:r w:rsidRPr="00FF1D0B">
        <w:rPr>
          <w:rFonts w:ascii="Arial" w:hAnsi="Arial" w:cs="Arial"/>
          <w:b w:val="0"/>
          <w:sz w:val="21"/>
          <w:szCs w:val="21"/>
        </w:rPr>
        <w:t>artarak</w:t>
      </w:r>
      <w:r w:rsidR="00FF1D0B" w:rsidRPr="00FF1D0B">
        <w:rPr>
          <w:rFonts w:ascii="Arial" w:hAnsi="Arial" w:cs="Arial"/>
          <w:b w:val="0"/>
          <w:sz w:val="21"/>
          <w:szCs w:val="21"/>
        </w:rPr>
        <w:t xml:space="preserve"> 8</w:t>
      </w:r>
      <w:r w:rsidR="00563E0B" w:rsidRPr="00FF1D0B">
        <w:rPr>
          <w:rFonts w:ascii="Arial" w:hAnsi="Arial" w:cs="Arial"/>
          <w:b w:val="0"/>
          <w:sz w:val="21"/>
          <w:szCs w:val="21"/>
        </w:rPr>
        <w:t xml:space="preserve"> milyar TL</w:t>
      </w:r>
      <w:r w:rsidR="00563E0B" w:rsidRPr="00FF1D0B">
        <w:rPr>
          <w:rFonts w:ascii="Arial" w:hAnsi="Arial" w:cs="Arial"/>
          <w:sz w:val="21"/>
          <w:szCs w:val="21"/>
        </w:rPr>
        <w:t xml:space="preserve"> </w:t>
      </w:r>
      <w:r w:rsidR="00563E0B" w:rsidRPr="00FF1D0B">
        <w:rPr>
          <w:rFonts w:ascii="Arial" w:hAnsi="Arial" w:cs="Arial"/>
          <w:b w:val="0"/>
          <w:sz w:val="21"/>
          <w:szCs w:val="21"/>
        </w:rPr>
        <w:t>olarak gerçekleşmiştir.</w:t>
      </w:r>
      <w:r w:rsidR="00712D93">
        <w:rPr>
          <w:rFonts w:ascii="Arial" w:hAnsi="Arial" w:cs="Arial"/>
          <w:b w:val="0"/>
          <w:sz w:val="21"/>
          <w:szCs w:val="21"/>
        </w:rPr>
        <w:t xml:space="preserve"> Böylece yıllık kar 26,3 milyar TL’ye ulaşmıştır. Ortalama özkaynak karlılığı ise yüzde 12,1 olmuştur</w:t>
      </w:r>
    </w:p>
    <w:p w:rsidR="00B8247C" w:rsidRPr="00A37D1F" w:rsidRDefault="00B8247C" w:rsidP="00563E0B">
      <w:pPr>
        <w:pStyle w:val="Subtitle"/>
        <w:spacing w:after="120"/>
        <w:rPr>
          <w:rFonts w:ascii="Arial" w:hAnsi="Arial" w:cs="Arial"/>
          <w:b w:val="0"/>
          <w:color w:val="0000CC"/>
          <w:sz w:val="21"/>
          <w:szCs w:val="21"/>
        </w:rPr>
      </w:pPr>
    </w:p>
    <w:p w:rsidR="007937D6" w:rsidRPr="00813665" w:rsidRDefault="007937D6" w:rsidP="007937D6">
      <w:pPr>
        <w:pStyle w:val="Subtitle"/>
        <w:jc w:val="center"/>
        <w:rPr>
          <w:rFonts w:ascii="Arial" w:hAnsi="Arial" w:cs="Arial"/>
          <w:sz w:val="22"/>
          <w:szCs w:val="24"/>
        </w:rPr>
      </w:pPr>
      <w:r w:rsidRPr="00813665">
        <w:rPr>
          <w:rFonts w:ascii="Arial" w:hAnsi="Arial" w:cs="Arial"/>
          <w:sz w:val="22"/>
          <w:szCs w:val="24"/>
        </w:rPr>
        <w:t>Gelir-Gider Gelişmeleri (Milyar TL)</w:t>
      </w:r>
    </w:p>
    <w:tbl>
      <w:tblPr>
        <w:tblStyle w:val="LightShading"/>
        <w:tblW w:w="7338" w:type="dxa"/>
        <w:jc w:val="center"/>
        <w:tblLook w:val="04A0" w:firstRow="1" w:lastRow="0" w:firstColumn="1" w:lastColumn="0" w:noHBand="0" w:noVBand="1"/>
      </w:tblPr>
      <w:tblGrid>
        <w:gridCol w:w="3227"/>
        <w:gridCol w:w="1134"/>
        <w:gridCol w:w="1276"/>
        <w:gridCol w:w="1701"/>
      </w:tblGrid>
      <w:tr w:rsidR="00813665" w:rsidRPr="00813665" w:rsidTr="007937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noWrap/>
            <w:hideMark/>
          </w:tcPr>
          <w:p w:rsidR="007937D6" w:rsidRPr="00813665" w:rsidRDefault="007937D6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937D6" w:rsidRPr="00813665" w:rsidRDefault="00813665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Mart</w:t>
            </w:r>
            <w:r w:rsidR="007937D6"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1</w:t>
            </w: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7937D6" w:rsidRPr="00813665" w:rsidRDefault="00813665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Mart</w:t>
            </w:r>
            <w:r w:rsidR="007937D6"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 xml:space="preserve"> 1</w:t>
            </w: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701" w:type="dxa"/>
            <w:noWrap/>
            <w:hideMark/>
          </w:tcPr>
          <w:p w:rsidR="007937D6" w:rsidRPr="00813665" w:rsidRDefault="007937D6" w:rsidP="003C71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Değişme (yüzde)</w:t>
            </w:r>
          </w:p>
        </w:tc>
      </w:tr>
      <w:tr w:rsidR="00813665" w:rsidRPr="00813665" w:rsidTr="0083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Faiz Gelirleri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36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46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26</w:t>
            </w:r>
          </w:p>
        </w:tc>
      </w:tr>
      <w:tr w:rsidR="00813665" w:rsidRPr="00813665" w:rsidTr="00831500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Faiz Giderleri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19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25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28</w:t>
            </w:r>
          </w:p>
        </w:tc>
      </w:tr>
      <w:tr w:rsidR="00813665" w:rsidRPr="00813665" w:rsidTr="0083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Net Faiz Geliri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17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21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24</w:t>
            </w:r>
          </w:p>
        </w:tc>
      </w:tr>
      <w:tr w:rsidR="00813665" w:rsidRPr="00813665" w:rsidTr="00831500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Net Ücret ve Komisyon Gelirleri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</w:tr>
      <w:tr w:rsidR="00813665" w:rsidRPr="00813665" w:rsidTr="0083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Toplam Faaliyet Gelirleri - Giderleri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26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30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13</w:t>
            </w:r>
          </w:p>
        </w:tc>
      </w:tr>
      <w:tr w:rsidR="00813665" w:rsidRPr="00813665" w:rsidTr="00831500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hideMark/>
          </w:tcPr>
          <w:p w:rsidR="001E49B3" w:rsidRPr="00813665" w:rsidRDefault="001E49B3" w:rsidP="003C71F7">
            <w:pPr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  <w:lang w:eastAsia="tr-TR"/>
              </w:rPr>
              <w:t>Net Dönem Karı (Zararı)</w:t>
            </w:r>
          </w:p>
        </w:tc>
        <w:tc>
          <w:tcPr>
            <w:tcW w:w="1134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  <w:vAlign w:val="center"/>
            <w:hideMark/>
          </w:tcPr>
          <w:p w:rsidR="001E49B3" w:rsidRPr="00813665" w:rsidRDefault="001E49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13665">
              <w:rPr>
                <w:rFonts w:ascii="Arial" w:hAnsi="Arial" w:cs="Arial"/>
                <w:color w:val="auto"/>
                <w:sz w:val="18"/>
                <w:szCs w:val="18"/>
              </w:rPr>
              <w:t>20</w:t>
            </w:r>
          </w:p>
        </w:tc>
      </w:tr>
    </w:tbl>
    <w:p w:rsidR="00712D93" w:rsidRDefault="00712D93" w:rsidP="00851DA4">
      <w:pPr>
        <w:pStyle w:val="Subtitle"/>
        <w:spacing w:before="120" w:after="120"/>
        <w:rPr>
          <w:rFonts w:ascii="Arial" w:hAnsi="Arial" w:cs="Arial"/>
          <w:b w:val="0"/>
          <w:color w:val="0000CC"/>
          <w:sz w:val="21"/>
          <w:szCs w:val="21"/>
        </w:rPr>
      </w:pPr>
    </w:p>
    <w:p w:rsidR="00712D93" w:rsidRDefault="00712D93" w:rsidP="00851DA4">
      <w:pPr>
        <w:pStyle w:val="Subtitle"/>
        <w:spacing w:before="120" w:after="120"/>
        <w:rPr>
          <w:rFonts w:ascii="Arial" w:hAnsi="Arial" w:cs="Arial"/>
          <w:b w:val="0"/>
          <w:color w:val="0000CC"/>
          <w:sz w:val="21"/>
          <w:szCs w:val="21"/>
        </w:rPr>
      </w:pPr>
    </w:p>
    <w:p w:rsidR="00712D93" w:rsidRDefault="00712D93" w:rsidP="00851DA4">
      <w:pPr>
        <w:pStyle w:val="Subtitle"/>
        <w:spacing w:before="120" w:after="120"/>
        <w:rPr>
          <w:rFonts w:ascii="Arial" w:hAnsi="Arial" w:cs="Arial"/>
          <w:b w:val="0"/>
          <w:color w:val="0000CC"/>
          <w:sz w:val="21"/>
          <w:szCs w:val="21"/>
        </w:rPr>
      </w:pPr>
    </w:p>
    <w:p w:rsidR="00C721C4" w:rsidRPr="00A37D1F" w:rsidRDefault="00C425DF" w:rsidP="00851DA4">
      <w:pPr>
        <w:pStyle w:val="Subtitle"/>
        <w:spacing w:before="120" w:after="120"/>
        <w:rPr>
          <w:rFonts w:ascii="Arial" w:hAnsi="Arial" w:cs="Arial"/>
          <w:b w:val="0"/>
          <w:color w:val="0000CC"/>
          <w:sz w:val="21"/>
          <w:szCs w:val="21"/>
        </w:rPr>
      </w:pPr>
      <w:r>
        <w:rPr>
          <w:rFonts w:ascii="Arial" w:hAnsi="Arial" w:cs="Arial"/>
          <w:b w:val="0"/>
          <w:sz w:val="21"/>
          <w:szCs w:val="21"/>
        </w:rPr>
        <w:lastRenderedPageBreak/>
        <w:t>Konsolide b</w:t>
      </w:r>
      <w:r w:rsidR="00851DA4" w:rsidRPr="00712D93">
        <w:rPr>
          <w:rFonts w:ascii="Arial" w:hAnsi="Arial" w:cs="Arial"/>
          <w:b w:val="0"/>
          <w:sz w:val="21"/>
          <w:szCs w:val="21"/>
        </w:rPr>
        <w:t>ankacılık sektörü sermaye yeterlilik rasyosu 201</w:t>
      </w:r>
      <w:r w:rsidR="00712D93" w:rsidRPr="00712D93">
        <w:rPr>
          <w:rFonts w:ascii="Arial" w:hAnsi="Arial" w:cs="Arial"/>
          <w:b w:val="0"/>
          <w:sz w:val="21"/>
          <w:szCs w:val="21"/>
        </w:rPr>
        <w:t xml:space="preserve">6 yılı Mart ayında 2015 </w:t>
      </w:r>
      <w:proofErr w:type="gramStart"/>
      <w:r w:rsidR="00712D93" w:rsidRPr="00712D93">
        <w:rPr>
          <w:rFonts w:ascii="Arial" w:hAnsi="Arial" w:cs="Arial"/>
          <w:b w:val="0"/>
          <w:sz w:val="21"/>
          <w:szCs w:val="21"/>
        </w:rPr>
        <w:t>yıl sonuna</w:t>
      </w:r>
      <w:proofErr w:type="gramEnd"/>
      <w:r w:rsidR="00712D93" w:rsidRPr="00712D93">
        <w:rPr>
          <w:rFonts w:ascii="Arial" w:hAnsi="Arial" w:cs="Arial"/>
          <w:b w:val="0"/>
          <w:sz w:val="21"/>
          <w:szCs w:val="21"/>
        </w:rPr>
        <w:t xml:space="preserve"> göre 0,1 puan düşerek yüzde 14</w:t>
      </w:r>
      <w:r w:rsidR="00851DA4" w:rsidRPr="00712D93">
        <w:rPr>
          <w:rFonts w:ascii="Arial" w:hAnsi="Arial" w:cs="Arial"/>
          <w:b w:val="0"/>
          <w:sz w:val="21"/>
          <w:szCs w:val="21"/>
        </w:rPr>
        <w:t xml:space="preserve"> olmuştur</w:t>
      </w:r>
      <w:r w:rsidR="00851DA4" w:rsidRPr="00A37D1F">
        <w:rPr>
          <w:rFonts w:ascii="Arial" w:hAnsi="Arial" w:cs="Arial"/>
          <w:b w:val="0"/>
          <w:color w:val="0000CC"/>
          <w:sz w:val="21"/>
          <w:szCs w:val="21"/>
        </w:rPr>
        <w:t xml:space="preserve">. </w:t>
      </w:r>
    </w:p>
    <w:p w:rsidR="007937D6" w:rsidRPr="003A441A" w:rsidRDefault="007937D6" w:rsidP="007937D6">
      <w:pPr>
        <w:pStyle w:val="Subtitle"/>
        <w:jc w:val="center"/>
        <w:rPr>
          <w:rFonts w:ascii="Arial" w:hAnsi="Arial" w:cs="Arial"/>
          <w:szCs w:val="24"/>
        </w:rPr>
      </w:pPr>
      <w:r w:rsidRPr="003A441A">
        <w:rPr>
          <w:rFonts w:ascii="Arial" w:hAnsi="Arial" w:cs="Arial"/>
          <w:sz w:val="22"/>
          <w:szCs w:val="24"/>
        </w:rPr>
        <w:t xml:space="preserve">Özkaynaklar ve Sermaye Yeterliliği </w:t>
      </w:r>
    </w:p>
    <w:p w:rsidR="00D068CD" w:rsidRPr="00F10E2A" w:rsidRDefault="003A441A" w:rsidP="00563E0B">
      <w:pPr>
        <w:jc w:val="center"/>
      </w:pPr>
      <w:r w:rsidRPr="003A441A">
        <w:rPr>
          <w:noProof/>
          <w:color w:val="0000CC"/>
          <w:lang w:eastAsia="tr-TR"/>
        </w:rPr>
        <w:drawing>
          <wp:inline distT="0" distB="0" distL="0" distR="0" wp14:anchorId="5E1752FE" wp14:editId="3FD7C259">
            <wp:extent cx="4464000" cy="21960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D068CD" w:rsidRPr="00F10E2A" w:rsidSect="00363BF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985" w:right="1561" w:bottom="709" w:left="1418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DF" w:rsidRDefault="003C04DF">
      <w:r>
        <w:separator/>
      </w:r>
    </w:p>
  </w:endnote>
  <w:endnote w:type="continuationSeparator" w:id="0">
    <w:p w:rsidR="003C04DF" w:rsidRDefault="003C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963A10">
      <w:rPr>
        <w:rFonts w:ascii="Arial" w:hAnsi="Arial" w:cs="Arial"/>
        <w:sz w:val="18"/>
      </w:rPr>
      <w:t>Mart 201</w:t>
    </w:r>
    <w:r w:rsidR="00AD5A32">
      <w:rPr>
        <w:rFonts w:ascii="Arial" w:hAnsi="Arial" w:cs="Arial"/>
        <w:sz w:val="18"/>
      </w:rPr>
      <w:t>6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3E16CC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DF" w:rsidRDefault="003C04DF">
      <w:r>
        <w:separator/>
      </w:r>
    </w:p>
  </w:footnote>
  <w:footnote w:type="continuationSeparator" w:id="0">
    <w:p w:rsidR="003C04DF" w:rsidRDefault="003C04DF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</w:t>
      </w:r>
      <w:r w:rsidR="00170110" w:rsidRPr="00170110">
        <w:rPr>
          <w:rFonts w:ascii="Arial" w:hAnsi="Arial" w:cs="Arial"/>
          <w:sz w:val="18"/>
          <w:szCs w:val="18"/>
        </w:rPr>
        <w:t>İlgili dönemde konsolidasyon kapsamında bulunan bankaların sayısal bilgileri tablolarda mevcut olup, bilgileri olmayan bankalar o dönem için konsolidasyon kapsamı dışındadır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7DC27DA2" wp14:editId="295AACE9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16A82044" wp14:editId="4AEA9E54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7A4"/>
    <w:multiLevelType w:val="hybridMultilevel"/>
    <w:tmpl w:val="2732161A"/>
    <w:lvl w:ilvl="0" w:tplc="38101C68">
      <w:start w:val="5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09634D"/>
    <w:multiLevelType w:val="hybridMultilevel"/>
    <w:tmpl w:val="D5E6868C"/>
    <w:lvl w:ilvl="0" w:tplc="2DFA22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C2A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0CB2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8AA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1A18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B0BF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92D0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E60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EAAE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7542"/>
    <w:rsid w:val="0003146D"/>
    <w:rsid w:val="000337BE"/>
    <w:rsid w:val="000344BC"/>
    <w:rsid w:val="0004336A"/>
    <w:rsid w:val="00050A0A"/>
    <w:rsid w:val="000574D1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9F3"/>
    <w:rsid w:val="000C5A0D"/>
    <w:rsid w:val="000C6659"/>
    <w:rsid w:val="000C77B2"/>
    <w:rsid w:val="000D45AA"/>
    <w:rsid w:val="000D52E7"/>
    <w:rsid w:val="000D69CF"/>
    <w:rsid w:val="000D7309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68D7"/>
    <w:rsid w:val="00107091"/>
    <w:rsid w:val="00107DCC"/>
    <w:rsid w:val="00110161"/>
    <w:rsid w:val="0011151D"/>
    <w:rsid w:val="00112B10"/>
    <w:rsid w:val="00112B9E"/>
    <w:rsid w:val="0011439C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1E48"/>
    <w:rsid w:val="00132980"/>
    <w:rsid w:val="001344ED"/>
    <w:rsid w:val="00135370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7BF5"/>
    <w:rsid w:val="00170110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0AF9"/>
    <w:rsid w:val="001E1B4B"/>
    <w:rsid w:val="001E3E7D"/>
    <w:rsid w:val="001E49B3"/>
    <w:rsid w:val="001E4CF9"/>
    <w:rsid w:val="001E5DA7"/>
    <w:rsid w:val="001E6811"/>
    <w:rsid w:val="001F3908"/>
    <w:rsid w:val="001F4083"/>
    <w:rsid w:val="001F7734"/>
    <w:rsid w:val="001F7FCE"/>
    <w:rsid w:val="002004E8"/>
    <w:rsid w:val="0020749D"/>
    <w:rsid w:val="0021271F"/>
    <w:rsid w:val="002159C0"/>
    <w:rsid w:val="002170BE"/>
    <w:rsid w:val="00217C37"/>
    <w:rsid w:val="002205CD"/>
    <w:rsid w:val="00220627"/>
    <w:rsid w:val="002230B9"/>
    <w:rsid w:val="002248F2"/>
    <w:rsid w:val="00225B06"/>
    <w:rsid w:val="00225EB5"/>
    <w:rsid w:val="00227388"/>
    <w:rsid w:val="00234523"/>
    <w:rsid w:val="00234AAA"/>
    <w:rsid w:val="002365B6"/>
    <w:rsid w:val="00237A14"/>
    <w:rsid w:val="0024036D"/>
    <w:rsid w:val="00240C25"/>
    <w:rsid w:val="00240E2F"/>
    <w:rsid w:val="0024108A"/>
    <w:rsid w:val="00242C53"/>
    <w:rsid w:val="00245CC4"/>
    <w:rsid w:val="00246E5F"/>
    <w:rsid w:val="00247827"/>
    <w:rsid w:val="00250E81"/>
    <w:rsid w:val="00252DBF"/>
    <w:rsid w:val="00257B0A"/>
    <w:rsid w:val="002621F6"/>
    <w:rsid w:val="002625DF"/>
    <w:rsid w:val="00267D7A"/>
    <w:rsid w:val="002702F1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242E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52B1"/>
    <w:rsid w:val="002D67D5"/>
    <w:rsid w:val="002E0926"/>
    <w:rsid w:val="002E17DE"/>
    <w:rsid w:val="002E1FAE"/>
    <w:rsid w:val="002F0DE6"/>
    <w:rsid w:val="002F24CF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3BF1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41A"/>
    <w:rsid w:val="003A4722"/>
    <w:rsid w:val="003A4B0D"/>
    <w:rsid w:val="003A4E37"/>
    <w:rsid w:val="003A6021"/>
    <w:rsid w:val="003B3D8F"/>
    <w:rsid w:val="003B4FEB"/>
    <w:rsid w:val="003B6F11"/>
    <w:rsid w:val="003B7153"/>
    <w:rsid w:val="003B72EF"/>
    <w:rsid w:val="003C04DF"/>
    <w:rsid w:val="003C2ACB"/>
    <w:rsid w:val="003C5895"/>
    <w:rsid w:val="003C6085"/>
    <w:rsid w:val="003C612E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6CC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26F1"/>
    <w:rsid w:val="00453493"/>
    <w:rsid w:val="00453B22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2671"/>
    <w:rsid w:val="004E3BB6"/>
    <w:rsid w:val="004F4F22"/>
    <w:rsid w:val="004F58C0"/>
    <w:rsid w:val="004F7254"/>
    <w:rsid w:val="005010CA"/>
    <w:rsid w:val="00511F4E"/>
    <w:rsid w:val="00514D84"/>
    <w:rsid w:val="00517505"/>
    <w:rsid w:val="0052039A"/>
    <w:rsid w:val="0052173F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00EF"/>
    <w:rsid w:val="005629AB"/>
    <w:rsid w:val="0056307D"/>
    <w:rsid w:val="00563E0B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4254"/>
    <w:rsid w:val="005A7FAF"/>
    <w:rsid w:val="005B14F4"/>
    <w:rsid w:val="005B1D48"/>
    <w:rsid w:val="005B2EDB"/>
    <w:rsid w:val="005B43A1"/>
    <w:rsid w:val="005B54D6"/>
    <w:rsid w:val="005B5E79"/>
    <w:rsid w:val="005B61D6"/>
    <w:rsid w:val="005C0915"/>
    <w:rsid w:val="005C1C6E"/>
    <w:rsid w:val="005C39DE"/>
    <w:rsid w:val="005C5539"/>
    <w:rsid w:val="005D351C"/>
    <w:rsid w:val="005D427A"/>
    <w:rsid w:val="005D5F86"/>
    <w:rsid w:val="005E0EB8"/>
    <w:rsid w:val="005E1BF3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873"/>
    <w:rsid w:val="00607CE2"/>
    <w:rsid w:val="00613C90"/>
    <w:rsid w:val="0061706E"/>
    <w:rsid w:val="00622936"/>
    <w:rsid w:val="00622C1C"/>
    <w:rsid w:val="006240D7"/>
    <w:rsid w:val="00624300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0D3"/>
    <w:rsid w:val="00662973"/>
    <w:rsid w:val="00663612"/>
    <w:rsid w:val="00663701"/>
    <w:rsid w:val="00665D6F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16"/>
    <w:rsid w:val="006A1A36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1029A"/>
    <w:rsid w:val="0071090F"/>
    <w:rsid w:val="00710A75"/>
    <w:rsid w:val="00712D93"/>
    <w:rsid w:val="007144E6"/>
    <w:rsid w:val="00716A11"/>
    <w:rsid w:val="00716CE3"/>
    <w:rsid w:val="007176B4"/>
    <w:rsid w:val="00722B3D"/>
    <w:rsid w:val="00723864"/>
    <w:rsid w:val="007239A9"/>
    <w:rsid w:val="00724768"/>
    <w:rsid w:val="0072482D"/>
    <w:rsid w:val="0072503B"/>
    <w:rsid w:val="007257BA"/>
    <w:rsid w:val="0072627E"/>
    <w:rsid w:val="0072685A"/>
    <w:rsid w:val="00726C63"/>
    <w:rsid w:val="007277F2"/>
    <w:rsid w:val="007306B3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292E"/>
    <w:rsid w:val="00757819"/>
    <w:rsid w:val="007626A4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37D6"/>
    <w:rsid w:val="00795D68"/>
    <w:rsid w:val="007B0010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2573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665"/>
    <w:rsid w:val="00813B8E"/>
    <w:rsid w:val="00814A25"/>
    <w:rsid w:val="008220D8"/>
    <w:rsid w:val="00824DDF"/>
    <w:rsid w:val="0082683C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1DA4"/>
    <w:rsid w:val="00852EFE"/>
    <w:rsid w:val="00855D97"/>
    <w:rsid w:val="008610C7"/>
    <w:rsid w:val="00867B10"/>
    <w:rsid w:val="0087259E"/>
    <w:rsid w:val="00872982"/>
    <w:rsid w:val="00874202"/>
    <w:rsid w:val="00877572"/>
    <w:rsid w:val="008804C5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28E6"/>
    <w:rsid w:val="008A4022"/>
    <w:rsid w:val="008A479E"/>
    <w:rsid w:val="008A4FA5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1A96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431A"/>
    <w:rsid w:val="00984CCB"/>
    <w:rsid w:val="009852C9"/>
    <w:rsid w:val="009863CA"/>
    <w:rsid w:val="00987EDB"/>
    <w:rsid w:val="009905A9"/>
    <w:rsid w:val="0099182F"/>
    <w:rsid w:val="0099301B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27A6"/>
    <w:rsid w:val="009C6D05"/>
    <w:rsid w:val="009C70AD"/>
    <w:rsid w:val="009D0E3A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631"/>
    <w:rsid w:val="00A24D51"/>
    <w:rsid w:val="00A25469"/>
    <w:rsid w:val="00A2732B"/>
    <w:rsid w:val="00A312E8"/>
    <w:rsid w:val="00A36F63"/>
    <w:rsid w:val="00A37D1F"/>
    <w:rsid w:val="00A410CF"/>
    <w:rsid w:val="00A42DBC"/>
    <w:rsid w:val="00A435E0"/>
    <w:rsid w:val="00A44544"/>
    <w:rsid w:val="00A463F1"/>
    <w:rsid w:val="00A465DF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03F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0CA1"/>
    <w:rsid w:val="00AD1B45"/>
    <w:rsid w:val="00AD5A32"/>
    <w:rsid w:val="00AD779B"/>
    <w:rsid w:val="00AE117C"/>
    <w:rsid w:val="00AE2535"/>
    <w:rsid w:val="00AE260F"/>
    <w:rsid w:val="00AE3B1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39C1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D30"/>
    <w:rsid w:val="00B42E24"/>
    <w:rsid w:val="00B4452B"/>
    <w:rsid w:val="00B53222"/>
    <w:rsid w:val="00B5681A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10A4"/>
    <w:rsid w:val="00B8247C"/>
    <w:rsid w:val="00B83A1E"/>
    <w:rsid w:val="00B85D10"/>
    <w:rsid w:val="00B867F7"/>
    <w:rsid w:val="00B911BA"/>
    <w:rsid w:val="00B92854"/>
    <w:rsid w:val="00B931E6"/>
    <w:rsid w:val="00B9445B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4AB1"/>
    <w:rsid w:val="00BB5E88"/>
    <w:rsid w:val="00BB62C7"/>
    <w:rsid w:val="00BB7569"/>
    <w:rsid w:val="00BC4874"/>
    <w:rsid w:val="00BC5E9F"/>
    <w:rsid w:val="00BC5F85"/>
    <w:rsid w:val="00BD3B2F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1C37"/>
    <w:rsid w:val="00C23974"/>
    <w:rsid w:val="00C2508B"/>
    <w:rsid w:val="00C25D29"/>
    <w:rsid w:val="00C261E5"/>
    <w:rsid w:val="00C270D2"/>
    <w:rsid w:val="00C3577A"/>
    <w:rsid w:val="00C379B4"/>
    <w:rsid w:val="00C4175C"/>
    <w:rsid w:val="00C41FF2"/>
    <w:rsid w:val="00C425DF"/>
    <w:rsid w:val="00C45413"/>
    <w:rsid w:val="00C46ED2"/>
    <w:rsid w:val="00C54487"/>
    <w:rsid w:val="00C54AD7"/>
    <w:rsid w:val="00C56A04"/>
    <w:rsid w:val="00C574D0"/>
    <w:rsid w:val="00C577D3"/>
    <w:rsid w:val="00C61B4B"/>
    <w:rsid w:val="00C61FB1"/>
    <w:rsid w:val="00C65B99"/>
    <w:rsid w:val="00C71218"/>
    <w:rsid w:val="00C71B5D"/>
    <w:rsid w:val="00C721C4"/>
    <w:rsid w:val="00C72888"/>
    <w:rsid w:val="00C733A1"/>
    <w:rsid w:val="00C80B1F"/>
    <w:rsid w:val="00C84B28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3DC2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68CD"/>
    <w:rsid w:val="00D06BF9"/>
    <w:rsid w:val="00D107E7"/>
    <w:rsid w:val="00D10A14"/>
    <w:rsid w:val="00D11ABF"/>
    <w:rsid w:val="00D13E15"/>
    <w:rsid w:val="00D159DE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5361"/>
    <w:rsid w:val="00D67174"/>
    <w:rsid w:val="00D7259F"/>
    <w:rsid w:val="00D734D4"/>
    <w:rsid w:val="00D740D5"/>
    <w:rsid w:val="00D74A3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3C3C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015D4"/>
    <w:rsid w:val="00E11872"/>
    <w:rsid w:val="00E1238A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4F12"/>
    <w:rsid w:val="00E66459"/>
    <w:rsid w:val="00E668C2"/>
    <w:rsid w:val="00E7047F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A6F8D"/>
    <w:rsid w:val="00EB034E"/>
    <w:rsid w:val="00EB3B9B"/>
    <w:rsid w:val="00EB7CA0"/>
    <w:rsid w:val="00EC16EE"/>
    <w:rsid w:val="00EC68BF"/>
    <w:rsid w:val="00EC75A1"/>
    <w:rsid w:val="00ED1D6F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671B"/>
    <w:rsid w:val="00F067BC"/>
    <w:rsid w:val="00F10E2A"/>
    <w:rsid w:val="00F126EF"/>
    <w:rsid w:val="00F12A0D"/>
    <w:rsid w:val="00F1364A"/>
    <w:rsid w:val="00F16D4F"/>
    <w:rsid w:val="00F17128"/>
    <w:rsid w:val="00F2329B"/>
    <w:rsid w:val="00F233FE"/>
    <w:rsid w:val="00F254B1"/>
    <w:rsid w:val="00F313B2"/>
    <w:rsid w:val="00F33313"/>
    <w:rsid w:val="00F40DE4"/>
    <w:rsid w:val="00F43E87"/>
    <w:rsid w:val="00F46A0E"/>
    <w:rsid w:val="00F4744D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0B"/>
    <w:rsid w:val="00FF1DA8"/>
    <w:rsid w:val="00FF3446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  <w:style w:type="paragraph" w:customStyle="1" w:styleId="Default">
    <w:name w:val="Default"/>
    <w:rsid w:val="007937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7937D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63E0B"/>
    <w:pPr>
      <w:ind w:left="720"/>
      <w:contextualSpacing/>
    </w:pPr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FF6C78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F6C78"/>
    <w:rPr>
      <w:lang w:eastAsia="en-US"/>
    </w:rPr>
  </w:style>
  <w:style w:type="character" w:styleId="EndnoteReference">
    <w:name w:val="endnote reference"/>
    <w:basedOn w:val="DefaultParagraphFont"/>
    <w:rsid w:val="00FF6C78"/>
    <w:rPr>
      <w:vertAlign w:val="superscript"/>
    </w:rPr>
  </w:style>
  <w:style w:type="paragraph" w:customStyle="1" w:styleId="Default">
    <w:name w:val="Default"/>
    <w:rsid w:val="007937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7937D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63E0B"/>
    <w:pPr>
      <w:ind w:left="720"/>
      <w:contextualSpacing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tbbdosyas\mev\Bankac&#305;l&#305;k%20G&#246;stergeleri%20Sunumlar\Ara&#351;t&#305;rma%20raporlar&#305;\Konsolide\K1.Mali%20b&#252;nye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'Sermaye std. Oranı'!$K$8</c:f>
              <c:strCache>
                <c:ptCount val="1"/>
                <c:pt idx="0">
                  <c:v>Özkaynak (milyar TL)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'Sermaye std. Oranı'!$J$9:$J$13</c:f>
              <c:strCache>
                <c:ptCount val="5"/>
                <c:pt idx="0">
                  <c:v>Sektör</c:v>
                </c:pt>
                <c:pt idx="1">
                  <c:v>Mevduat</c:v>
                </c:pt>
                <c:pt idx="2">
                  <c:v>Özel Sermayeli </c:v>
                </c:pt>
                <c:pt idx="3">
                  <c:v>Yabancı Sermayeli</c:v>
                </c:pt>
                <c:pt idx="4">
                  <c:v>Kalkınma ve Yatırım </c:v>
                </c:pt>
              </c:strCache>
            </c:strRef>
          </c:cat>
          <c:val>
            <c:numRef>
              <c:f>'Sermaye std. Oranı'!$K$9:$K$13</c:f>
              <c:numCache>
                <c:formatCode>#,##0</c:formatCode>
                <c:ptCount val="5"/>
                <c:pt idx="0">
                  <c:v>269.95480329149996</c:v>
                </c:pt>
                <c:pt idx="1">
                  <c:v>265.84211229150003</c:v>
                </c:pt>
                <c:pt idx="2">
                  <c:v>114.96749199999999</c:v>
                </c:pt>
                <c:pt idx="3">
                  <c:v>72.97093629150001</c:v>
                </c:pt>
                <c:pt idx="4">
                  <c:v>4.1126909999999999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150912"/>
        <c:axId val="100061184"/>
      </c:barChart>
      <c:lineChart>
        <c:grouping val="standard"/>
        <c:varyColors val="0"/>
        <c:ser>
          <c:idx val="1"/>
          <c:order val="1"/>
          <c:tx>
            <c:strRef>
              <c:f>'Sermaye std. Oranı'!$L$8</c:f>
              <c:strCache>
                <c:ptCount val="1"/>
                <c:pt idx="0">
                  <c:v>Sermaye Yeterlilik Oranı (sağ eksen, yüzde)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9"/>
            <c:spPr>
              <a:solidFill>
                <a:srgbClr val="0000DE"/>
              </a:solidFill>
              <a:ln>
                <a:noFill/>
              </a:ln>
            </c:spPr>
          </c:marker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rgbClr val="0000CC"/>
                    </a:solidFill>
                  </a:defRPr>
                </a:pPr>
                <a:endParaRPr lang="tr-T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'Sermaye std. Oranı'!$J$9:$J$13</c:f>
              <c:strCache>
                <c:ptCount val="5"/>
                <c:pt idx="0">
                  <c:v>Sektör</c:v>
                </c:pt>
                <c:pt idx="1">
                  <c:v>Mevduat</c:v>
                </c:pt>
                <c:pt idx="2">
                  <c:v>Özel Sermayeli </c:v>
                </c:pt>
                <c:pt idx="3">
                  <c:v>Yabancı Sermayeli</c:v>
                </c:pt>
                <c:pt idx="4">
                  <c:v>Kalkınma ve Yatırım </c:v>
                </c:pt>
              </c:strCache>
            </c:strRef>
          </c:cat>
          <c:val>
            <c:numRef>
              <c:f>'Sermaye std. Oranı'!$L$9:$L$13</c:f>
              <c:numCache>
                <c:formatCode>#,##0.00</c:formatCode>
                <c:ptCount val="5"/>
                <c:pt idx="0">
                  <c:v>13.958934301528608</c:v>
                </c:pt>
                <c:pt idx="1">
                  <c:v>13.934260250329064</c:v>
                </c:pt>
                <c:pt idx="2">
                  <c:v>14.13841506545244</c:v>
                </c:pt>
                <c:pt idx="3">
                  <c:v>14.168126723485505</c:v>
                </c:pt>
                <c:pt idx="4">
                  <c:v>15.76319125234683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064640"/>
        <c:axId val="100063104"/>
      </c:lineChart>
      <c:catAx>
        <c:axId val="80150912"/>
        <c:scaling>
          <c:orientation val="minMax"/>
        </c:scaling>
        <c:delete val="0"/>
        <c:axPos val="b"/>
        <c:majorTickMark val="out"/>
        <c:minorTickMark val="none"/>
        <c:tickLblPos val="nextTo"/>
        <c:crossAx val="100061184"/>
        <c:crosses val="autoZero"/>
        <c:auto val="1"/>
        <c:lblAlgn val="ctr"/>
        <c:lblOffset val="100"/>
        <c:noMultiLvlLbl val="0"/>
      </c:catAx>
      <c:valAx>
        <c:axId val="100061184"/>
        <c:scaling>
          <c:orientation val="minMax"/>
        </c:scaling>
        <c:delete val="0"/>
        <c:axPos val="l"/>
        <c:numFmt formatCode="#,##0" sourceLinked="1"/>
        <c:majorTickMark val="out"/>
        <c:minorTickMark val="none"/>
        <c:tickLblPos val="nextTo"/>
        <c:crossAx val="80150912"/>
        <c:crosses val="autoZero"/>
        <c:crossBetween val="between"/>
      </c:valAx>
      <c:valAx>
        <c:axId val="100063104"/>
        <c:scaling>
          <c:orientation val="minMax"/>
        </c:scaling>
        <c:delete val="0"/>
        <c:axPos val="r"/>
        <c:numFmt formatCode="#,##0" sourceLinked="0"/>
        <c:majorTickMark val="out"/>
        <c:minorTickMark val="none"/>
        <c:tickLblPos val="nextTo"/>
        <c:crossAx val="100064640"/>
        <c:crosses val="max"/>
        <c:crossBetween val="between"/>
        <c:majorUnit val="1"/>
      </c:valAx>
      <c:catAx>
        <c:axId val="100064640"/>
        <c:scaling>
          <c:orientation val="minMax"/>
        </c:scaling>
        <c:delete val="1"/>
        <c:axPos val="b"/>
        <c:majorTickMark val="out"/>
        <c:minorTickMark val="none"/>
        <c:tickLblPos val="nextTo"/>
        <c:crossAx val="100063104"/>
        <c:crosses val="autoZero"/>
        <c:auto val="1"/>
        <c:lblAlgn val="ctr"/>
        <c:lblOffset val="100"/>
        <c:noMultiLvlLbl val="0"/>
      </c:cat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7EE0E-CC99-448B-8216-FD6874971DF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308457-F6C4-4B41-B246-C220222B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Aslı Özaktan</cp:lastModifiedBy>
  <cp:revision>2</cp:revision>
  <cp:lastPrinted>2016-06-06T13:14:00Z</cp:lastPrinted>
  <dcterms:created xsi:type="dcterms:W3CDTF">2016-07-15T12:02:00Z</dcterms:created>
  <dcterms:modified xsi:type="dcterms:W3CDTF">2016-07-15T12:02:00Z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