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39" w:rsidRDefault="004C4F39" w:rsidP="007E431A">
      <w:pPr>
        <w:jc w:val="center"/>
        <w:rPr>
          <w:b/>
          <w:sz w:val="28"/>
          <w:szCs w:val="28"/>
        </w:rPr>
      </w:pPr>
      <w:r w:rsidRPr="004C4F39">
        <w:rPr>
          <w:b/>
          <w:sz w:val="28"/>
          <w:szCs w:val="28"/>
        </w:rPr>
        <w:t xml:space="preserve">Engelli Vatandaşlara Sunulan </w:t>
      </w:r>
    </w:p>
    <w:p w:rsidR="009F53B2" w:rsidRPr="00995A3E" w:rsidRDefault="004C4F39" w:rsidP="007E431A">
      <w:pPr>
        <w:jc w:val="center"/>
        <w:rPr>
          <w:b/>
          <w:sz w:val="28"/>
          <w:szCs w:val="28"/>
        </w:rPr>
      </w:pPr>
      <w:r w:rsidRPr="004C4F39">
        <w:rPr>
          <w:b/>
          <w:sz w:val="28"/>
          <w:szCs w:val="28"/>
        </w:rPr>
        <w:t>Bankacılık Hizmetler</w:t>
      </w:r>
      <w:r>
        <w:rPr>
          <w:b/>
          <w:sz w:val="28"/>
          <w:szCs w:val="28"/>
        </w:rPr>
        <w:t>i</w:t>
      </w:r>
      <w:r w:rsidRPr="004C4F39">
        <w:rPr>
          <w:b/>
          <w:sz w:val="28"/>
          <w:szCs w:val="28"/>
        </w:rPr>
        <w:t xml:space="preserve"> İstatistikleri</w:t>
      </w:r>
      <w:r w:rsidRPr="004C4F39">
        <w:rPr>
          <w:rStyle w:val="FootnoteReference"/>
          <w:b/>
          <w:sz w:val="28"/>
          <w:szCs w:val="28"/>
          <w:vertAlign w:val="baseline"/>
        </w:rPr>
        <w:t xml:space="preserve"> </w:t>
      </w:r>
      <w:r w:rsidR="007E431A" w:rsidRPr="006F2BD8">
        <w:rPr>
          <w:rStyle w:val="FootnoteReference"/>
          <w:rFonts w:cs="Arial"/>
          <w:b/>
          <w:bCs/>
          <w:sz w:val="28"/>
          <w:szCs w:val="28"/>
        </w:rPr>
        <w:footnoteReference w:id="1"/>
      </w:r>
    </w:p>
    <w:p w:rsidR="009F53B2" w:rsidRPr="007E431A" w:rsidRDefault="00A51338" w:rsidP="007E4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Haziran </w:t>
      </w:r>
      <w:r w:rsidR="007E431A" w:rsidRPr="007E431A">
        <w:rPr>
          <w:b/>
          <w:sz w:val="28"/>
          <w:szCs w:val="28"/>
        </w:rPr>
        <w:t>20</w:t>
      </w:r>
      <w:r w:rsidR="00965C8F">
        <w:rPr>
          <w:b/>
          <w:sz w:val="28"/>
          <w:szCs w:val="28"/>
        </w:rPr>
        <w:t>21</w:t>
      </w:r>
    </w:p>
    <w:p w:rsidR="007E431A" w:rsidRDefault="007E431A"/>
    <w:p w:rsidR="007E431A" w:rsidRDefault="007E431A"/>
    <w:p w:rsidR="00CA4844" w:rsidRPr="00591705" w:rsidRDefault="00BD313F" w:rsidP="00BD313F">
      <w:pPr>
        <w:jc w:val="both"/>
      </w:pPr>
      <w:r w:rsidRPr="00BD313F">
        <w:t>Engelli vatandaşlar</w:t>
      </w:r>
      <w:r w:rsidR="00995A3E">
        <w:t xml:space="preserve">a </w:t>
      </w:r>
      <w:r w:rsidR="00325FA6">
        <w:t>sunulan</w:t>
      </w:r>
      <w:r w:rsidR="00995A3E">
        <w:t xml:space="preserve"> </w:t>
      </w:r>
      <w:r w:rsidRPr="00BD313F">
        <w:t>bankacılık hizmetlerin</w:t>
      </w:r>
      <w:r w:rsidR="00995A3E">
        <w:t>in geliştirilmesi</w:t>
      </w:r>
      <w:r w:rsidR="00CC5591">
        <w:t xml:space="preserve"> amacıyla </w:t>
      </w:r>
      <w:r w:rsidR="00CC5591" w:rsidRPr="006D5DFA">
        <w:rPr>
          <w:rFonts w:cs="Arial"/>
          <w:color w:val="000000"/>
          <w:szCs w:val="22"/>
        </w:rPr>
        <w:t xml:space="preserve">bankaların </w:t>
      </w:r>
      <w:r w:rsidR="00CC5591">
        <w:rPr>
          <w:rFonts w:cs="Arial"/>
          <w:color w:val="000000"/>
          <w:szCs w:val="22"/>
        </w:rPr>
        <w:t>yıl</w:t>
      </w:r>
      <w:r w:rsidR="00CC5591" w:rsidRPr="006D5DFA">
        <w:rPr>
          <w:rFonts w:cs="Arial"/>
          <w:color w:val="000000"/>
          <w:szCs w:val="22"/>
        </w:rPr>
        <w:t xml:space="preserve"> içindeki gelişmeler</w:t>
      </w:r>
      <w:r w:rsidR="00CC5591">
        <w:rPr>
          <w:rFonts w:cs="Arial"/>
          <w:color w:val="000000"/>
          <w:szCs w:val="22"/>
        </w:rPr>
        <w:t xml:space="preserve">ini izlemeyi </w:t>
      </w:r>
      <w:r w:rsidR="00DD2078">
        <w:rPr>
          <w:rFonts w:cs="Arial"/>
          <w:color w:val="000000"/>
          <w:szCs w:val="22"/>
        </w:rPr>
        <w:t>h</w:t>
      </w:r>
      <w:r w:rsidR="00F062BB">
        <w:rPr>
          <w:rFonts w:cs="Arial"/>
          <w:color w:val="000000"/>
          <w:szCs w:val="22"/>
        </w:rPr>
        <w:t>edefleyen bu rapor, Haziran 2021</w:t>
      </w:r>
      <w:r w:rsidR="00CC5591">
        <w:rPr>
          <w:rFonts w:cs="Arial"/>
          <w:color w:val="000000"/>
          <w:szCs w:val="22"/>
        </w:rPr>
        <w:t xml:space="preserve"> dönemi </w:t>
      </w:r>
      <w:r w:rsidR="00CC5591" w:rsidRPr="00CA1B46">
        <w:rPr>
          <w:rFonts w:cs="Arial"/>
          <w:color w:val="000000" w:themeColor="text1"/>
          <w:szCs w:val="22"/>
        </w:rPr>
        <w:t xml:space="preserve">itibariyle </w:t>
      </w:r>
      <w:r w:rsidR="00E54A44">
        <w:rPr>
          <w:rFonts w:cs="Arial"/>
          <w:color w:val="000000" w:themeColor="text1"/>
          <w:szCs w:val="22"/>
        </w:rPr>
        <w:t>2</w:t>
      </w:r>
      <w:r w:rsidR="00DD2078">
        <w:rPr>
          <w:rFonts w:cs="Arial"/>
          <w:color w:val="000000" w:themeColor="text1"/>
          <w:szCs w:val="22"/>
        </w:rPr>
        <w:t>5</w:t>
      </w:r>
      <w:r w:rsidR="00CC5591" w:rsidRPr="00CA1B46">
        <w:rPr>
          <w:rFonts w:cs="Arial"/>
          <w:color w:val="000000" w:themeColor="text1"/>
          <w:szCs w:val="22"/>
        </w:rPr>
        <w:t xml:space="preserve"> </w:t>
      </w:r>
      <w:r w:rsidR="00CC5591" w:rsidRPr="006D5DFA">
        <w:rPr>
          <w:rFonts w:cs="Arial"/>
          <w:color w:val="000000"/>
          <w:szCs w:val="22"/>
        </w:rPr>
        <w:t>banka verisinden oluşmaktadır.</w:t>
      </w:r>
      <w:r w:rsidR="00CC5591">
        <w:rPr>
          <w:rFonts w:cs="Arial"/>
          <w:color w:val="000000"/>
          <w:szCs w:val="22"/>
        </w:rPr>
        <w:t xml:space="preserve"> </w:t>
      </w:r>
      <w:r w:rsidRPr="00591705">
        <w:t>Bu kapsamda verilmekte olan hizmetler</w:t>
      </w:r>
      <w:r w:rsidR="00CA4844" w:rsidRPr="00591705">
        <w:t>e</w:t>
      </w:r>
      <w:r w:rsidRPr="00591705">
        <w:t xml:space="preserve"> ilişkin bilgiler </w:t>
      </w:r>
      <w:r w:rsidR="00CA4844" w:rsidRPr="00591705">
        <w:t xml:space="preserve">ilk kez </w:t>
      </w:r>
      <w:r w:rsidRPr="00591705">
        <w:t xml:space="preserve">Haziran 2011 </w:t>
      </w:r>
      <w:r w:rsidR="00DB6C55" w:rsidRPr="00591705">
        <w:t>dönemi</w:t>
      </w:r>
      <w:r w:rsidRPr="00591705">
        <w:t xml:space="preserve"> itibariyle bankalardan toplanmış ve </w:t>
      </w:r>
      <w:r w:rsidR="002F5678">
        <w:t>toplulaştırıl</w:t>
      </w:r>
      <w:r w:rsidR="001319DB">
        <w:t>arak</w:t>
      </w:r>
      <w:r w:rsidR="00995A3E" w:rsidRPr="00591705">
        <w:t xml:space="preserve"> </w:t>
      </w:r>
      <w:r w:rsidRPr="00591705">
        <w:t>Birliğimiz internet sitesinde yayımlanmıştır.</w:t>
      </w:r>
      <w:r w:rsidR="00CA4844" w:rsidRPr="00591705">
        <w:t xml:space="preserve"> </w:t>
      </w:r>
    </w:p>
    <w:p w:rsidR="00BD313F" w:rsidRDefault="00BD313F" w:rsidP="00BD313F">
      <w:pPr>
        <w:jc w:val="both"/>
      </w:pPr>
    </w:p>
    <w:p w:rsidR="009F1FE0" w:rsidRDefault="009F1FE0" w:rsidP="00BD313F">
      <w:pPr>
        <w:jc w:val="both"/>
      </w:pPr>
    </w:p>
    <w:p w:rsidR="00A9309D" w:rsidRDefault="00A9309D" w:rsidP="00E40A39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Engellilere hizmet veren banka sayısı </w:t>
      </w:r>
    </w:p>
    <w:p w:rsidR="00A9309D" w:rsidRDefault="00A9309D" w:rsidP="00A9309D">
      <w:pPr>
        <w:pStyle w:val="ListParagraph"/>
        <w:ind w:left="360"/>
        <w:jc w:val="both"/>
        <w:rPr>
          <w:b/>
        </w:rPr>
      </w:pPr>
    </w:p>
    <w:p w:rsidR="00E812EB" w:rsidRDefault="00D67C67" w:rsidP="00E812EB">
      <w:pPr>
        <w:jc w:val="both"/>
      </w:pPr>
      <w:r>
        <w:t xml:space="preserve">Engellilere </w:t>
      </w:r>
      <w:r w:rsidR="00E812EB" w:rsidRPr="00591705">
        <w:t>bankacılık hizmeti</w:t>
      </w:r>
      <w:r w:rsidR="00DD2078">
        <w:t xml:space="preserve"> sunan banka sayısı Haziran 2020</w:t>
      </w:r>
      <w:r w:rsidR="001D01DA">
        <w:t xml:space="preserve"> </w:t>
      </w:r>
      <w:r w:rsidR="00911C19">
        <w:t>itibariyle 2</w:t>
      </w:r>
      <w:r w:rsidR="00DD2078">
        <w:t>5</w:t>
      </w:r>
      <w:r w:rsidR="00BA4CD6">
        <w:t xml:space="preserve"> banka</w:t>
      </w:r>
      <w:r w:rsidR="009F0810">
        <w:t>dır.</w:t>
      </w:r>
      <w:r w:rsidR="00BA4CD6">
        <w:t xml:space="preserve"> </w:t>
      </w:r>
    </w:p>
    <w:p w:rsidR="009F1FE0" w:rsidRPr="00FD59CD" w:rsidRDefault="009F1FE0" w:rsidP="00FD59CD">
      <w:pPr>
        <w:jc w:val="both"/>
        <w:rPr>
          <w:b/>
        </w:rPr>
      </w:pPr>
    </w:p>
    <w:tbl>
      <w:tblPr>
        <w:tblW w:w="8108" w:type="dxa"/>
        <w:jc w:val="center"/>
        <w:tblInd w:w="-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1417"/>
        <w:gridCol w:w="1353"/>
        <w:gridCol w:w="1350"/>
      </w:tblGrid>
      <w:tr w:rsidR="00DD2078" w:rsidRPr="0004661E" w:rsidTr="00095D15">
        <w:trPr>
          <w:trHeight w:val="285"/>
          <w:jc w:val="center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078" w:rsidRPr="0004661E" w:rsidRDefault="00DD2078" w:rsidP="00A9309D">
            <w:pPr>
              <w:pStyle w:val="ListParagraph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hideMark/>
          </w:tcPr>
          <w:p w:rsidR="00DD2078" w:rsidRPr="00F375BC" w:rsidRDefault="00DD2078" w:rsidP="00090574">
            <w:pPr>
              <w:pStyle w:val="ListParagraph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Haziran 201</w:t>
            </w:r>
            <w:r w:rsidR="00F062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000000" w:fill="FFFFFF" w:themeFill="background1"/>
          </w:tcPr>
          <w:p w:rsidR="00DD2078" w:rsidRPr="00F375BC" w:rsidRDefault="00DD2078" w:rsidP="00090574">
            <w:pPr>
              <w:pStyle w:val="ListParagraph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Haziran 20</w:t>
            </w:r>
            <w:r w:rsidR="00F062B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000000" w:fill="FFFFFF" w:themeFill="background1"/>
          </w:tcPr>
          <w:p w:rsidR="00DD2078" w:rsidRPr="00F375BC" w:rsidRDefault="00DD2078" w:rsidP="00DD2078">
            <w:pPr>
              <w:pStyle w:val="ListParagraph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Haziran 202</w:t>
            </w:r>
            <w:r w:rsidR="00F062BB">
              <w:rPr>
                <w:b/>
                <w:sz w:val="20"/>
                <w:szCs w:val="20"/>
              </w:rPr>
              <w:t>1</w:t>
            </w:r>
          </w:p>
        </w:tc>
      </w:tr>
      <w:tr w:rsidR="00DD2078" w:rsidRPr="0004661E" w:rsidTr="00095D15">
        <w:trPr>
          <w:trHeight w:val="358"/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078" w:rsidRPr="0004661E" w:rsidRDefault="00DD2078" w:rsidP="00095D15">
            <w:pPr>
              <w:pStyle w:val="ListParagraph"/>
              <w:ind w:left="87"/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Engellilere hizmet veren banka sayısı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DD2078" w:rsidRDefault="00F062BB" w:rsidP="00090574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DD2078" w:rsidRDefault="00F062BB" w:rsidP="00090574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DD2078" w:rsidRDefault="00DD2078" w:rsidP="005A506B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9F1FE0" w:rsidRDefault="009F1FE0" w:rsidP="00E773C6">
      <w:pPr>
        <w:jc w:val="both"/>
        <w:rPr>
          <w:b/>
        </w:rPr>
      </w:pPr>
    </w:p>
    <w:p w:rsidR="003B2218" w:rsidRPr="00E773C6" w:rsidRDefault="003B2218" w:rsidP="00E773C6">
      <w:pPr>
        <w:jc w:val="both"/>
        <w:rPr>
          <w:b/>
        </w:rPr>
      </w:pPr>
    </w:p>
    <w:p w:rsidR="00E40A39" w:rsidRPr="00E40A39" w:rsidRDefault="007E431A" w:rsidP="00E40A39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ATM, POS ve Şube Üzerinden Engelli Bankacılık H</w:t>
      </w:r>
      <w:r w:rsidR="00E40A39" w:rsidRPr="00E40A39">
        <w:rPr>
          <w:b/>
        </w:rPr>
        <w:t>izmetleri</w:t>
      </w:r>
    </w:p>
    <w:p w:rsidR="00E40A39" w:rsidRDefault="00E40A39" w:rsidP="00BD313F">
      <w:pPr>
        <w:jc w:val="both"/>
      </w:pPr>
    </w:p>
    <w:p w:rsidR="002C0B50" w:rsidRDefault="00793885" w:rsidP="00BD313F">
      <w:pPr>
        <w:jc w:val="both"/>
      </w:pPr>
      <w:r>
        <w:t>Haziran 2021</w:t>
      </w:r>
      <w:r w:rsidR="002C0B50">
        <w:t xml:space="preserve"> dönemi itibariyle banka müşterisi olan ortopedik engelli sayısı 10 bin </w:t>
      </w:r>
      <w:r>
        <w:t xml:space="preserve">330 </w:t>
      </w:r>
      <w:r w:rsidR="002C0B50">
        <w:t xml:space="preserve">kişidir. Aynı dönemde görme </w:t>
      </w:r>
      <w:r>
        <w:t>engelli müşteri sayısı 3</w:t>
      </w:r>
      <w:r w:rsidR="002C0B50">
        <w:t xml:space="preserve"> bin</w:t>
      </w:r>
      <w:r>
        <w:t xml:space="preserve"> 222 kişi</w:t>
      </w:r>
      <w:r w:rsidR="002C0B50">
        <w:t xml:space="preserve">, işitme engelli müşteri sayısı ise </w:t>
      </w:r>
      <w:r>
        <w:t>yaklaşık 8</w:t>
      </w:r>
      <w:r w:rsidR="002C0B50">
        <w:t xml:space="preserve"> bin</w:t>
      </w:r>
      <w:r w:rsidR="00BE383E">
        <w:t xml:space="preserve"> </w:t>
      </w:r>
      <w:r w:rsidR="002C0B50">
        <w:t>kişidir.</w:t>
      </w:r>
    </w:p>
    <w:p w:rsidR="002C0B50" w:rsidRDefault="002C0B50" w:rsidP="00BD313F">
      <w:pPr>
        <w:jc w:val="both"/>
      </w:pPr>
    </w:p>
    <w:p w:rsidR="00947F3C" w:rsidRDefault="00A37159" w:rsidP="00BD313F">
      <w:pPr>
        <w:jc w:val="both"/>
      </w:pPr>
      <w:r>
        <w:t>Haziran 20</w:t>
      </w:r>
      <w:r w:rsidR="00BE383E">
        <w:t>21</w:t>
      </w:r>
      <w:r w:rsidR="00947F3C">
        <w:t xml:space="preserve"> </w:t>
      </w:r>
      <w:r w:rsidR="00AD6E76">
        <w:t>dönemi itibariyle</w:t>
      </w:r>
      <w:r w:rsidR="00947F3C">
        <w:t xml:space="preserve"> ortopedik e</w:t>
      </w:r>
      <w:r w:rsidR="000115B5">
        <w:t>ngellilere h</w:t>
      </w:r>
      <w:r w:rsidR="000115B5" w:rsidRPr="00591705">
        <w:t>izmet vere</w:t>
      </w:r>
      <w:r w:rsidR="000115B5">
        <w:t xml:space="preserve">n toplam ATM sayısı </w:t>
      </w:r>
      <w:r w:rsidR="00BE383E">
        <w:t>yaklaşık 5</w:t>
      </w:r>
      <w:r w:rsidR="00BC75A7">
        <w:t xml:space="preserve"> </w:t>
      </w:r>
      <w:r w:rsidR="00833BCD">
        <w:t>bin</w:t>
      </w:r>
      <w:r w:rsidR="000115B5">
        <w:t xml:space="preserve"> </w:t>
      </w:r>
      <w:r w:rsidR="00BE5856">
        <w:t>adet</w:t>
      </w:r>
      <w:r w:rsidR="00947F3C">
        <w:t>; görme engellilere hizm</w:t>
      </w:r>
      <w:r w:rsidR="004656A0">
        <w:t xml:space="preserve">et veren ATM sayısı </w:t>
      </w:r>
      <w:r w:rsidR="00BE383E">
        <w:t>32</w:t>
      </w:r>
      <w:r w:rsidR="00BC75A7">
        <w:t xml:space="preserve"> bin</w:t>
      </w:r>
      <w:r w:rsidR="00BE5856">
        <w:t xml:space="preserve"> adet</w:t>
      </w:r>
      <w:r w:rsidR="001319DB">
        <w:t xml:space="preserve"> </w:t>
      </w:r>
      <w:r w:rsidR="000115B5">
        <w:t xml:space="preserve">olmuştur. </w:t>
      </w:r>
      <w:r w:rsidR="00D67C67">
        <w:t xml:space="preserve"> </w:t>
      </w:r>
    </w:p>
    <w:p w:rsidR="00947F3C" w:rsidRDefault="00947F3C" w:rsidP="00BD313F">
      <w:pPr>
        <w:jc w:val="both"/>
      </w:pPr>
    </w:p>
    <w:p w:rsidR="000115B5" w:rsidRDefault="00E42C84" w:rsidP="00BD313F">
      <w:pPr>
        <w:jc w:val="both"/>
      </w:pPr>
      <w:r>
        <w:t xml:space="preserve">Haziran </w:t>
      </w:r>
      <w:r w:rsidR="00A37159">
        <w:t>20</w:t>
      </w:r>
      <w:r w:rsidR="00BE383E">
        <w:t>21</w:t>
      </w:r>
      <w:r w:rsidR="00947F3C">
        <w:t xml:space="preserve"> dönemi itibariyle ortopedik </w:t>
      </w:r>
      <w:r w:rsidR="007872DD">
        <w:t xml:space="preserve">engellilere hizmet veren şube sayısı </w:t>
      </w:r>
      <w:r w:rsidR="00BE383E">
        <w:t>5 bin 808 adet</w:t>
      </w:r>
      <w:r w:rsidR="00947F3C">
        <w:t xml:space="preserve">, görme engellilere hizmet veren şube sayısı </w:t>
      </w:r>
      <w:r w:rsidR="00BE383E">
        <w:t>6</w:t>
      </w:r>
      <w:r w:rsidR="00833BCD">
        <w:t xml:space="preserve"> bin</w:t>
      </w:r>
      <w:r w:rsidR="00AC20E9">
        <w:t xml:space="preserve"> </w:t>
      </w:r>
      <w:r w:rsidR="00BE383E">
        <w:t>485</w:t>
      </w:r>
      <w:r w:rsidR="00A37159">
        <w:t xml:space="preserve"> </w:t>
      </w:r>
      <w:r w:rsidR="00AC20E9">
        <w:t>adettir</w:t>
      </w:r>
      <w:r w:rsidR="00947F3C">
        <w:t>.</w:t>
      </w:r>
      <w:r w:rsidR="007872DD">
        <w:t xml:space="preserve"> </w:t>
      </w:r>
      <w:r w:rsidR="00947F3C">
        <w:t xml:space="preserve">Aynı dönem için ortopedik engellilere hizmet veren </w:t>
      </w:r>
      <w:r w:rsidR="007872DD">
        <w:t xml:space="preserve">POS sayısı </w:t>
      </w:r>
      <w:r w:rsidR="00BE383E">
        <w:t>1 m</w:t>
      </w:r>
      <w:r w:rsidR="00947F3C">
        <w:t>ilyon</w:t>
      </w:r>
      <w:r w:rsidR="00A37159">
        <w:t xml:space="preserve"> </w:t>
      </w:r>
      <w:r w:rsidR="00BE383E">
        <w:t xml:space="preserve">423 bin </w:t>
      </w:r>
      <w:r w:rsidR="00A37159">
        <w:t>adet</w:t>
      </w:r>
      <w:r w:rsidR="00947F3C">
        <w:t xml:space="preserve">, </w:t>
      </w:r>
      <w:r w:rsidR="001319DB">
        <w:t xml:space="preserve"> </w:t>
      </w:r>
      <w:r w:rsidR="00947F3C">
        <w:t>görme enge</w:t>
      </w:r>
      <w:r w:rsidR="00B91493">
        <w:t xml:space="preserve">llilere hizmet veren POS sayısı </w:t>
      </w:r>
      <w:r w:rsidR="00EE6832">
        <w:t xml:space="preserve">ise </w:t>
      </w:r>
      <w:r w:rsidR="00A37159">
        <w:t>2</w:t>
      </w:r>
      <w:r w:rsidR="00EE6832">
        <w:t xml:space="preserve"> mi</w:t>
      </w:r>
      <w:r w:rsidR="00947F3C">
        <w:t xml:space="preserve">lyon </w:t>
      </w:r>
      <w:r w:rsidR="00BE383E">
        <w:t>7</w:t>
      </w:r>
      <w:r w:rsidR="00A34E39">
        <w:t>50</w:t>
      </w:r>
      <w:r w:rsidR="00A37159">
        <w:t xml:space="preserve"> bin </w:t>
      </w:r>
      <w:r w:rsidR="00947F3C">
        <w:t>adettir.</w:t>
      </w:r>
    </w:p>
    <w:p w:rsidR="00430354" w:rsidRDefault="00430354" w:rsidP="00E812EB">
      <w:pPr>
        <w:jc w:val="center"/>
        <w:rPr>
          <w:b/>
        </w:rPr>
      </w:pPr>
    </w:p>
    <w:p w:rsidR="00E812EB" w:rsidRDefault="007E431A" w:rsidP="00E812EB">
      <w:pPr>
        <w:jc w:val="center"/>
        <w:rPr>
          <w:b/>
        </w:rPr>
      </w:pPr>
      <w:r>
        <w:rPr>
          <w:b/>
        </w:rPr>
        <w:t>Engellilere H</w:t>
      </w:r>
      <w:r w:rsidR="00E812EB" w:rsidRPr="00E812EB">
        <w:rPr>
          <w:b/>
        </w:rPr>
        <w:t xml:space="preserve">izmet </w:t>
      </w:r>
      <w:r>
        <w:rPr>
          <w:b/>
        </w:rPr>
        <w:t>Veren Kanallara ait V</w:t>
      </w:r>
      <w:r w:rsidR="00E812EB" w:rsidRPr="00E812EB">
        <w:rPr>
          <w:b/>
        </w:rPr>
        <w:t>eriler</w:t>
      </w:r>
    </w:p>
    <w:p w:rsidR="007E431A" w:rsidRPr="00430354" w:rsidRDefault="007E431A">
      <w:pPr>
        <w:rPr>
          <w:sz w:val="20"/>
          <w:szCs w:val="20"/>
        </w:rPr>
      </w:pPr>
    </w:p>
    <w:tbl>
      <w:tblPr>
        <w:tblW w:w="81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1134"/>
        <w:gridCol w:w="1134"/>
        <w:gridCol w:w="1134"/>
        <w:gridCol w:w="1134"/>
        <w:gridCol w:w="1094"/>
        <w:gridCol w:w="1033"/>
      </w:tblGrid>
      <w:tr w:rsidR="00430354" w:rsidRPr="0004661E" w:rsidTr="004A1201">
        <w:trPr>
          <w:trHeight w:val="534"/>
          <w:jc w:val="center"/>
        </w:trPr>
        <w:tc>
          <w:tcPr>
            <w:tcW w:w="1497" w:type="dxa"/>
            <w:vMerge w:val="restart"/>
            <w:shd w:val="clear" w:color="auto" w:fill="auto"/>
            <w:noWrap/>
            <w:vAlign w:val="bottom"/>
            <w:hideMark/>
          </w:tcPr>
          <w:p w:rsidR="00430354" w:rsidRPr="0004661E" w:rsidRDefault="00430354" w:rsidP="0019402C">
            <w:pPr>
              <w:jc w:val="center"/>
              <w:rPr>
                <w:sz w:val="20"/>
                <w:szCs w:val="20"/>
              </w:rPr>
            </w:pPr>
          </w:p>
          <w:p w:rsidR="00430354" w:rsidRPr="0004661E" w:rsidRDefault="00430354" w:rsidP="0019402C">
            <w:pPr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Engellilere hizmet veren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30354" w:rsidRPr="0004661E" w:rsidRDefault="007B5B46" w:rsidP="0019402C">
            <w:pPr>
              <w:jc w:val="center"/>
              <w:rPr>
                <w:b/>
                <w:bCs/>
                <w:sz w:val="20"/>
                <w:szCs w:val="20"/>
              </w:rPr>
            </w:pPr>
            <w:r w:rsidRPr="0004661E">
              <w:rPr>
                <w:b/>
                <w:bCs/>
                <w:sz w:val="20"/>
                <w:szCs w:val="20"/>
              </w:rPr>
              <w:t>Haziran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354" w:rsidRPr="0004661E" w:rsidRDefault="007B5B46" w:rsidP="0019402C">
            <w:pPr>
              <w:jc w:val="center"/>
              <w:rPr>
                <w:b/>
                <w:bCs/>
                <w:sz w:val="20"/>
                <w:szCs w:val="20"/>
              </w:rPr>
            </w:pPr>
            <w:r w:rsidRPr="0004661E">
              <w:rPr>
                <w:b/>
                <w:bCs/>
                <w:sz w:val="20"/>
                <w:szCs w:val="20"/>
              </w:rPr>
              <w:t>Haziran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30354" w:rsidRPr="0004661E" w:rsidRDefault="00430354" w:rsidP="00365742">
            <w:pPr>
              <w:jc w:val="center"/>
              <w:rPr>
                <w:b/>
                <w:bCs/>
                <w:sz w:val="20"/>
                <w:szCs w:val="20"/>
              </w:rPr>
            </w:pPr>
            <w:r w:rsidRPr="0004661E">
              <w:rPr>
                <w:b/>
                <w:bCs/>
                <w:sz w:val="20"/>
                <w:szCs w:val="20"/>
              </w:rPr>
              <w:t>Haziran 20</w:t>
            </w:r>
            <w:r w:rsidR="00365742">
              <w:rPr>
                <w:b/>
                <w:bCs/>
                <w:sz w:val="20"/>
                <w:szCs w:val="20"/>
              </w:rPr>
              <w:t>2</w:t>
            </w:r>
            <w:r w:rsidR="007B5B46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30354" w:rsidRPr="0004661E" w:rsidTr="004A1201">
        <w:trPr>
          <w:trHeight w:val="580"/>
          <w:jc w:val="center"/>
        </w:trPr>
        <w:tc>
          <w:tcPr>
            <w:tcW w:w="149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354" w:rsidRPr="0004661E" w:rsidRDefault="00430354" w:rsidP="001940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0354" w:rsidRPr="0004661E" w:rsidRDefault="00430354" w:rsidP="0019402C">
            <w:pPr>
              <w:jc w:val="center"/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Ortopedik Engelliler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0354" w:rsidRPr="0004661E" w:rsidRDefault="00430354" w:rsidP="0019402C">
            <w:pPr>
              <w:jc w:val="center"/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Görme Engelliler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30354" w:rsidRPr="0004661E" w:rsidRDefault="00430354" w:rsidP="0019402C">
            <w:pPr>
              <w:jc w:val="center"/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Ortopedik Engelliler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30354" w:rsidRPr="0004661E" w:rsidRDefault="00430354" w:rsidP="0019402C">
            <w:pPr>
              <w:jc w:val="center"/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Görme Engelliler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30354" w:rsidRPr="0004661E" w:rsidRDefault="00430354" w:rsidP="0019402C">
            <w:pPr>
              <w:jc w:val="center"/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Ortopedik Engelliler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30354" w:rsidRPr="0004661E" w:rsidRDefault="00430354" w:rsidP="0019402C">
            <w:pPr>
              <w:jc w:val="center"/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Görme Engelliler</w:t>
            </w:r>
          </w:p>
        </w:tc>
      </w:tr>
      <w:tr w:rsidR="007B5B46" w:rsidRPr="0004661E" w:rsidTr="004A1201">
        <w:trPr>
          <w:trHeight w:val="285"/>
          <w:jc w:val="center"/>
        </w:trPr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46" w:rsidRPr="0004661E" w:rsidRDefault="007B5B46" w:rsidP="007706F4">
            <w:pPr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ATM Sayısı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5B46" w:rsidRPr="0004661E" w:rsidRDefault="007B5B46" w:rsidP="00EC76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4.656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5B46" w:rsidRPr="0004661E" w:rsidRDefault="007B5B46" w:rsidP="00EC76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28.895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B5B46" w:rsidRPr="0004661E" w:rsidRDefault="00735DDB" w:rsidP="00735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5B4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B5B46" w:rsidRPr="0004661E" w:rsidRDefault="007B5B46" w:rsidP="00735D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 w:rsidR="00735DDB">
              <w:rPr>
                <w:sz w:val="20"/>
                <w:szCs w:val="20"/>
              </w:rPr>
              <w:t>688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B5B46" w:rsidRPr="0004661E" w:rsidRDefault="007B5B46" w:rsidP="007B5B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4.979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B5B46" w:rsidRPr="0004661E" w:rsidRDefault="007B5B46" w:rsidP="007B5B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31.836</w:t>
            </w:r>
          </w:p>
        </w:tc>
      </w:tr>
      <w:tr w:rsidR="007B5B46" w:rsidRPr="0004661E" w:rsidTr="004A1201">
        <w:trPr>
          <w:trHeight w:val="285"/>
          <w:jc w:val="center"/>
        </w:trPr>
        <w:tc>
          <w:tcPr>
            <w:tcW w:w="1497" w:type="dxa"/>
            <w:shd w:val="clear" w:color="auto" w:fill="auto"/>
            <w:noWrap/>
            <w:vAlign w:val="center"/>
            <w:hideMark/>
          </w:tcPr>
          <w:p w:rsidR="007B5B46" w:rsidRPr="0004661E" w:rsidRDefault="007B5B46" w:rsidP="007706F4">
            <w:pPr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Şube Sayısı</w:t>
            </w:r>
          </w:p>
        </w:tc>
        <w:tc>
          <w:tcPr>
            <w:tcW w:w="1134" w:type="dxa"/>
            <w:vAlign w:val="center"/>
          </w:tcPr>
          <w:p w:rsidR="007B5B46" w:rsidRPr="0004661E" w:rsidRDefault="007B5B46" w:rsidP="00EC76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5.379</w:t>
            </w:r>
          </w:p>
        </w:tc>
        <w:tc>
          <w:tcPr>
            <w:tcW w:w="1134" w:type="dxa"/>
            <w:vAlign w:val="center"/>
          </w:tcPr>
          <w:p w:rsidR="007B5B46" w:rsidRPr="0004661E" w:rsidRDefault="007B5B46" w:rsidP="00EC76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4.694</w:t>
            </w:r>
          </w:p>
        </w:tc>
        <w:tc>
          <w:tcPr>
            <w:tcW w:w="1134" w:type="dxa"/>
            <w:shd w:val="clear" w:color="000000" w:fill="FFFFFF" w:themeFill="background1"/>
            <w:noWrap/>
            <w:vAlign w:val="center"/>
            <w:hideMark/>
          </w:tcPr>
          <w:p w:rsidR="007B5B46" w:rsidRPr="0004661E" w:rsidRDefault="007B5B46" w:rsidP="00EC76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4.974</w:t>
            </w:r>
          </w:p>
        </w:tc>
        <w:tc>
          <w:tcPr>
            <w:tcW w:w="1134" w:type="dxa"/>
            <w:shd w:val="clear" w:color="000000" w:fill="FFFFFF" w:themeFill="background1"/>
            <w:noWrap/>
            <w:vAlign w:val="center"/>
            <w:hideMark/>
          </w:tcPr>
          <w:p w:rsidR="007B5B46" w:rsidRPr="0004661E" w:rsidRDefault="007B5B46" w:rsidP="00EC76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bookmarkStart w:id="0" w:name="_GoBack"/>
            <w:bookmarkEnd w:id="0"/>
            <w:r>
              <w:rPr>
                <w:sz w:val="20"/>
                <w:szCs w:val="20"/>
              </w:rPr>
              <w:t>802</w:t>
            </w:r>
          </w:p>
        </w:tc>
        <w:tc>
          <w:tcPr>
            <w:tcW w:w="1094" w:type="dxa"/>
            <w:shd w:val="clear" w:color="000000" w:fill="FFFFFF" w:themeFill="background1"/>
            <w:noWrap/>
            <w:vAlign w:val="center"/>
          </w:tcPr>
          <w:p w:rsidR="007B5B46" w:rsidRPr="0004661E" w:rsidRDefault="007B5B46" w:rsidP="007B5B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5.808</w:t>
            </w:r>
          </w:p>
        </w:tc>
        <w:tc>
          <w:tcPr>
            <w:tcW w:w="1033" w:type="dxa"/>
            <w:shd w:val="clear" w:color="000000" w:fill="FFFFFF" w:themeFill="background1"/>
            <w:noWrap/>
            <w:vAlign w:val="center"/>
          </w:tcPr>
          <w:p w:rsidR="007B5B46" w:rsidRPr="0004661E" w:rsidRDefault="007B5B46" w:rsidP="007B5B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6.485</w:t>
            </w:r>
          </w:p>
        </w:tc>
      </w:tr>
      <w:tr w:rsidR="007B5B46" w:rsidRPr="0004661E" w:rsidTr="004A1201">
        <w:trPr>
          <w:trHeight w:val="285"/>
          <w:jc w:val="center"/>
        </w:trPr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46" w:rsidRPr="0004661E" w:rsidRDefault="007B5B46" w:rsidP="007706F4">
            <w:pPr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 xml:space="preserve">POS Sayısı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5B46" w:rsidRPr="0004661E" w:rsidRDefault="007B5B46" w:rsidP="00EC76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1.708.165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5B46" w:rsidRPr="0004661E" w:rsidRDefault="007B5B46" w:rsidP="00EC76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2.658.822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B5B46" w:rsidRPr="0004661E" w:rsidRDefault="007B5B46" w:rsidP="00EC76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1.919.713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B5B46" w:rsidRPr="0004661E" w:rsidRDefault="007B5B46" w:rsidP="00EC76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2.665.202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B5B46" w:rsidRPr="0004661E" w:rsidRDefault="007B5B46" w:rsidP="007B5B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1.423.220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7B5B46" w:rsidRPr="0004661E" w:rsidRDefault="007B5B46" w:rsidP="007B5B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2.749.852</w:t>
            </w:r>
          </w:p>
        </w:tc>
      </w:tr>
    </w:tbl>
    <w:p w:rsidR="00FD59CD" w:rsidRDefault="00FD59CD" w:rsidP="00CF7963">
      <w:pPr>
        <w:rPr>
          <w:rFonts w:cs="Arial"/>
          <w:b/>
          <w:szCs w:val="22"/>
        </w:rPr>
      </w:pPr>
    </w:p>
    <w:p w:rsidR="009901D3" w:rsidRDefault="009901D3" w:rsidP="009901D3">
      <w:pPr>
        <w:jc w:val="both"/>
      </w:pPr>
      <w:r w:rsidRPr="00591705">
        <w:lastRenderedPageBreak/>
        <w:t>İşitme engellilere; uzaktan erişim yoluyla yardım/destek hizmeti</w:t>
      </w:r>
      <w:r w:rsidR="006572F2">
        <w:t xml:space="preserve"> veren banka sayısı Haziran 2021</w:t>
      </w:r>
      <w:r w:rsidR="0067666D">
        <w:t xml:space="preserve"> itibariyle 1</w:t>
      </w:r>
      <w:r w:rsidR="007A0CA2">
        <w:t>8</w:t>
      </w:r>
      <w:r w:rsidR="0067666D">
        <w:t xml:space="preserve"> bankadır</w:t>
      </w:r>
      <w:r>
        <w:t>.</w:t>
      </w:r>
    </w:p>
    <w:p w:rsidR="009901D3" w:rsidRDefault="009901D3" w:rsidP="007E431A">
      <w:pPr>
        <w:jc w:val="center"/>
        <w:rPr>
          <w:rFonts w:cs="Arial"/>
          <w:b/>
          <w:szCs w:val="22"/>
        </w:rPr>
      </w:pPr>
    </w:p>
    <w:p w:rsidR="00504CED" w:rsidRDefault="00504CED" w:rsidP="00BD313F">
      <w:pPr>
        <w:jc w:val="both"/>
      </w:pPr>
    </w:p>
    <w:tbl>
      <w:tblPr>
        <w:tblW w:w="7981" w:type="dxa"/>
        <w:jc w:val="center"/>
        <w:tblInd w:w="-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1186"/>
        <w:gridCol w:w="1080"/>
        <w:gridCol w:w="1154"/>
      </w:tblGrid>
      <w:tr w:rsidR="006572F2" w:rsidRPr="0004661E" w:rsidTr="00095D15">
        <w:trPr>
          <w:trHeight w:val="285"/>
          <w:jc w:val="center"/>
        </w:trPr>
        <w:tc>
          <w:tcPr>
            <w:tcW w:w="45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2F2" w:rsidRPr="0004661E" w:rsidRDefault="006572F2" w:rsidP="00D328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vAlign w:val="bottom"/>
          </w:tcPr>
          <w:p w:rsidR="006572F2" w:rsidRPr="0004661E" w:rsidRDefault="006572F2" w:rsidP="00EC76D7">
            <w:pPr>
              <w:jc w:val="center"/>
              <w:rPr>
                <w:b/>
                <w:sz w:val="20"/>
                <w:szCs w:val="20"/>
              </w:rPr>
            </w:pPr>
            <w:r w:rsidRPr="0004661E">
              <w:rPr>
                <w:b/>
                <w:sz w:val="20"/>
                <w:szCs w:val="20"/>
              </w:rPr>
              <w:t>Haziran 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572F2" w:rsidRPr="0004661E" w:rsidRDefault="006572F2" w:rsidP="00EC76D7">
            <w:pPr>
              <w:jc w:val="center"/>
              <w:rPr>
                <w:b/>
                <w:sz w:val="20"/>
                <w:szCs w:val="20"/>
              </w:rPr>
            </w:pPr>
            <w:r w:rsidRPr="0004661E">
              <w:rPr>
                <w:b/>
                <w:sz w:val="20"/>
                <w:szCs w:val="20"/>
              </w:rPr>
              <w:t>Haziran 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572F2" w:rsidRPr="0004661E" w:rsidRDefault="006572F2" w:rsidP="00A00614">
            <w:pPr>
              <w:jc w:val="center"/>
              <w:rPr>
                <w:b/>
                <w:sz w:val="20"/>
                <w:szCs w:val="20"/>
              </w:rPr>
            </w:pPr>
            <w:r w:rsidRPr="0004661E">
              <w:rPr>
                <w:b/>
                <w:sz w:val="20"/>
                <w:szCs w:val="20"/>
              </w:rPr>
              <w:t>Haziran 20</w:t>
            </w:r>
            <w:r>
              <w:rPr>
                <w:b/>
                <w:sz w:val="20"/>
                <w:szCs w:val="20"/>
              </w:rPr>
              <w:t>21</w:t>
            </w:r>
          </w:p>
        </w:tc>
      </w:tr>
      <w:tr w:rsidR="006572F2" w:rsidRPr="0004661E" w:rsidTr="00095D15">
        <w:trPr>
          <w:trHeight w:val="570"/>
          <w:jc w:val="center"/>
        </w:trPr>
        <w:tc>
          <w:tcPr>
            <w:tcW w:w="4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72F2" w:rsidRPr="0004661E" w:rsidRDefault="006572F2" w:rsidP="00D70C03">
            <w:pPr>
              <w:rPr>
                <w:sz w:val="20"/>
                <w:szCs w:val="20"/>
              </w:rPr>
            </w:pPr>
            <w:r w:rsidRPr="0004661E">
              <w:rPr>
                <w:sz w:val="20"/>
                <w:szCs w:val="20"/>
              </w:rPr>
              <w:t>İşitme engellilere uzaktan yardım/</w:t>
            </w:r>
            <w:r>
              <w:rPr>
                <w:sz w:val="20"/>
                <w:szCs w:val="20"/>
              </w:rPr>
              <w:t xml:space="preserve"> </w:t>
            </w:r>
            <w:r w:rsidRPr="0004661E">
              <w:rPr>
                <w:sz w:val="20"/>
                <w:szCs w:val="20"/>
              </w:rPr>
              <w:t>destek hizmeti veren banka sayısı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2F2" w:rsidRPr="0004661E" w:rsidRDefault="006572F2" w:rsidP="00EC7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572F2" w:rsidRPr="0004661E" w:rsidRDefault="006572F2" w:rsidP="00EC7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6572F2" w:rsidRPr="0004661E" w:rsidRDefault="006572F2" w:rsidP="007A0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C035C1" w:rsidRDefault="00C035C1" w:rsidP="00C035C1">
      <w:pPr>
        <w:rPr>
          <w:b/>
        </w:rPr>
      </w:pPr>
    </w:p>
    <w:p w:rsidR="00C035C1" w:rsidRPr="00C035C1" w:rsidRDefault="00C035C1" w:rsidP="00C035C1">
      <w:pPr>
        <w:pStyle w:val="ListParagraph"/>
        <w:ind w:left="360"/>
        <w:rPr>
          <w:b/>
        </w:rPr>
      </w:pPr>
    </w:p>
    <w:p w:rsidR="00E40A39" w:rsidRPr="00C035C1" w:rsidRDefault="00E95DD5" w:rsidP="00C035C1">
      <w:pPr>
        <w:pStyle w:val="ListParagraph"/>
        <w:numPr>
          <w:ilvl w:val="0"/>
          <w:numId w:val="3"/>
        </w:numPr>
        <w:rPr>
          <w:b/>
        </w:rPr>
      </w:pPr>
      <w:r w:rsidRPr="00C035C1">
        <w:rPr>
          <w:b/>
        </w:rPr>
        <w:t>İ</w:t>
      </w:r>
      <w:r w:rsidR="00E40A39" w:rsidRPr="00C035C1">
        <w:rPr>
          <w:b/>
        </w:rPr>
        <w:t xml:space="preserve">nternet ve Mobil Bankacılık Hizmetleri </w:t>
      </w:r>
      <w:r w:rsidR="008F29EF" w:rsidRPr="00C035C1">
        <w:rPr>
          <w:b/>
        </w:rPr>
        <w:t>ve Uygulamaları</w:t>
      </w:r>
    </w:p>
    <w:p w:rsidR="00E40A39" w:rsidRDefault="00E40A39" w:rsidP="007E296C">
      <w:pPr>
        <w:jc w:val="both"/>
        <w:rPr>
          <w:rFonts w:cs="Arial"/>
          <w:szCs w:val="22"/>
        </w:rPr>
      </w:pPr>
    </w:p>
    <w:p w:rsidR="00707803" w:rsidRDefault="008F29EF" w:rsidP="00BD313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373FBB">
        <w:rPr>
          <w:rFonts w:cs="Arial"/>
          <w:szCs w:val="22"/>
        </w:rPr>
        <w:t>ngellilere yönelik i</w:t>
      </w:r>
      <w:r w:rsidR="00E40A39" w:rsidRPr="00591705">
        <w:rPr>
          <w:rFonts w:cs="Arial"/>
          <w:szCs w:val="22"/>
        </w:rPr>
        <w:t xml:space="preserve">nternet ve </w:t>
      </w:r>
      <w:r w:rsidR="007E296C" w:rsidRPr="00591705">
        <w:rPr>
          <w:rFonts w:cs="Arial"/>
          <w:szCs w:val="22"/>
        </w:rPr>
        <w:t xml:space="preserve">mobil bankacılık </w:t>
      </w:r>
      <w:r w:rsidR="00373FBB">
        <w:rPr>
          <w:rFonts w:cs="Arial"/>
          <w:szCs w:val="22"/>
        </w:rPr>
        <w:t>hizmetleri ve uygulamaları ele alındığında</w:t>
      </w:r>
      <w:r>
        <w:rPr>
          <w:rFonts w:cs="Arial"/>
          <w:szCs w:val="22"/>
        </w:rPr>
        <w:t>,</w:t>
      </w:r>
      <w:r w:rsidR="00E40A39" w:rsidRPr="00591705">
        <w:rPr>
          <w:rFonts w:cs="Arial"/>
          <w:szCs w:val="22"/>
        </w:rPr>
        <w:t xml:space="preserve"> </w:t>
      </w:r>
      <w:r w:rsidR="001336E0">
        <w:rPr>
          <w:rFonts w:cs="Arial"/>
          <w:szCs w:val="22"/>
        </w:rPr>
        <w:t>SMS ile gönderilen tek kullanımlık şifreleri ekran okuyucu programlarla okut</w:t>
      </w:r>
      <w:r w:rsidR="001336E0" w:rsidRPr="00591705">
        <w:rPr>
          <w:rFonts w:cs="Arial"/>
          <w:szCs w:val="22"/>
        </w:rPr>
        <w:t>abilen</w:t>
      </w:r>
      <w:r w:rsidR="001336E0">
        <w:rPr>
          <w:rFonts w:cs="Arial"/>
          <w:szCs w:val="22"/>
        </w:rPr>
        <w:t xml:space="preserve"> banka s</w:t>
      </w:r>
      <w:r w:rsidR="005C533D">
        <w:rPr>
          <w:rFonts w:cs="Arial"/>
          <w:szCs w:val="22"/>
        </w:rPr>
        <w:t xml:space="preserve">ayısı </w:t>
      </w:r>
      <w:r w:rsidR="00FC1B6E">
        <w:rPr>
          <w:rFonts w:cs="Arial"/>
          <w:szCs w:val="22"/>
        </w:rPr>
        <w:t>Haziran 2021</w:t>
      </w:r>
      <w:r w:rsidR="00937421">
        <w:rPr>
          <w:rFonts w:cs="Arial"/>
          <w:szCs w:val="22"/>
        </w:rPr>
        <w:t xml:space="preserve"> itibariyle </w:t>
      </w:r>
      <w:r w:rsidR="0067666D">
        <w:rPr>
          <w:rFonts w:cs="Arial"/>
          <w:szCs w:val="22"/>
        </w:rPr>
        <w:t>24,</w:t>
      </w:r>
      <w:r w:rsidR="005C533D">
        <w:rPr>
          <w:rFonts w:cs="Arial"/>
          <w:szCs w:val="22"/>
        </w:rPr>
        <w:t xml:space="preserve"> “</w:t>
      </w:r>
      <w:proofErr w:type="spellStart"/>
      <w:r w:rsidR="005C533D">
        <w:rPr>
          <w:rFonts w:cs="Arial"/>
          <w:szCs w:val="22"/>
        </w:rPr>
        <w:t>mouse</w:t>
      </w:r>
      <w:proofErr w:type="spellEnd"/>
      <w:r w:rsidR="005C533D">
        <w:rPr>
          <w:rFonts w:cs="Arial"/>
          <w:szCs w:val="22"/>
        </w:rPr>
        <w:t>” veya “</w:t>
      </w:r>
      <w:proofErr w:type="spellStart"/>
      <w:r w:rsidR="005C533D">
        <w:rPr>
          <w:rFonts w:cs="Arial"/>
          <w:szCs w:val="22"/>
        </w:rPr>
        <w:t>tab</w:t>
      </w:r>
      <w:proofErr w:type="spellEnd"/>
      <w:r w:rsidR="005C533D">
        <w:rPr>
          <w:rFonts w:cs="Arial"/>
          <w:szCs w:val="22"/>
        </w:rPr>
        <w:t>” kullandıran banka s</w:t>
      </w:r>
      <w:r w:rsidR="00D42325">
        <w:rPr>
          <w:rFonts w:cs="Arial"/>
          <w:szCs w:val="22"/>
        </w:rPr>
        <w:t xml:space="preserve">ayısı </w:t>
      </w:r>
      <w:r w:rsidR="00F61BC3">
        <w:rPr>
          <w:rFonts w:cs="Arial"/>
          <w:szCs w:val="22"/>
        </w:rPr>
        <w:t>2</w:t>
      </w:r>
      <w:r w:rsidR="00FC1B6E">
        <w:rPr>
          <w:rFonts w:cs="Arial"/>
          <w:szCs w:val="22"/>
        </w:rPr>
        <w:t>3</w:t>
      </w:r>
      <w:r w:rsidR="00937421">
        <w:rPr>
          <w:rFonts w:cs="Arial"/>
          <w:szCs w:val="22"/>
        </w:rPr>
        <w:t>, kullanılan uygulama ve içerikleri ekran koruyucu programlar tarafından okutabilen banka sayısı 2</w:t>
      </w:r>
      <w:r w:rsidR="00FC1B6E">
        <w:rPr>
          <w:rFonts w:cs="Arial"/>
          <w:szCs w:val="22"/>
        </w:rPr>
        <w:t>2</w:t>
      </w:r>
      <w:r w:rsidR="005C533D">
        <w:rPr>
          <w:rFonts w:cs="Arial"/>
          <w:szCs w:val="22"/>
        </w:rPr>
        <w:t>’d</w:t>
      </w:r>
      <w:r w:rsidR="00F61BC3">
        <w:rPr>
          <w:rFonts w:cs="Arial"/>
          <w:szCs w:val="22"/>
        </w:rPr>
        <w:t>i</w:t>
      </w:r>
      <w:r w:rsidR="001336E0">
        <w:rPr>
          <w:rFonts w:cs="Arial"/>
          <w:szCs w:val="22"/>
        </w:rPr>
        <w:t xml:space="preserve">r. </w:t>
      </w:r>
      <w:r w:rsidR="001336E0" w:rsidRPr="0059170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</w:t>
      </w:r>
    </w:p>
    <w:p w:rsidR="00707803" w:rsidRDefault="00707803" w:rsidP="008D75DF">
      <w:pPr>
        <w:rPr>
          <w:b/>
        </w:rPr>
      </w:pPr>
    </w:p>
    <w:tbl>
      <w:tblPr>
        <w:tblpPr w:leftFromText="141" w:rightFromText="141" w:vertAnchor="text" w:horzAnchor="margin" w:tblpXSpec="center" w:tblpY="305"/>
        <w:tblW w:w="7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1080"/>
        <w:gridCol w:w="1080"/>
        <w:gridCol w:w="1080"/>
      </w:tblGrid>
      <w:tr w:rsidR="00B17477" w:rsidRPr="0004661E" w:rsidTr="006634C0">
        <w:trPr>
          <w:trHeight w:val="285"/>
        </w:trPr>
        <w:tc>
          <w:tcPr>
            <w:tcW w:w="47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77" w:rsidRPr="0004661E" w:rsidRDefault="00B17477" w:rsidP="00B174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B17477" w:rsidRPr="0004661E" w:rsidRDefault="00B17477" w:rsidP="00B17477">
            <w:pPr>
              <w:jc w:val="center"/>
              <w:rPr>
                <w:b/>
                <w:sz w:val="20"/>
                <w:szCs w:val="20"/>
              </w:rPr>
            </w:pPr>
            <w:r w:rsidRPr="0004661E">
              <w:rPr>
                <w:b/>
                <w:sz w:val="20"/>
                <w:szCs w:val="20"/>
              </w:rPr>
              <w:t>Haziran 201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vAlign w:val="bottom"/>
          </w:tcPr>
          <w:p w:rsidR="00B17477" w:rsidRPr="0004661E" w:rsidRDefault="00B17477" w:rsidP="00B17477">
            <w:pPr>
              <w:jc w:val="center"/>
              <w:rPr>
                <w:b/>
                <w:sz w:val="20"/>
                <w:szCs w:val="20"/>
              </w:rPr>
            </w:pPr>
            <w:r w:rsidRPr="0004661E">
              <w:rPr>
                <w:b/>
                <w:sz w:val="20"/>
                <w:szCs w:val="20"/>
              </w:rPr>
              <w:t>Haziran 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17477" w:rsidRPr="0004661E" w:rsidRDefault="00B17477" w:rsidP="00B17477">
            <w:pPr>
              <w:jc w:val="center"/>
              <w:rPr>
                <w:b/>
                <w:sz w:val="20"/>
                <w:szCs w:val="20"/>
              </w:rPr>
            </w:pPr>
            <w:r w:rsidRPr="0004661E">
              <w:rPr>
                <w:b/>
                <w:sz w:val="20"/>
                <w:szCs w:val="20"/>
              </w:rPr>
              <w:t>Haziran 20</w:t>
            </w:r>
            <w:r>
              <w:rPr>
                <w:b/>
                <w:sz w:val="20"/>
                <w:szCs w:val="20"/>
              </w:rPr>
              <w:t>21</w:t>
            </w:r>
          </w:p>
        </w:tc>
      </w:tr>
      <w:tr w:rsidR="00B17477" w:rsidRPr="0004661E" w:rsidTr="006634C0">
        <w:trPr>
          <w:trHeight w:val="570"/>
        </w:trPr>
        <w:tc>
          <w:tcPr>
            <w:tcW w:w="47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17477" w:rsidRPr="0004661E" w:rsidRDefault="00B17477" w:rsidP="00B17477">
            <w:pPr>
              <w:rPr>
                <w:sz w:val="20"/>
                <w:szCs w:val="20"/>
              </w:rPr>
            </w:pPr>
            <w:r w:rsidRPr="00D97BD5">
              <w:rPr>
                <w:rFonts w:cs="Arial"/>
                <w:color w:val="000000"/>
                <w:sz w:val="20"/>
                <w:szCs w:val="20"/>
                <w:lang w:eastAsia="tr-TR"/>
              </w:rPr>
              <w:t>Kullanılan uygulama ve içerikleri ekran okuyucu programlar tarafından okutabilen banka sayısı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 w:themeFill="background1"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B17477" w:rsidRPr="0004661E" w:rsidTr="006634C0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:rsidR="00B17477" w:rsidRPr="0004661E" w:rsidRDefault="00B17477" w:rsidP="00B17477">
            <w:pPr>
              <w:rPr>
                <w:sz w:val="20"/>
                <w:szCs w:val="20"/>
              </w:rPr>
            </w:pPr>
            <w:r w:rsidRPr="00D97BD5">
              <w:rPr>
                <w:rFonts w:cs="Arial"/>
                <w:color w:val="000000"/>
                <w:sz w:val="20"/>
                <w:szCs w:val="20"/>
                <w:lang w:eastAsia="tr-TR"/>
              </w:rPr>
              <w:t>“Mouse” ve/veya “</w:t>
            </w:r>
            <w:proofErr w:type="spellStart"/>
            <w:r w:rsidRPr="00D97BD5">
              <w:rPr>
                <w:rFonts w:cs="Arial"/>
                <w:color w:val="000000"/>
                <w:sz w:val="20"/>
                <w:szCs w:val="20"/>
                <w:lang w:eastAsia="tr-TR"/>
              </w:rPr>
              <w:t>tab</w:t>
            </w:r>
            <w:proofErr w:type="spellEnd"/>
            <w:r w:rsidRPr="00D97BD5">
              <w:rPr>
                <w:rFonts w:cs="Arial"/>
                <w:color w:val="000000"/>
                <w:sz w:val="20"/>
                <w:szCs w:val="20"/>
                <w:lang w:eastAsia="tr-TR"/>
              </w:rPr>
              <w:t>” kullandıran banka sayısı</w:t>
            </w:r>
          </w:p>
        </w:tc>
        <w:tc>
          <w:tcPr>
            <w:tcW w:w="1080" w:type="dxa"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17477" w:rsidRPr="0004661E" w:rsidTr="006634C0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:rsidR="00B17477" w:rsidRPr="0004661E" w:rsidRDefault="00B17477" w:rsidP="00B17477">
            <w:pPr>
              <w:rPr>
                <w:sz w:val="20"/>
                <w:szCs w:val="20"/>
              </w:rPr>
            </w:pPr>
            <w:r w:rsidRPr="00D97BD5">
              <w:rPr>
                <w:rFonts w:cs="Arial"/>
                <w:color w:val="000000"/>
                <w:sz w:val="20"/>
                <w:szCs w:val="20"/>
                <w:lang w:eastAsia="tr-TR"/>
              </w:rPr>
              <w:t>“SMS” ile gönderilen tek kullanımlık şifreleri, ekran okuyucu programlar tarafından okutabilen banka sayısı</w:t>
            </w:r>
          </w:p>
        </w:tc>
        <w:tc>
          <w:tcPr>
            <w:tcW w:w="1080" w:type="dxa"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B17477" w:rsidRPr="0004661E" w:rsidTr="006634C0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:rsidR="00B17477" w:rsidRPr="0004661E" w:rsidRDefault="00B17477" w:rsidP="00B17477">
            <w:pPr>
              <w:rPr>
                <w:sz w:val="20"/>
                <w:szCs w:val="20"/>
              </w:rPr>
            </w:pPr>
            <w:r w:rsidRPr="00D97BD5">
              <w:rPr>
                <w:rFonts w:cs="Arial"/>
                <w:color w:val="000000"/>
                <w:sz w:val="20"/>
                <w:szCs w:val="20"/>
                <w:lang w:eastAsia="tr-TR"/>
              </w:rPr>
              <w:t>Mobil bankacılık uygulamaları ses çevirici uygulamalara uygun olan banka sayısı</w:t>
            </w:r>
          </w:p>
        </w:tc>
        <w:tc>
          <w:tcPr>
            <w:tcW w:w="1080" w:type="dxa"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B17477" w:rsidRPr="0004661E" w:rsidTr="006634C0">
        <w:trPr>
          <w:trHeight w:val="570"/>
        </w:trPr>
        <w:tc>
          <w:tcPr>
            <w:tcW w:w="4750" w:type="dxa"/>
            <w:shd w:val="clear" w:color="auto" w:fill="auto"/>
            <w:vAlign w:val="center"/>
          </w:tcPr>
          <w:p w:rsidR="00B17477" w:rsidRPr="00D97BD5" w:rsidRDefault="00B17477" w:rsidP="00B17477">
            <w:pPr>
              <w:rPr>
                <w:rFonts w:cs="Arial"/>
                <w:color w:val="000000"/>
                <w:sz w:val="20"/>
                <w:szCs w:val="20"/>
                <w:lang w:eastAsia="tr-TR"/>
              </w:rPr>
            </w:pPr>
            <w:r w:rsidRPr="00937421">
              <w:rPr>
                <w:rFonts w:cs="Arial"/>
                <w:color w:val="000000"/>
                <w:sz w:val="20"/>
                <w:szCs w:val="20"/>
                <w:lang w:eastAsia="tr-TR"/>
              </w:rPr>
              <w:t>Yeni ürün/kampanya tanıtımında engellilere yönelik özel tanıtımlar yap</w:t>
            </w:r>
            <w:r>
              <w:rPr>
                <w:rFonts w:cs="Arial"/>
                <w:color w:val="000000"/>
                <w:sz w:val="20"/>
                <w:szCs w:val="20"/>
                <w:lang w:eastAsia="tr-TR"/>
              </w:rPr>
              <w:t>an banka sayısı</w:t>
            </w:r>
          </w:p>
        </w:tc>
        <w:tc>
          <w:tcPr>
            <w:tcW w:w="1080" w:type="dxa"/>
            <w:vAlign w:val="center"/>
          </w:tcPr>
          <w:p w:rsidR="00B17477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000000" w:fill="FFFFFF" w:themeFill="background1"/>
            <w:vAlign w:val="center"/>
          </w:tcPr>
          <w:p w:rsidR="00B17477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000000" w:fill="FFFFFF" w:themeFill="background1"/>
            <w:noWrap/>
            <w:vAlign w:val="center"/>
          </w:tcPr>
          <w:p w:rsidR="00B17477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17477" w:rsidRPr="0004661E" w:rsidTr="006634C0">
        <w:trPr>
          <w:trHeight w:val="570"/>
        </w:trPr>
        <w:tc>
          <w:tcPr>
            <w:tcW w:w="4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477" w:rsidRPr="0004661E" w:rsidRDefault="00B17477" w:rsidP="00B17477">
            <w:pPr>
              <w:rPr>
                <w:sz w:val="20"/>
                <w:szCs w:val="20"/>
              </w:rPr>
            </w:pPr>
            <w:r w:rsidRPr="00D97BD5">
              <w:rPr>
                <w:rFonts w:cs="Arial"/>
                <w:color w:val="000000"/>
                <w:sz w:val="20"/>
                <w:szCs w:val="20"/>
                <w:lang w:eastAsia="tr-TR"/>
              </w:rPr>
              <w:t>İnternet şubesi içinde işitme engellilerin anında yardım alabilecekleri çevrimiçi yazışma uygulaması (internet sohbet) sunan banka sayısı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B17477" w:rsidRPr="0004661E" w:rsidRDefault="00B17477" w:rsidP="00B17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707803" w:rsidRDefault="00707803" w:rsidP="00707803">
      <w:pPr>
        <w:jc w:val="center"/>
        <w:rPr>
          <w:b/>
        </w:rPr>
      </w:pPr>
    </w:p>
    <w:p w:rsidR="00707803" w:rsidRDefault="00707803" w:rsidP="00BD313F">
      <w:pPr>
        <w:jc w:val="both"/>
        <w:rPr>
          <w:rFonts w:cs="Arial"/>
          <w:szCs w:val="22"/>
        </w:rPr>
      </w:pPr>
    </w:p>
    <w:p w:rsidR="00707803" w:rsidRDefault="00707803" w:rsidP="00BD313F">
      <w:pPr>
        <w:jc w:val="both"/>
        <w:rPr>
          <w:rFonts w:cs="Arial"/>
          <w:szCs w:val="22"/>
        </w:rPr>
      </w:pPr>
    </w:p>
    <w:p w:rsidR="00CA4844" w:rsidRDefault="00D42325" w:rsidP="00BD313F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Mobil bankacılık uygulamaları ses çevirici uygulam</w:t>
      </w:r>
      <w:r w:rsidR="002806D2">
        <w:rPr>
          <w:rFonts w:cs="Arial"/>
          <w:szCs w:val="22"/>
        </w:rPr>
        <w:t>alara uygun olan banka sayısı 1</w:t>
      </w:r>
      <w:r w:rsidR="00FA5398">
        <w:rPr>
          <w:rFonts w:cs="Arial"/>
          <w:szCs w:val="22"/>
        </w:rPr>
        <w:t>8</w:t>
      </w:r>
      <w:r w:rsidR="002806D2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i</w:t>
      </w:r>
      <w:r w:rsidR="00746E66" w:rsidRPr="00591705">
        <w:rPr>
          <w:rFonts w:cs="Arial"/>
          <w:szCs w:val="22"/>
        </w:rPr>
        <w:t xml:space="preserve">nternet şubesi içinde işitme engellilerin anında yardım alabilecekleri çevrimiçi yazışma uygulaması (internet sohbet) sunan banka sayısı </w:t>
      </w:r>
      <w:r w:rsidR="002806D2">
        <w:rPr>
          <w:rFonts w:cs="Arial"/>
          <w:szCs w:val="22"/>
        </w:rPr>
        <w:t>1</w:t>
      </w:r>
      <w:r w:rsidR="008A3A84">
        <w:rPr>
          <w:rFonts w:cs="Arial"/>
          <w:szCs w:val="22"/>
        </w:rPr>
        <w:t>0</w:t>
      </w:r>
      <w:r w:rsidR="00756989">
        <w:rPr>
          <w:rFonts w:cs="Arial"/>
          <w:szCs w:val="22"/>
        </w:rPr>
        <w:t>’d</w:t>
      </w:r>
      <w:r w:rsidR="008A3A84">
        <w:rPr>
          <w:rFonts w:cs="Arial"/>
          <w:szCs w:val="22"/>
        </w:rPr>
        <w:t>u</w:t>
      </w:r>
      <w:r w:rsidR="008F29EF">
        <w:rPr>
          <w:rFonts w:cs="Arial"/>
          <w:szCs w:val="22"/>
        </w:rPr>
        <w:t>r.</w:t>
      </w:r>
    </w:p>
    <w:p w:rsidR="008F29EF" w:rsidRDefault="008F29EF" w:rsidP="00D328C0">
      <w:pPr>
        <w:jc w:val="center"/>
        <w:rPr>
          <w:b/>
        </w:rPr>
      </w:pPr>
    </w:p>
    <w:p w:rsidR="00707803" w:rsidRDefault="00707803" w:rsidP="00D328C0">
      <w:pPr>
        <w:jc w:val="center"/>
        <w:rPr>
          <w:b/>
        </w:rPr>
      </w:pPr>
    </w:p>
    <w:sectPr w:rsidR="00707803" w:rsidSect="008D5EB7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2381" w:right="1919" w:bottom="1440" w:left="1814" w:header="1151" w:footer="431" w:gutter="0"/>
      <w:pgNumType w:fmt="lowerRoman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C0" w:rsidRDefault="00D328C0" w:rsidP="00610E00">
      <w:r>
        <w:separator/>
      </w:r>
    </w:p>
  </w:endnote>
  <w:endnote w:type="continuationSeparator" w:id="0">
    <w:p w:rsidR="00D328C0" w:rsidRDefault="00D328C0" w:rsidP="0061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AE" w:rsidRPr="004915E1" w:rsidRDefault="008D5EB7" w:rsidP="004915E1">
    <w:pPr>
      <w:pStyle w:val="Footer"/>
      <w:tabs>
        <w:tab w:val="clear" w:pos="4536"/>
        <w:tab w:val="clear" w:pos="9072"/>
      </w:tabs>
      <w:rPr>
        <w:sz w:val="18"/>
      </w:rPr>
    </w:pPr>
    <w:r w:rsidRPr="00325942">
      <w:rPr>
        <w:rFonts w:cs="Arial"/>
        <w:sz w:val="18"/>
        <w:szCs w:val="18"/>
      </w:rPr>
      <w:t>TBB</w:t>
    </w:r>
    <w:r>
      <w:rPr>
        <w:rFonts w:cs="Arial"/>
        <w:sz w:val="18"/>
        <w:szCs w:val="18"/>
      </w:rPr>
      <w:t xml:space="preserve"> </w:t>
    </w:r>
    <w:r w:rsidRPr="00325942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 xml:space="preserve"> </w:t>
    </w:r>
    <w:r w:rsidRPr="00325942">
      <w:rPr>
        <w:rFonts w:cs="Arial"/>
        <w:sz w:val="18"/>
        <w:szCs w:val="18"/>
      </w:rPr>
      <w:t>İstatistiki Raporlar</w:t>
    </w:r>
    <w:r>
      <w:rPr>
        <w:rFonts w:cs="Arial"/>
        <w:sz w:val="18"/>
        <w:szCs w:val="18"/>
      </w:rPr>
      <w:t xml:space="preserve"> </w:t>
    </w:r>
    <w:r w:rsidRPr="00325942"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t xml:space="preserve"> Engelli Vatandaşlara Sunulan Bankacılık Hizmetleri</w:t>
    </w:r>
    <w:r w:rsidRPr="00032287">
      <w:rPr>
        <w:rFonts w:cs="Arial"/>
        <w:sz w:val="18"/>
        <w:szCs w:val="18"/>
      </w:rPr>
      <w:t xml:space="preserve"> İstatistikleri</w:t>
    </w:r>
    <w:r>
      <w:rPr>
        <w:rFonts w:cs="Arial"/>
        <w:sz w:val="18"/>
        <w:szCs w:val="18"/>
      </w:rPr>
      <w:t xml:space="preserve"> / 2021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6B" w:rsidRPr="004915E1" w:rsidRDefault="004915E1" w:rsidP="004E5E6B">
    <w:pPr>
      <w:pStyle w:val="Footer"/>
      <w:tabs>
        <w:tab w:val="clear" w:pos="4536"/>
        <w:tab w:val="clear" w:pos="9072"/>
      </w:tabs>
      <w:rPr>
        <w:sz w:val="18"/>
      </w:rPr>
    </w:pPr>
    <w:r>
      <w:rPr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TBB</w:t>
    </w:r>
    <w:r w:rsidR="004E5E6B">
      <w:rPr>
        <w:rFonts w:cs="Arial"/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/</w:t>
    </w:r>
    <w:r w:rsidR="004E5E6B">
      <w:rPr>
        <w:rFonts w:cs="Arial"/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İstatistiki Raporlar</w:t>
    </w:r>
    <w:r w:rsidR="004E5E6B">
      <w:rPr>
        <w:rFonts w:cs="Arial"/>
        <w:sz w:val="18"/>
        <w:szCs w:val="18"/>
      </w:rPr>
      <w:t xml:space="preserve"> </w:t>
    </w:r>
    <w:r w:rsidR="004E5E6B" w:rsidRPr="00325942">
      <w:rPr>
        <w:rFonts w:cs="Arial"/>
        <w:sz w:val="18"/>
        <w:szCs w:val="18"/>
      </w:rPr>
      <w:t>/</w:t>
    </w:r>
    <w:r w:rsidR="004E5E6B">
      <w:rPr>
        <w:rFonts w:cs="Arial"/>
        <w:sz w:val="18"/>
        <w:szCs w:val="18"/>
      </w:rPr>
      <w:t xml:space="preserve"> Engelli Vatandaşlara Sunulan Bankacılık Hizmetleri</w:t>
    </w:r>
    <w:r w:rsidR="004E5E6B" w:rsidRPr="00032287">
      <w:rPr>
        <w:rFonts w:cs="Arial"/>
        <w:sz w:val="18"/>
        <w:szCs w:val="18"/>
      </w:rPr>
      <w:t xml:space="preserve"> İstatistikleri</w:t>
    </w:r>
    <w:r w:rsidR="004E5E6B">
      <w:rPr>
        <w:rFonts w:cs="Arial"/>
        <w:sz w:val="18"/>
        <w:szCs w:val="18"/>
      </w:rPr>
      <w:t xml:space="preserve"> / 2021           </w:t>
    </w:r>
  </w:p>
  <w:p w:rsidR="00292A94" w:rsidRPr="00371F55" w:rsidRDefault="00292A94" w:rsidP="00292A94">
    <w:pPr>
      <w:pStyle w:val="Footer"/>
      <w:rPr>
        <w:rFonts w:cs="Arial"/>
        <w:sz w:val="18"/>
        <w:szCs w:val="18"/>
      </w:rPr>
    </w:pPr>
  </w:p>
  <w:p w:rsidR="00C733AE" w:rsidRPr="00292A94" w:rsidRDefault="00C733AE" w:rsidP="00292A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C0" w:rsidRDefault="00D328C0" w:rsidP="00610E00">
      <w:r>
        <w:separator/>
      </w:r>
    </w:p>
  </w:footnote>
  <w:footnote w:type="continuationSeparator" w:id="0">
    <w:p w:rsidR="00D328C0" w:rsidRDefault="00D328C0" w:rsidP="00610E00">
      <w:r>
        <w:continuationSeparator/>
      </w:r>
    </w:p>
  </w:footnote>
  <w:footnote w:id="1">
    <w:p w:rsidR="00292A94" w:rsidRPr="00D15078" w:rsidRDefault="007E431A" w:rsidP="007E431A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="002B1BF9">
        <w:rPr>
          <w:rFonts w:ascii="Arial" w:hAnsi="Arial" w:cs="Arial"/>
          <w:sz w:val="18"/>
          <w:szCs w:val="18"/>
        </w:rPr>
        <w:t xml:space="preserve"> </w:t>
      </w:r>
      <w:r w:rsidRPr="00965C8F">
        <w:rPr>
          <w:rFonts w:ascii="Arial" w:hAnsi="Arial" w:cs="Arial"/>
          <w:sz w:val="16"/>
          <w:szCs w:val="16"/>
        </w:rPr>
        <w:t>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9A" w:rsidRDefault="00A20E9A">
    <w:pPr>
      <w:pStyle w:val="Header"/>
    </w:pPr>
    <w:r>
      <w:rPr>
        <w:noProof/>
        <w:lang w:eastAsia="ko-KR"/>
      </w:rPr>
      <w:drawing>
        <wp:anchor distT="0" distB="0" distL="114300" distR="114300" simplePos="0" relativeHeight="251663360" behindDoc="0" locked="0" layoutInCell="1" allowOverlap="1" wp14:anchorId="0324828D" wp14:editId="2AB10230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400" cy="928800"/>
          <wp:effectExtent l="0" t="0" r="0" b="508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AE" w:rsidRPr="004915E1" w:rsidRDefault="004915E1" w:rsidP="004915E1">
    <w:pPr>
      <w:pStyle w:val="Header"/>
    </w:pPr>
    <w:r>
      <w:rPr>
        <w:noProof/>
        <w:lang w:eastAsia="ko-KR"/>
      </w:rPr>
      <w:drawing>
        <wp:anchor distT="0" distB="0" distL="114300" distR="114300" simplePos="0" relativeHeight="251662336" behindDoc="0" locked="0" layoutInCell="1" allowOverlap="1" wp14:anchorId="63ADB04C" wp14:editId="195141AF">
          <wp:simplePos x="0" y="0"/>
          <wp:positionH relativeFrom="page">
            <wp:posOffset>6296025</wp:posOffset>
          </wp:positionH>
          <wp:positionV relativeFrom="page">
            <wp:posOffset>304800</wp:posOffset>
          </wp:positionV>
          <wp:extent cx="904240" cy="923925"/>
          <wp:effectExtent l="0" t="0" r="0" b="9525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536F"/>
    <w:multiLevelType w:val="hybridMultilevel"/>
    <w:tmpl w:val="2248A22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821B38"/>
    <w:multiLevelType w:val="hybridMultilevel"/>
    <w:tmpl w:val="C276AC4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471A98"/>
    <w:multiLevelType w:val="hybridMultilevel"/>
    <w:tmpl w:val="1674C3BE"/>
    <w:lvl w:ilvl="0" w:tplc="0860B9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35"/>
    <w:rsid w:val="000115B5"/>
    <w:rsid w:val="000121C1"/>
    <w:rsid w:val="00045350"/>
    <w:rsid w:val="0004661E"/>
    <w:rsid w:val="00046999"/>
    <w:rsid w:val="00066944"/>
    <w:rsid w:val="00095D15"/>
    <w:rsid w:val="000B4BAA"/>
    <w:rsid w:val="000C7C99"/>
    <w:rsid w:val="000E78C2"/>
    <w:rsid w:val="00103D6F"/>
    <w:rsid w:val="00127624"/>
    <w:rsid w:val="001319DB"/>
    <w:rsid w:val="00131B7F"/>
    <w:rsid w:val="001336E0"/>
    <w:rsid w:val="001358C4"/>
    <w:rsid w:val="00135A96"/>
    <w:rsid w:val="001363A5"/>
    <w:rsid w:val="00136C11"/>
    <w:rsid w:val="0016118B"/>
    <w:rsid w:val="001730F6"/>
    <w:rsid w:val="00194709"/>
    <w:rsid w:val="001D01DA"/>
    <w:rsid w:val="001F6C73"/>
    <w:rsid w:val="00231344"/>
    <w:rsid w:val="00266C2D"/>
    <w:rsid w:val="002806D2"/>
    <w:rsid w:val="00292A94"/>
    <w:rsid w:val="002B01FA"/>
    <w:rsid w:val="002B1BF9"/>
    <w:rsid w:val="002C0B50"/>
    <w:rsid w:val="002F5678"/>
    <w:rsid w:val="0030136D"/>
    <w:rsid w:val="00306158"/>
    <w:rsid w:val="00325FA6"/>
    <w:rsid w:val="00333A41"/>
    <w:rsid w:val="003556A3"/>
    <w:rsid w:val="00365742"/>
    <w:rsid w:val="00373FBB"/>
    <w:rsid w:val="003873F7"/>
    <w:rsid w:val="00391FB0"/>
    <w:rsid w:val="003B2218"/>
    <w:rsid w:val="003D477C"/>
    <w:rsid w:val="003E433B"/>
    <w:rsid w:val="003F09C6"/>
    <w:rsid w:val="003F152A"/>
    <w:rsid w:val="00430354"/>
    <w:rsid w:val="00430E45"/>
    <w:rsid w:val="004364DF"/>
    <w:rsid w:val="00436535"/>
    <w:rsid w:val="0045095B"/>
    <w:rsid w:val="004656A0"/>
    <w:rsid w:val="00483CE4"/>
    <w:rsid w:val="004876BA"/>
    <w:rsid w:val="004915E1"/>
    <w:rsid w:val="004A1201"/>
    <w:rsid w:val="004A221F"/>
    <w:rsid w:val="004A3336"/>
    <w:rsid w:val="004B39A3"/>
    <w:rsid w:val="004B785F"/>
    <w:rsid w:val="004C4F39"/>
    <w:rsid w:val="004D05CD"/>
    <w:rsid w:val="004E5E6B"/>
    <w:rsid w:val="004F6805"/>
    <w:rsid w:val="00504CED"/>
    <w:rsid w:val="00543CF2"/>
    <w:rsid w:val="00557254"/>
    <w:rsid w:val="005574AD"/>
    <w:rsid w:val="00591705"/>
    <w:rsid w:val="005C533D"/>
    <w:rsid w:val="005D4CEB"/>
    <w:rsid w:val="005E58A6"/>
    <w:rsid w:val="00600C43"/>
    <w:rsid w:val="00610E00"/>
    <w:rsid w:val="00623514"/>
    <w:rsid w:val="006572F2"/>
    <w:rsid w:val="006634C0"/>
    <w:rsid w:val="00670A2B"/>
    <w:rsid w:val="0067666D"/>
    <w:rsid w:val="00683217"/>
    <w:rsid w:val="006A19B7"/>
    <w:rsid w:val="006A6948"/>
    <w:rsid w:val="006C74FB"/>
    <w:rsid w:val="006F2BD8"/>
    <w:rsid w:val="00707803"/>
    <w:rsid w:val="007124E2"/>
    <w:rsid w:val="00735DDB"/>
    <w:rsid w:val="00746E66"/>
    <w:rsid w:val="00756989"/>
    <w:rsid w:val="00761B9B"/>
    <w:rsid w:val="007701A4"/>
    <w:rsid w:val="007706F4"/>
    <w:rsid w:val="00770B05"/>
    <w:rsid w:val="007872DD"/>
    <w:rsid w:val="00793885"/>
    <w:rsid w:val="007A0CA2"/>
    <w:rsid w:val="007A42AB"/>
    <w:rsid w:val="007A4AE9"/>
    <w:rsid w:val="007A5FAA"/>
    <w:rsid w:val="007B5B46"/>
    <w:rsid w:val="007B6293"/>
    <w:rsid w:val="007E296C"/>
    <w:rsid w:val="007E431A"/>
    <w:rsid w:val="00833BCD"/>
    <w:rsid w:val="00844660"/>
    <w:rsid w:val="00871861"/>
    <w:rsid w:val="00874857"/>
    <w:rsid w:val="008A3A84"/>
    <w:rsid w:val="008C7504"/>
    <w:rsid w:val="008D5EB7"/>
    <w:rsid w:val="008D75DF"/>
    <w:rsid w:val="008F29EF"/>
    <w:rsid w:val="00911C19"/>
    <w:rsid w:val="00937421"/>
    <w:rsid w:val="00947F3C"/>
    <w:rsid w:val="0095107C"/>
    <w:rsid w:val="00956F46"/>
    <w:rsid w:val="00964CBB"/>
    <w:rsid w:val="00965C8F"/>
    <w:rsid w:val="00967DC9"/>
    <w:rsid w:val="00972CE5"/>
    <w:rsid w:val="00983787"/>
    <w:rsid w:val="009901D3"/>
    <w:rsid w:val="00995A3E"/>
    <w:rsid w:val="009C68F3"/>
    <w:rsid w:val="009F0810"/>
    <w:rsid w:val="009F1FE0"/>
    <w:rsid w:val="009F2221"/>
    <w:rsid w:val="009F53B2"/>
    <w:rsid w:val="00A00614"/>
    <w:rsid w:val="00A20E9A"/>
    <w:rsid w:val="00A23424"/>
    <w:rsid w:val="00A34E39"/>
    <w:rsid w:val="00A37159"/>
    <w:rsid w:val="00A41955"/>
    <w:rsid w:val="00A5081F"/>
    <w:rsid w:val="00A51338"/>
    <w:rsid w:val="00A55526"/>
    <w:rsid w:val="00A62BA8"/>
    <w:rsid w:val="00A72880"/>
    <w:rsid w:val="00A81406"/>
    <w:rsid w:val="00A9309D"/>
    <w:rsid w:val="00AC20E9"/>
    <w:rsid w:val="00AD6E76"/>
    <w:rsid w:val="00B17477"/>
    <w:rsid w:val="00B5470F"/>
    <w:rsid w:val="00B56549"/>
    <w:rsid w:val="00B60F59"/>
    <w:rsid w:val="00B6513F"/>
    <w:rsid w:val="00B91493"/>
    <w:rsid w:val="00BA408C"/>
    <w:rsid w:val="00BA4CD6"/>
    <w:rsid w:val="00BB0419"/>
    <w:rsid w:val="00BC75A7"/>
    <w:rsid w:val="00BD313F"/>
    <w:rsid w:val="00BE383E"/>
    <w:rsid w:val="00BE5856"/>
    <w:rsid w:val="00C035C1"/>
    <w:rsid w:val="00C17425"/>
    <w:rsid w:val="00C3621B"/>
    <w:rsid w:val="00C41A23"/>
    <w:rsid w:val="00C4565E"/>
    <w:rsid w:val="00C714EC"/>
    <w:rsid w:val="00C733AE"/>
    <w:rsid w:val="00CA1B46"/>
    <w:rsid w:val="00CA4844"/>
    <w:rsid w:val="00CB1556"/>
    <w:rsid w:val="00CC5591"/>
    <w:rsid w:val="00CF7963"/>
    <w:rsid w:val="00D019B2"/>
    <w:rsid w:val="00D12BE8"/>
    <w:rsid w:val="00D253DB"/>
    <w:rsid w:val="00D328C0"/>
    <w:rsid w:val="00D42325"/>
    <w:rsid w:val="00D437D5"/>
    <w:rsid w:val="00D67C67"/>
    <w:rsid w:val="00D70C03"/>
    <w:rsid w:val="00D8049D"/>
    <w:rsid w:val="00D97BD5"/>
    <w:rsid w:val="00DA02A6"/>
    <w:rsid w:val="00DB0A01"/>
    <w:rsid w:val="00DB24D0"/>
    <w:rsid w:val="00DB6C55"/>
    <w:rsid w:val="00DC1A80"/>
    <w:rsid w:val="00DD2078"/>
    <w:rsid w:val="00DF6FAE"/>
    <w:rsid w:val="00E40A39"/>
    <w:rsid w:val="00E42C84"/>
    <w:rsid w:val="00E50A1E"/>
    <w:rsid w:val="00E54A44"/>
    <w:rsid w:val="00E773C6"/>
    <w:rsid w:val="00E812EB"/>
    <w:rsid w:val="00E95DD5"/>
    <w:rsid w:val="00EE6832"/>
    <w:rsid w:val="00F062BB"/>
    <w:rsid w:val="00F375BC"/>
    <w:rsid w:val="00F5067D"/>
    <w:rsid w:val="00F61BC3"/>
    <w:rsid w:val="00FA5398"/>
    <w:rsid w:val="00FC1B6E"/>
    <w:rsid w:val="00FC2039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425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3787"/>
    <w:pPr>
      <w:keepNext/>
      <w:outlineLvl w:val="0"/>
    </w:pPr>
    <w:rPr>
      <w:rFonts w:ascii="Times New Roman" w:hAnsi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610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00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610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10E00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610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E0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6C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3787"/>
    <w:rPr>
      <w:b/>
      <w:lang w:val="en-US" w:eastAsia="en-US"/>
    </w:rPr>
  </w:style>
  <w:style w:type="table" w:styleId="TableElegant">
    <w:name w:val="Table Elegant"/>
    <w:basedOn w:val="TableNormal"/>
    <w:rsid w:val="00E95DD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5D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3">
    <w:name w:val="Table Grid 3"/>
    <w:basedOn w:val="TableNormal"/>
    <w:rsid w:val="00E95DD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95D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7E431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431A"/>
    <w:rPr>
      <w:lang w:eastAsia="en-US"/>
    </w:rPr>
  </w:style>
  <w:style w:type="character" w:styleId="FootnoteReference">
    <w:name w:val="footnote reference"/>
    <w:rsid w:val="007E431A"/>
    <w:rPr>
      <w:vertAlign w:val="superscript"/>
    </w:rPr>
  </w:style>
  <w:style w:type="character" w:styleId="PageNumber">
    <w:name w:val="page number"/>
    <w:basedOn w:val="DefaultParagraphFont"/>
    <w:rsid w:val="00292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425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3787"/>
    <w:pPr>
      <w:keepNext/>
      <w:outlineLvl w:val="0"/>
    </w:pPr>
    <w:rPr>
      <w:rFonts w:ascii="Times New Roman" w:hAnsi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610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00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610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10E00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610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E0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6C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3787"/>
    <w:rPr>
      <w:b/>
      <w:lang w:val="en-US" w:eastAsia="en-US"/>
    </w:rPr>
  </w:style>
  <w:style w:type="table" w:styleId="TableElegant">
    <w:name w:val="Table Elegant"/>
    <w:basedOn w:val="TableNormal"/>
    <w:rsid w:val="00E95DD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5D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3">
    <w:name w:val="Table Grid 3"/>
    <w:basedOn w:val="TableNormal"/>
    <w:rsid w:val="00E95DD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95D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rsid w:val="007E431A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E431A"/>
    <w:rPr>
      <w:lang w:eastAsia="en-US"/>
    </w:rPr>
  </w:style>
  <w:style w:type="character" w:styleId="FootnoteReference">
    <w:name w:val="footnote reference"/>
    <w:rsid w:val="007E431A"/>
    <w:rPr>
      <w:vertAlign w:val="superscript"/>
    </w:rPr>
  </w:style>
  <w:style w:type="character" w:styleId="PageNumber">
    <w:name w:val="page number"/>
    <w:basedOn w:val="DefaultParagraphFont"/>
    <w:rsid w:val="0029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2C4CAF3-A239-4843-BD3D-295AFC57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456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erdogduc</dc:creator>
  <cp:lastModifiedBy>gkilinc</cp:lastModifiedBy>
  <cp:revision>100</cp:revision>
  <cp:lastPrinted>2014-07-25T12:00:00Z</cp:lastPrinted>
  <dcterms:created xsi:type="dcterms:W3CDTF">2013-08-16T12:39:00Z</dcterms:created>
  <dcterms:modified xsi:type="dcterms:W3CDTF">2021-11-15T12:56:00Z</dcterms:modified>
</cp:coreProperties>
</file>