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815E99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815E99">
        <w:rPr>
          <w:rFonts w:ascii="Arial" w:hAnsi="Arial" w:cs="Arial"/>
          <w:sz w:val="28"/>
          <w:szCs w:val="28"/>
          <w:lang w:val="en-US"/>
        </w:rPr>
        <w:t>i</w:t>
      </w:r>
      <w:r w:rsidR="00DD0655" w:rsidRPr="00815E99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815E99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815E99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815E99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14:paraId="50A3DF4D" w14:textId="23C4F944" w:rsidR="00C3793B" w:rsidRPr="00815E99" w:rsidRDefault="001410D7" w:rsidP="00D56E83">
      <w:pPr>
        <w:pStyle w:val="Title"/>
        <w:rPr>
          <w:rFonts w:ascii="Arial" w:hAnsi="Arial" w:cs="Arial"/>
          <w:szCs w:val="24"/>
          <w:lang w:val="en-US"/>
        </w:rPr>
      </w:pPr>
      <w:r w:rsidRPr="00815E99">
        <w:rPr>
          <w:rFonts w:ascii="Arial" w:hAnsi="Arial" w:cs="Arial"/>
          <w:szCs w:val="24"/>
          <w:lang w:val="en-US"/>
        </w:rPr>
        <w:t>March 2026</w:t>
      </w:r>
    </w:p>
    <w:p w14:paraId="39BA769F" w14:textId="77777777" w:rsidR="00C3793B" w:rsidRPr="00815E99" w:rsidRDefault="00C3793B" w:rsidP="00B07B3D">
      <w:pPr>
        <w:pStyle w:val="Subtitle"/>
        <w:rPr>
          <w:rFonts w:cs="Arial"/>
          <w:sz w:val="16"/>
          <w:szCs w:val="16"/>
          <w:lang w:val="en-US"/>
        </w:rPr>
      </w:pPr>
    </w:p>
    <w:p w14:paraId="41658FF2" w14:textId="77777777" w:rsidR="007978EA" w:rsidRPr="00815E99" w:rsidRDefault="007978EA" w:rsidP="00B07B3D">
      <w:pPr>
        <w:pStyle w:val="Subtitle"/>
        <w:rPr>
          <w:rFonts w:cs="Arial"/>
          <w:sz w:val="16"/>
          <w:szCs w:val="16"/>
          <w:lang w:val="en-US"/>
        </w:rPr>
      </w:pPr>
    </w:p>
    <w:p w14:paraId="70501D1D" w14:textId="77777777" w:rsidR="00EC6DE3" w:rsidRPr="00815E99" w:rsidRDefault="00A27B2E" w:rsidP="00B07B3D">
      <w:pPr>
        <w:pStyle w:val="Subtitle"/>
        <w:rPr>
          <w:rFonts w:cs="Arial"/>
          <w:szCs w:val="22"/>
          <w:lang w:val="en-US"/>
        </w:rPr>
      </w:pPr>
      <w:r w:rsidRPr="00815E99">
        <w:rPr>
          <w:rFonts w:cs="Arial"/>
          <w:szCs w:val="22"/>
          <w:lang w:val="en-US"/>
        </w:rPr>
        <w:t>Number of Banks</w:t>
      </w:r>
    </w:p>
    <w:p w14:paraId="4C79D872" w14:textId="77777777" w:rsidR="00EC6DE3" w:rsidRPr="00815E99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sz w:val="12"/>
          <w:szCs w:val="12"/>
        </w:rPr>
      </w:pPr>
    </w:p>
    <w:p w14:paraId="79717171" w14:textId="5DD9B19F" w:rsidR="00F74E30" w:rsidRPr="00815E99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815E99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815E99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A25F98" w:rsidRPr="00815E99">
        <w:rPr>
          <w:rFonts w:ascii="Arial" w:hAnsi="Arial" w:cs="Arial"/>
          <w:sz w:val="22"/>
          <w:szCs w:val="22"/>
          <w:lang w:val="en-US"/>
        </w:rPr>
        <w:t>6</w:t>
      </w:r>
      <w:r w:rsidR="00CC6CD9" w:rsidRPr="00815E99">
        <w:rPr>
          <w:rFonts w:ascii="Arial" w:hAnsi="Arial" w:cs="Arial"/>
          <w:sz w:val="22"/>
          <w:szCs w:val="22"/>
          <w:lang w:val="en-US"/>
        </w:rPr>
        <w:t>8</w:t>
      </w:r>
      <w:proofErr w:type="gramEnd"/>
      <w:r w:rsidR="006E45EF" w:rsidRPr="00815E99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CC6CD9" w:rsidRPr="00815E99">
        <w:rPr>
          <w:rFonts w:ascii="Arial" w:hAnsi="Arial" w:cs="Arial"/>
          <w:sz w:val="22"/>
          <w:szCs w:val="22"/>
          <w:lang w:val="en-US"/>
        </w:rPr>
        <w:t>March 2026</w:t>
      </w:r>
      <w:r w:rsidR="00F21E0F" w:rsidRPr="00815E99">
        <w:rPr>
          <w:rFonts w:ascii="Arial" w:hAnsi="Arial" w:cs="Arial"/>
          <w:sz w:val="22"/>
          <w:szCs w:val="22"/>
          <w:lang w:val="en-US"/>
        </w:rPr>
        <w:t xml:space="preserve"> with </w:t>
      </w:r>
      <w:proofErr w:type="gramStart"/>
      <w:r w:rsidRPr="00815E99">
        <w:rPr>
          <w:rFonts w:ascii="Arial" w:hAnsi="Arial" w:cs="Arial"/>
          <w:sz w:val="22"/>
          <w:szCs w:val="22"/>
          <w:lang w:val="en-US"/>
        </w:rPr>
        <w:t>3</w:t>
      </w:r>
      <w:r w:rsidR="002C64B5" w:rsidRPr="00815E99">
        <w:rPr>
          <w:rFonts w:ascii="Arial" w:hAnsi="Arial" w:cs="Arial"/>
          <w:sz w:val="22"/>
          <w:szCs w:val="22"/>
          <w:lang w:val="en-US"/>
        </w:rPr>
        <w:t>7</w:t>
      </w:r>
      <w:proofErr w:type="gramEnd"/>
      <w:r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815E99">
        <w:rPr>
          <w:rFonts w:ascii="Arial" w:hAnsi="Arial" w:cs="Arial"/>
          <w:sz w:val="22"/>
          <w:szCs w:val="22"/>
          <w:lang w:val="en-US"/>
        </w:rPr>
        <w:t xml:space="preserve">in deposit banks group and </w:t>
      </w:r>
      <w:proofErr w:type="gramStart"/>
      <w:r w:rsidR="00A25F98" w:rsidRPr="00815E99">
        <w:rPr>
          <w:rFonts w:ascii="Arial" w:hAnsi="Arial" w:cs="Arial"/>
          <w:sz w:val="22"/>
          <w:szCs w:val="22"/>
          <w:lang w:val="en-US"/>
        </w:rPr>
        <w:t>2</w:t>
      </w:r>
      <w:r w:rsidR="00AA387C" w:rsidRPr="00815E99">
        <w:rPr>
          <w:rFonts w:ascii="Arial" w:hAnsi="Arial" w:cs="Arial"/>
          <w:sz w:val="22"/>
          <w:szCs w:val="22"/>
          <w:lang w:val="en-US"/>
        </w:rPr>
        <w:t>1</w:t>
      </w:r>
      <w:proofErr w:type="gramEnd"/>
      <w:r w:rsidR="00823520" w:rsidRPr="00815E99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815E99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815E99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815E99">
        <w:rPr>
          <w:rFonts w:ascii="Arial" w:hAnsi="Arial" w:cs="Arial"/>
          <w:sz w:val="22"/>
          <w:szCs w:val="22"/>
          <w:lang w:val="en-US"/>
        </w:rPr>
        <w:t>, w</w:t>
      </w:r>
      <w:r w:rsidR="00823520" w:rsidRPr="00815E99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815E99">
        <w:rPr>
          <w:rFonts w:ascii="Arial" w:hAnsi="Arial" w:cs="Arial"/>
          <w:sz w:val="22"/>
          <w:szCs w:val="22"/>
          <w:lang w:val="en-US"/>
        </w:rPr>
        <w:t xml:space="preserve">also </w:t>
      </w:r>
      <w:proofErr w:type="gramStart"/>
      <w:r w:rsidR="00CC6CD9" w:rsidRPr="00815E99">
        <w:rPr>
          <w:rFonts w:ascii="Arial" w:hAnsi="Arial" w:cs="Arial"/>
          <w:sz w:val="22"/>
          <w:szCs w:val="22"/>
          <w:lang w:val="en-US"/>
        </w:rPr>
        <w:t>10</w:t>
      </w:r>
      <w:proofErr w:type="gramEnd"/>
      <w:r w:rsidR="00A25F98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815E99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815E9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19E8B3" w14:textId="77777777" w:rsidR="00A25F98" w:rsidRPr="00815E99" w:rsidRDefault="00A25F98" w:rsidP="00A25F9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D00DD30" w14:textId="4BFB4BE8" w:rsidR="00EC6DE3" w:rsidRPr="00815E99" w:rsidRDefault="00996DEE" w:rsidP="004B4BF5">
      <w:pPr>
        <w:pStyle w:val="Heading9"/>
        <w:rPr>
          <w:rFonts w:ascii="Arial" w:hAnsi="Arial" w:cs="Arial"/>
          <w:lang w:val="en-US"/>
        </w:rPr>
      </w:pPr>
      <w:r w:rsidRPr="00815E99">
        <w:rPr>
          <w:rFonts w:ascii="Arial" w:hAnsi="Arial" w:cs="Arial"/>
          <w:lang w:val="en-US"/>
        </w:rPr>
        <w:t>N</w:t>
      </w:r>
      <w:r w:rsidR="00EC6DE3" w:rsidRPr="00815E99">
        <w:rPr>
          <w:rFonts w:ascii="Arial" w:hAnsi="Arial" w:cs="Arial"/>
          <w:lang w:val="en-US"/>
        </w:rPr>
        <w:t>umber of B</w:t>
      </w:r>
      <w:r w:rsidR="00982ADE" w:rsidRPr="00815E99">
        <w:rPr>
          <w:rFonts w:ascii="Arial" w:hAnsi="Arial" w:cs="Arial"/>
          <w:lang w:val="en-US"/>
        </w:rPr>
        <w:t>anks in the System</w:t>
      </w:r>
    </w:p>
    <w:p w14:paraId="029BD854" w14:textId="0CE713F7" w:rsidR="007672E5" w:rsidRPr="007672E5" w:rsidRDefault="00CC6CD9" w:rsidP="007672E5">
      <w:pPr>
        <w:rPr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17F5B570" wp14:editId="743EECC8">
            <wp:extent cx="5059045" cy="1266825"/>
            <wp:effectExtent l="0" t="0" r="8255" b="0"/>
            <wp:docPr id="20830946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326330" w14:textId="402B5B63" w:rsidR="00AE7B4B" w:rsidRPr="002C64B5" w:rsidRDefault="00AE7B4B" w:rsidP="004E0114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913FFBA" w14:textId="77777777" w:rsidR="00EC6DE3" w:rsidRPr="00815E99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7672E5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7672E5">
        <w:rPr>
          <w:rFonts w:ascii="Arial" w:hAnsi="Arial" w:cs="Arial"/>
          <w:i/>
          <w:sz w:val="16"/>
          <w:lang w:val="en-US"/>
        </w:rPr>
        <w:t xml:space="preserve">Banks </w:t>
      </w:r>
      <w:r w:rsidR="00EC6DE3" w:rsidRPr="00815E99">
        <w:rPr>
          <w:rFonts w:ascii="Arial" w:hAnsi="Arial" w:cs="Arial"/>
          <w:i/>
          <w:sz w:val="16"/>
          <w:lang w:val="en-US"/>
        </w:rPr>
        <w:t>under the Deposit Insurance Fund</w:t>
      </w:r>
    </w:p>
    <w:p w14:paraId="3F4673DD" w14:textId="77777777" w:rsidR="008835CB" w:rsidRPr="00815E99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49BB1818" w14:textId="1D7F1AB1" w:rsidR="00EC6DE3" w:rsidRPr="00815E99" w:rsidRDefault="003F6C5A" w:rsidP="003F6C5A">
      <w:pPr>
        <w:pStyle w:val="Subtitle"/>
        <w:rPr>
          <w:rFonts w:cs="Arial"/>
          <w:lang w:val="en-US"/>
        </w:rPr>
      </w:pPr>
      <w:r w:rsidRPr="00815E99">
        <w:rPr>
          <w:rFonts w:cs="Arial"/>
          <w:lang w:val="en-US"/>
        </w:rPr>
        <w:t xml:space="preserve">Number of </w:t>
      </w:r>
      <w:r w:rsidR="000337BF" w:rsidRPr="00815E99">
        <w:rPr>
          <w:rFonts w:cs="Arial"/>
          <w:lang w:val="en-US"/>
        </w:rPr>
        <w:t>E</w:t>
      </w:r>
      <w:r w:rsidR="00EC6DE3" w:rsidRPr="00815E99">
        <w:rPr>
          <w:rFonts w:cs="Arial"/>
          <w:lang w:val="en-US"/>
        </w:rPr>
        <w:t>mployees</w:t>
      </w:r>
      <w:r w:rsidRPr="00815E99">
        <w:rPr>
          <w:rFonts w:cs="Arial"/>
          <w:lang w:val="en-US"/>
        </w:rPr>
        <w:t xml:space="preserve"> </w:t>
      </w:r>
    </w:p>
    <w:p w14:paraId="2998211E" w14:textId="77777777" w:rsidR="0066600F" w:rsidRPr="00815E99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3012CAE8" w:rsidR="000F7651" w:rsidRPr="00815E99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As of </w:t>
      </w:r>
      <w:r w:rsidR="001410D7" w:rsidRPr="00815E99">
        <w:rPr>
          <w:rFonts w:ascii="Arial" w:hAnsi="Arial" w:cs="Arial"/>
          <w:sz w:val="22"/>
          <w:szCs w:val="22"/>
          <w:lang w:val="en-US"/>
        </w:rPr>
        <w:t>March 2026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815E99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636E17" w:rsidRPr="00815E99">
        <w:rPr>
          <w:rFonts w:ascii="Arial" w:hAnsi="Arial" w:cs="Arial"/>
          <w:sz w:val="22"/>
          <w:szCs w:val="22"/>
          <w:lang w:val="en-US"/>
        </w:rPr>
        <w:t>18</w:t>
      </w:r>
      <w:r w:rsidR="002C64B5" w:rsidRPr="00815E99">
        <w:rPr>
          <w:rFonts w:ascii="Arial" w:hAnsi="Arial" w:cs="Arial"/>
          <w:sz w:val="22"/>
          <w:szCs w:val="22"/>
          <w:lang w:val="en-US"/>
        </w:rPr>
        <w:t>9</w:t>
      </w:r>
      <w:r w:rsidR="00636E17" w:rsidRPr="00815E99">
        <w:rPr>
          <w:rFonts w:ascii="Arial" w:hAnsi="Arial" w:cs="Arial"/>
          <w:sz w:val="22"/>
          <w:szCs w:val="22"/>
          <w:lang w:val="en-US"/>
        </w:rPr>
        <w:t>,</w:t>
      </w:r>
      <w:r w:rsidR="00C9040F" w:rsidRPr="00815E99">
        <w:rPr>
          <w:rFonts w:ascii="Arial" w:hAnsi="Arial" w:cs="Arial"/>
          <w:sz w:val="22"/>
          <w:szCs w:val="22"/>
          <w:lang w:val="en-US"/>
        </w:rPr>
        <w:t>024</w:t>
      </w:r>
      <w:r w:rsidR="00465595" w:rsidRPr="00815E99">
        <w:rPr>
          <w:rFonts w:ascii="Arial" w:hAnsi="Arial" w:cs="Arial"/>
          <w:sz w:val="22"/>
          <w:szCs w:val="22"/>
          <w:lang w:val="en-US"/>
        </w:rPr>
        <w:t>.</w:t>
      </w:r>
      <w:r w:rsidR="00846D65" w:rsidRPr="00815E9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815E99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430CE057" w:rsidR="00E727B2" w:rsidRPr="00815E99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C9040F" w:rsidRPr="00815E99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by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612</w:t>
      </w:r>
      <w:r w:rsidR="00E66562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as compared to previous quarter </w:t>
      </w:r>
      <w:r w:rsidR="007C0858" w:rsidRPr="00815E99">
        <w:rPr>
          <w:rFonts w:ascii="Arial" w:hAnsi="Arial" w:cs="Arial"/>
          <w:sz w:val="22"/>
          <w:szCs w:val="22"/>
          <w:lang w:val="en-US"/>
        </w:rPr>
        <w:t>and</w:t>
      </w:r>
      <w:r w:rsidR="00F75937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DF0DAF" w:rsidRPr="00815E99">
        <w:rPr>
          <w:rFonts w:ascii="Arial" w:hAnsi="Arial" w:cs="Arial"/>
          <w:sz w:val="22"/>
          <w:szCs w:val="22"/>
          <w:lang w:val="en-US"/>
        </w:rPr>
        <w:t>increased</w:t>
      </w:r>
      <w:r w:rsidR="000C199D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by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53</w:t>
      </w:r>
      <w:r w:rsidR="002935DE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Pr="00815E99">
        <w:rPr>
          <w:rFonts w:ascii="Arial" w:hAnsi="Arial" w:cs="Arial"/>
          <w:sz w:val="22"/>
          <w:szCs w:val="22"/>
          <w:lang w:val="en-US"/>
        </w:rPr>
        <w:t>to</w:t>
      </w:r>
      <w:r w:rsidR="00C03169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March</w:t>
      </w:r>
      <w:r w:rsidR="001F678D" w:rsidRPr="00815E99">
        <w:rPr>
          <w:rFonts w:ascii="Arial" w:hAnsi="Arial" w:cs="Arial"/>
          <w:sz w:val="22"/>
          <w:szCs w:val="22"/>
          <w:lang w:val="en-US"/>
        </w:rPr>
        <w:t xml:space="preserve"> 202</w:t>
      </w:r>
      <w:r w:rsidR="00C9040F" w:rsidRPr="00815E99">
        <w:rPr>
          <w:rFonts w:ascii="Arial" w:hAnsi="Arial" w:cs="Arial"/>
          <w:sz w:val="22"/>
          <w:szCs w:val="22"/>
          <w:lang w:val="en-US"/>
        </w:rPr>
        <w:t>5</w:t>
      </w:r>
      <w:r w:rsidRPr="00815E99">
        <w:rPr>
          <w:rFonts w:ascii="Arial" w:hAnsi="Arial" w:cs="Arial"/>
          <w:sz w:val="22"/>
          <w:szCs w:val="22"/>
          <w:lang w:val="en-US"/>
        </w:rPr>
        <w:t>.</w:t>
      </w:r>
      <w:r w:rsidR="004A7E35" w:rsidRPr="00815E99">
        <w:rPr>
          <w:rFonts w:ascii="Arial" w:hAnsi="Arial" w:cs="Arial"/>
        </w:rPr>
        <w:t xml:space="preserve"> </w:t>
      </w:r>
    </w:p>
    <w:p w14:paraId="560F7E6E" w14:textId="77777777" w:rsidR="007C0858" w:rsidRPr="00815E99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7647FC5B" w:rsidR="007C0858" w:rsidRPr="00815E99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March 2025</w:t>
      </w:r>
      <w:r w:rsidRPr="00815E99">
        <w:rPr>
          <w:rFonts w:ascii="Arial" w:hAnsi="Arial" w:cs="Arial"/>
          <w:sz w:val="22"/>
          <w:szCs w:val="22"/>
          <w:lang w:val="en-US"/>
        </w:rPr>
        <w:t>, t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 by </w:t>
      </w:r>
      <w:r w:rsidR="00C9040F" w:rsidRPr="00815E99">
        <w:rPr>
          <w:rFonts w:ascii="Arial" w:hAnsi="Arial" w:cs="Arial"/>
          <w:sz w:val="22"/>
          <w:szCs w:val="22"/>
          <w:lang w:val="en-US"/>
        </w:rPr>
        <w:t>194</w:t>
      </w:r>
      <w:r w:rsidR="00AF23C4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815E99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by </w:t>
      </w:r>
      <w:r w:rsidR="00DF0DAF" w:rsidRPr="00815E99">
        <w:rPr>
          <w:rFonts w:ascii="Arial" w:hAnsi="Arial" w:cs="Arial"/>
          <w:sz w:val="22"/>
          <w:szCs w:val="22"/>
          <w:lang w:val="en-US"/>
        </w:rPr>
        <w:t>2</w:t>
      </w:r>
      <w:r w:rsidR="00C9040F" w:rsidRPr="00815E99">
        <w:rPr>
          <w:rFonts w:ascii="Arial" w:hAnsi="Arial" w:cs="Arial"/>
          <w:sz w:val="22"/>
          <w:szCs w:val="22"/>
          <w:lang w:val="en-US"/>
        </w:rPr>
        <w:t>47</w:t>
      </w:r>
      <w:r w:rsidR="007C0858" w:rsidRPr="00815E99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48E1833E" w14:textId="77777777" w:rsidR="003E2958" w:rsidRPr="002C64B5" w:rsidRDefault="003E2958" w:rsidP="007C0858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4A6ED60" w14:textId="77777777" w:rsidR="000F7651" w:rsidRPr="002C64B5" w:rsidRDefault="000F7651" w:rsidP="009B41D0">
      <w:pPr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14:paraId="58C5A45D" w14:textId="09EDFCC0" w:rsidR="004E0114" w:rsidRPr="00503CCC" w:rsidRDefault="006F1D37" w:rsidP="00E23C12">
      <w:pPr>
        <w:pStyle w:val="Heading9"/>
        <w:rPr>
          <w:rFonts w:ascii="Arial" w:hAnsi="Arial" w:cs="Arial"/>
          <w:lang w:val="en-US"/>
        </w:rPr>
      </w:pPr>
      <w:r w:rsidRPr="00503CCC">
        <w:rPr>
          <w:rFonts w:ascii="Arial" w:hAnsi="Arial" w:cs="Arial"/>
          <w:lang w:val="en-US"/>
        </w:rPr>
        <w:t>Number of Employees</w:t>
      </w:r>
      <w:r w:rsidR="000F5F1A" w:rsidRPr="00503CCC">
        <w:rPr>
          <w:rFonts w:ascii="Arial" w:hAnsi="Arial" w:cs="Arial"/>
          <w:lang w:val="en-US"/>
        </w:rPr>
        <w:t xml:space="preserve"> </w:t>
      </w:r>
      <w:r w:rsidR="007365E1" w:rsidRPr="00503CCC">
        <w:rPr>
          <w:rFonts w:ascii="Arial" w:hAnsi="Arial" w:cs="Arial"/>
          <w:lang w:val="en-US"/>
        </w:rPr>
        <w:t>(</w:t>
      </w:r>
      <w:r w:rsidR="00AF23C4" w:rsidRPr="00503CCC">
        <w:rPr>
          <w:rFonts w:ascii="Arial" w:hAnsi="Arial" w:cs="Arial"/>
          <w:bCs/>
          <w:lang w:val="en-US"/>
        </w:rPr>
        <w:t>thousand people</w:t>
      </w:r>
      <w:r w:rsidR="00E06A4C" w:rsidRPr="00503CCC">
        <w:rPr>
          <w:rFonts w:ascii="Arial" w:hAnsi="Arial" w:cs="Arial"/>
          <w:lang w:val="en-US"/>
        </w:rPr>
        <w:t>)</w:t>
      </w:r>
    </w:p>
    <w:p w14:paraId="25A9E0BC" w14:textId="72F89C97" w:rsidR="00E23C12" w:rsidRPr="002C64B5" w:rsidRDefault="00E23C12" w:rsidP="008017AF">
      <w:pPr>
        <w:jc w:val="center"/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545F4C2C" w14:textId="21968500" w:rsidR="00D12D0D" w:rsidRPr="002C64B5" w:rsidRDefault="00503CCC" w:rsidP="00503CCC">
      <w:pPr>
        <w:jc w:val="center"/>
        <w:rPr>
          <w:rFonts w:ascii="Arial" w:hAnsi="Arial" w:cs="Arial"/>
          <w:b/>
          <w:bCs/>
          <w:color w:val="FF0000"/>
          <w:szCs w:val="22"/>
          <w:lang w:val="en-US"/>
        </w:rPr>
      </w:pPr>
      <w:r>
        <w:rPr>
          <w:rFonts w:ascii="Arial" w:hAnsi="Arial" w:cs="Arial"/>
          <w:b/>
          <w:bCs/>
          <w:noProof/>
          <w:color w:val="FF0000"/>
          <w:szCs w:val="22"/>
          <w:lang w:val="en-US"/>
        </w:rPr>
        <w:drawing>
          <wp:inline distT="0" distB="0" distL="0" distR="0" wp14:anchorId="588F70F4" wp14:editId="66172941">
            <wp:extent cx="3956685" cy="2164080"/>
            <wp:effectExtent l="0" t="0" r="5715" b="7620"/>
            <wp:docPr id="724072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A0647" w14:textId="3E7EDDB2" w:rsidR="00425999" w:rsidRPr="00815E99" w:rsidRDefault="00300FE4" w:rsidP="004E0114">
      <w:pPr>
        <w:rPr>
          <w:rFonts w:ascii="Arial" w:hAnsi="Arial" w:cs="Arial"/>
          <w:b/>
          <w:bCs/>
          <w:noProof/>
        </w:rPr>
      </w:pPr>
      <w:r w:rsidRPr="00815E99">
        <w:rPr>
          <w:rFonts w:ascii="Arial" w:hAnsi="Arial" w:cs="Arial"/>
          <w:b/>
          <w:bCs/>
          <w:szCs w:val="22"/>
          <w:lang w:val="en-US"/>
        </w:rPr>
        <w:lastRenderedPageBreak/>
        <w:t xml:space="preserve">Bank </w:t>
      </w:r>
      <w:r w:rsidRPr="00815E99">
        <w:rPr>
          <w:rFonts w:ascii="Arial" w:hAnsi="Arial" w:cs="Arial"/>
          <w:b/>
          <w:bCs/>
          <w:lang w:val="en-US"/>
        </w:rPr>
        <w:t xml:space="preserve">Employees by Gender and </w:t>
      </w:r>
      <w:r w:rsidR="00425999" w:rsidRPr="00815E99">
        <w:rPr>
          <w:rFonts w:ascii="Arial" w:hAnsi="Arial" w:cs="Arial"/>
          <w:b/>
          <w:bCs/>
          <w:lang w:val="en-US"/>
        </w:rPr>
        <w:t xml:space="preserve">Education Level </w:t>
      </w:r>
    </w:p>
    <w:p w14:paraId="2E6F9D66" w14:textId="77777777" w:rsidR="00425999" w:rsidRPr="00815E99" w:rsidRDefault="00425999" w:rsidP="001E1244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AF61019" w14:textId="53324A44" w:rsidR="00300FE4" w:rsidRPr="00815E99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815E99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1410D7" w:rsidRPr="00815E99">
        <w:rPr>
          <w:rFonts w:ascii="Arial" w:hAnsi="Arial" w:cs="Arial"/>
          <w:snapToGrid w:val="0"/>
          <w:sz w:val="22"/>
          <w:szCs w:val="22"/>
          <w:lang w:val="en-US"/>
        </w:rPr>
        <w:t>March 2026</w:t>
      </w:r>
      <w:r w:rsidR="00B93CFE" w:rsidRPr="00815E99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0C703E" w:rsidRPr="00815E99">
        <w:rPr>
          <w:rFonts w:ascii="Arial" w:hAnsi="Arial" w:cs="Arial"/>
          <w:snapToGrid w:val="0"/>
          <w:sz w:val="22"/>
          <w:szCs w:val="22"/>
          <w:lang w:val="en-US"/>
        </w:rPr>
        <w:t>51.</w:t>
      </w:r>
      <w:r w:rsidR="00477329" w:rsidRPr="00815E99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1B1AA9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DF7E7E" w:rsidRPr="00815E99">
        <w:rPr>
          <w:rFonts w:ascii="Arial" w:hAnsi="Arial" w:cs="Arial"/>
          <w:snapToGrid w:val="0"/>
          <w:sz w:val="22"/>
          <w:szCs w:val="22"/>
          <w:lang w:val="en-US"/>
        </w:rPr>
        <w:t>48.</w:t>
      </w:r>
      <w:r w:rsidR="00477329" w:rsidRPr="00815E99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B93CFE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815E99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815E99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3957DEA3" w14:textId="4C663155" w:rsidR="00E66562" w:rsidRPr="00815E99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Regarding the education level of bank employees, </w:t>
      </w:r>
      <w:r w:rsidR="00DF7E7E" w:rsidRPr="00815E99">
        <w:rPr>
          <w:rFonts w:ascii="Arial" w:hAnsi="Arial" w:cs="Arial"/>
          <w:sz w:val="22"/>
          <w:szCs w:val="22"/>
          <w:lang w:val="en-US"/>
        </w:rPr>
        <w:t>8</w:t>
      </w:r>
      <w:r w:rsidR="00477329" w:rsidRPr="00815E99">
        <w:rPr>
          <w:rFonts w:ascii="Arial" w:hAnsi="Arial" w:cs="Arial"/>
          <w:sz w:val="22"/>
          <w:szCs w:val="22"/>
          <w:lang w:val="en-US"/>
        </w:rPr>
        <w:t>0</w:t>
      </w:r>
      <w:r w:rsidR="003D3BA7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Pr="00815E99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815E99">
        <w:rPr>
          <w:rFonts w:ascii="Arial" w:hAnsi="Arial" w:cs="Arial"/>
          <w:sz w:val="22"/>
          <w:szCs w:val="22"/>
          <w:lang w:val="en-US"/>
        </w:rPr>
        <w:t xml:space="preserve"> and </w:t>
      </w:r>
      <w:r w:rsidR="004E0114" w:rsidRPr="00815E99">
        <w:rPr>
          <w:rFonts w:ascii="Arial" w:hAnsi="Arial" w:cs="Arial"/>
          <w:sz w:val="22"/>
          <w:szCs w:val="22"/>
          <w:lang w:val="en-US"/>
        </w:rPr>
        <w:t>1</w:t>
      </w:r>
      <w:r w:rsidR="00477329" w:rsidRPr="00815E99">
        <w:rPr>
          <w:rFonts w:ascii="Arial" w:hAnsi="Arial" w:cs="Arial"/>
          <w:sz w:val="22"/>
          <w:szCs w:val="22"/>
          <w:lang w:val="en-US"/>
        </w:rPr>
        <w:t>1</w:t>
      </w:r>
      <w:r w:rsidR="004E0114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116F15" w:rsidRPr="00815E99">
        <w:rPr>
          <w:rFonts w:ascii="Arial" w:hAnsi="Arial" w:cs="Arial"/>
          <w:sz w:val="22"/>
          <w:szCs w:val="22"/>
          <w:lang w:val="en-US"/>
        </w:rPr>
        <w:t>percent in postgraduate degrees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477329" w:rsidRPr="00815E99">
        <w:rPr>
          <w:rFonts w:ascii="Arial" w:hAnsi="Arial" w:cs="Arial"/>
          <w:sz w:val="22"/>
          <w:szCs w:val="22"/>
          <w:lang w:val="en-US"/>
        </w:rPr>
        <w:t>March 2026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815E99">
        <w:rPr>
          <w:rFonts w:ascii="Arial" w:hAnsi="Arial" w:cs="Arial"/>
          <w:sz w:val="22"/>
          <w:szCs w:val="22"/>
          <w:lang w:val="en-US"/>
        </w:rPr>
        <w:t>share of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815E99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="00DF0DAF" w:rsidRPr="00815E99">
        <w:rPr>
          <w:rFonts w:ascii="Arial" w:hAnsi="Arial" w:cs="Arial"/>
          <w:sz w:val="22"/>
          <w:szCs w:val="22"/>
          <w:lang w:val="en-US"/>
        </w:rPr>
        <w:t>9</w:t>
      </w:r>
      <w:r w:rsidR="00220ED9" w:rsidRPr="00815E99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815E99">
        <w:rPr>
          <w:rFonts w:ascii="Arial" w:hAnsi="Arial" w:cs="Arial"/>
          <w:sz w:val="22"/>
          <w:szCs w:val="22"/>
          <w:lang w:val="en-US"/>
        </w:rPr>
        <w:t>.</w:t>
      </w:r>
    </w:p>
    <w:p w14:paraId="6AFF29C1" w14:textId="3EBEBE7C" w:rsidR="001E1244" w:rsidRPr="002C64B5" w:rsidRDefault="001E1244" w:rsidP="00FA7FDA">
      <w:pPr>
        <w:rPr>
          <w:rFonts w:ascii="Arial" w:hAnsi="Arial" w:cs="Arial"/>
          <w:color w:val="FF0000"/>
          <w:sz w:val="22"/>
          <w:szCs w:val="22"/>
          <w:lang w:val="en-US" w:eastAsia="ko-KR"/>
        </w:rPr>
      </w:pPr>
    </w:p>
    <w:p w14:paraId="59F1CDB8" w14:textId="38A3A7C6" w:rsidR="00AF452C" w:rsidRPr="00503CCC" w:rsidRDefault="00300FE4" w:rsidP="00AF452C">
      <w:pPr>
        <w:pStyle w:val="Heading9"/>
        <w:rPr>
          <w:rFonts w:ascii="Arial" w:hAnsi="Arial" w:cs="Arial"/>
          <w:lang w:val="en-US"/>
        </w:rPr>
      </w:pPr>
      <w:r w:rsidRPr="00503CCC">
        <w:rPr>
          <w:rFonts w:ascii="Arial" w:hAnsi="Arial" w:cs="Arial"/>
          <w:szCs w:val="22"/>
          <w:lang w:val="en-US"/>
        </w:rPr>
        <w:t xml:space="preserve">Bank </w:t>
      </w:r>
      <w:r w:rsidRPr="00503CCC">
        <w:rPr>
          <w:rFonts w:ascii="Arial" w:hAnsi="Arial" w:cs="Arial"/>
          <w:lang w:val="en-US"/>
        </w:rPr>
        <w:t>Employees by Gender</w:t>
      </w:r>
      <w:r w:rsidR="00AF452C" w:rsidRPr="00503CCC">
        <w:rPr>
          <w:rFonts w:ascii="Arial" w:hAnsi="Arial" w:cs="Arial"/>
          <w:lang w:val="en-US"/>
        </w:rPr>
        <w:t xml:space="preserve"> and Education Level</w:t>
      </w:r>
    </w:p>
    <w:p w14:paraId="1F39117A" w14:textId="238215C3" w:rsidR="007672E5" w:rsidRDefault="00477329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  <w:r w:rsidRPr="00477329">
        <w:rPr>
          <w:rFonts w:ascii="Arial" w:hAnsi="Arial" w:cs="Arial"/>
          <w:b w:val="0"/>
          <w:noProof/>
          <w:color w:val="00B050"/>
          <w:szCs w:val="22"/>
        </w:rPr>
        <w:drawing>
          <wp:anchor distT="0" distB="0" distL="114300" distR="114300" simplePos="0" relativeHeight="251659264" behindDoc="0" locked="0" layoutInCell="1" allowOverlap="1" wp14:anchorId="47871B01" wp14:editId="44F6A467">
            <wp:simplePos x="0" y="0"/>
            <wp:positionH relativeFrom="column">
              <wp:posOffset>6350</wp:posOffset>
            </wp:positionH>
            <wp:positionV relativeFrom="paragraph">
              <wp:posOffset>100965</wp:posOffset>
            </wp:positionV>
            <wp:extent cx="1965960" cy="1763395"/>
            <wp:effectExtent l="0" t="0" r="0" b="8255"/>
            <wp:wrapSquare wrapText="bothSides"/>
            <wp:docPr id="1385048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CCC">
        <w:rPr>
          <w:rFonts w:ascii="Arial" w:hAnsi="Arial" w:cs="Arial"/>
          <w:b w:val="0"/>
          <w:noProof/>
          <w:szCs w:val="22"/>
          <w:lang w:val="en-US"/>
        </w:rPr>
        <w:drawing>
          <wp:inline distT="0" distB="0" distL="0" distR="0" wp14:anchorId="5D29E504" wp14:editId="177F6C83">
            <wp:extent cx="2740888" cy="1860377"/>
            <wp:effectExtent l="0" t="0" r="2540" b="6985"/>
            <wp:docPr id="257619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39" cy="1880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B7AC6" w14:textId="77777777" w:rsidR="00477329" w:rsidRPr="00477329" w:rsidRDefault="00477329" w:rsidP="00477329">
      <w:pPr>
        <w:rPr>
          <w:lang w:val="en-US" w:eastAsia="tr-TR"/>
        </w:rPr>
      </w:pPr>
    </w:p>
    <w:p w14:paraId="7E3613D3" w14:textId="001E2333" w:rsidR="00382C51" w:rsidRPr="00815E99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lang w:val="en-US"/>
        </w:rPr>
      </w:pPr>
      <w:proofErr w:type="gramStart"/>
      <w:r w:rsidRPr="00815E99">
        <w:rPr>
          <w:rFonts w:ascii="Arial" w:hAnsi="Arial" w:cs="Arial"/>
          <w:b w:val="0"/>
          <w:szCs w:val="22"/>
          <w:lang w:val="en-US"/>
        </w:rPr>
        <w:t>4</w:t>
      </w:r>
      <w:r w:rsidR="00DF0DAF" w:rsidRPr="00815E99">
        <w:rPr>
          <w:rFonts w:ascii="Arial" w:hAnsi="Arial" w:cs="Arial"/>
          <w:b w:val="0"/>
          <w:szCs w:val="22"/>
          <w:lang w:val="en-US"/>
        </w:rPr>
        <w:t>4</w:t>
      </w:r>
      <w:proofErr w:type="gramEnd"/>
      <w:r w:rsidR="00CF4D4C" w:rsidRPr="00815E99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815E99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815E99">
        <w:rPr>
          <w:rFonts w:ascii="Arial" w:hAnsi="Arial" w:cs="Arial"/>
          <w:b w:val="0"/>
          <w:szCs w:val="22"/>
          <w:lang w:val="en-US"/>
        </w:rPr>
        <w:t>ar</w:t>
      </w:r>
      <w:r w:rsidRPr="00815E99">
        <w:rPr>
          <w:rFonts w:ascii="Arial" w:hAnsi="Arial" w:cs="Arial"/>
          <w:b w:val="0"/>
          <w:szCs w:val="22"/>
          <w:lang w:val="en-US"/>
        </w:rPr>
        <w:t xml:space="preserve">e in the 36-45 age range, and </w:t>
      </w:r>
      <w:r w:rsidR="00E913F1" w:rsidRPr="00815E99">
        <w:rPr>
          <w:rFonts w:ascii="Arial" w:hAnsi="Arial" w:cs="Arial"/>
          <w:b w:val="0"/>
          <w:szCs w:val="22"/>
          <w:lang w:val="en-US"/>
        </w:rPr>
        <w:t>3</w:t>
      </w:r>
      <w:r w:rsidR="00DF7E7E" w:rsidRPr="00815E99">
        <w:rPr>
          <w:rFonts w:ascii="Arial" w:hAnsi="Arial" w:cs="Arial"/>
          <w:b w:val="0"/>
          <w:szCs w:val="22"/>
          <w:lang w:val="en-US"/>
        </w:rPr>
        <w:t>7</w:t>
      </w:r>
      <w:r w:rsidR="00CF4D4C" w:rsidRPr="00815E99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2C64B5" w:rsidRDefault="00AE26A5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71A4414" w14:textId="77777777" w:rsidR="00382C51" w:rsidRPr="00317084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17084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2C64B5" w:rsidRDefault="006A3537" w:rsidP="00382C51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1293075" w14:textId="6D8B73AB" w:rsidR="00FA5643" w:rsidRPr="002C64B5" w:rsidRDefault="00BA593E" w:rsidP="00E06A4C">
      <w:pPr>
        <w:pStyle w:val="Subtitle"/>
        <w:jc w:val="center"/>
        <w:rPr>
          <w:rFonts w:cs="Arial"/>
          <w:color w:val="FF0000"/>
          <w:szCs w:val="22"/>
          <w:lang w:val="en-US"/>
        </w:rPr>
      </w:pPr>
      <w:r>
        <w:rPr>
          <w:rFonts w:cs="Arial"/>
          <w:noProof/>
          <w:color w:val="FF0000"/>
          <w:szCs w:val="22"/>
        </w:rPr>
        <w:drawing>
          <wp:inline distT="0" distB="0" distL="0" distR="0" wp14:anchorId="729DEAAC" wp14:editId="5170C03B">
            <wp:extent cx="3963035" cy="2164080"/>
            <wp:effectExtent l="0" t="0" r="0" b="7620"/>
            <wp:docPr id="18197306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41839DD" w14:textId="7777777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A3EDDE0" w14:textId="7777777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FC9BF2E" w14:textId="71083DD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95F95" w14:textId="732713B8" w:rsidR="000C703E" w:rsidRPr="002C64B5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D2C7C25" w14:textId="1BFD9B15" w:rsidR="00B22161" w:rsidRPr="002C64B5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B33337E" w14:textId="77777777" w:rsidR="00B22161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B0E0950" w14:textId="77777777" w:rsidR="00477329" w:rsidRDefault="00477329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3306F47" w14:textId="77777777" w:rsidR="00477329" w:rsidRPr="002C64B5" w:rsidRDefault="00477329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D26C38B" w14:textId="77777777" w:rsidR="00E66562" w:rsidRDefault="00E66562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036F2D25" w14:textId="77777777" w:rsidR="00E66562" w:rsidRDefault="00E66562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131FA22" w14:textId="77777777" w:rsidR="00320559" w:rsidRPr="002C64B5" w:rsidRDefault="00320559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376B539" w14:textId="4880EB02" w:rsidR="003B53F2" w:rsidRPr="00815E99" w:rsidRDefault="003B53F2" w:rsidP="004E0114">
      <w:pPr>
        <w:pStyle w:val="Subtitle"/>
        <w:rPr>
          <w:rFonts w:cs="Arial"/>
          <w:szCs w:val="22"/>
          <w:lang w:val="en-US"/>
        </w:rPr>
      </w:pPr>
      <w:r w:rsidRPr="00815E99">
        <w:rPr>
          <w:rFonts w:cs="Arial"/>
          <w:szCs w:val="22"/>
          <w:lang w:val="en-US"/>
        </w:rPr>
        <w:lastRenderedPageBreak/>
        <w:t>Number of Branches</w:t>
      </w:r>
    </w:p>
    <w:p w14:paraId="566D18E6" w14:textId="77777777" w:rsidR="004E0114" w:rsidRPr="00815E99" w:rsidRDefault="004E0114" w:rsidP="004E0114">
      <w:pPr>
        <w:pStyle w:val="Subtitle"/>
        <w:rPr>
          <w:rFonts w:cs="Arial"/>
          <w:szCs w:val="22"/>
          <w:lang w:val="en-US"/>
        </w:rPr>
      </w:pPr>
    </w:p>
    <w:p w14:paraId="5C134191" w14:textId="3F6CD859" w:rsidR="003B53F2" w:rsidRPr="00815E99" w:rsidRDefault="000F7651" w:rsidP="003B53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As of </w:t>
      </w:r>
      <w:r w:rsidR="001410D7" w:rsidRPr="00815E99">
        <w:rPr>
          <w:rFonts w:ascii="Arial" w:hAnsi="Arial" w:cs="Arial"/>
          <w:sz w:val="22"/>
          <w:szCs w:val="22"/>
          <w:lang w:val="en-US"/>
        </w:rPr>
        <w:t>March 2026</w:t>
      </w:r>
      <w:r w:rsidR="003B53F2" w:rsidRPr="00815E99">
        <w:rPr>
          <w:rFonts w:ascii="Arial" w:hAnsi="Arial" w:cs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815E99">
        <w:rPr>
          <w:rFonts w:ascii="Arial" w:hAnsi="Arial" w:cs="Arial"/>
          <w:sz w:val="22"/>
          <w:szCs w:val="22"/>
          <w:lang w:val="en-US"/>
        </w:rPr>
        <w:t>9,</w:t>
      </w:r>
      <w:r w:rsidR="00DF0DAF" w:rsidRPr="00815E99">
        <w:rPr>
          <w:rFonts w:ascii="Arial" w:hAnsi="Arial" w:cs="Arial"/>
          <w:sz w:val="22"/>
          <w:szCs w:val="22"/>
          <w:lang w:val="en-US"/>
        </w:rPr>
        <w:t>1</w:t>
      </w:r>
      <w:r w:rsidR="00477329" w:rsidRPr="00815E99">
        <w:rPr>
          <w:rFonts w:ascii="Arial" w:hAnsi="Arial" w:cs="Arial"/>
          <w:sz w:val="22"/>
          <w:szCs w:val="22"/>
          <w:lang w:val="en-US"/>
        </w:rPr>
        <w:t>49</w:t>
      </w:r>
      <w:r w:rsidR="0091459E" w:rsidRPr="00815E99">
        <w:rPr>
          <w:rFonts w:ascii="Arial" w:hAnsi="Arial" w:cs="Arial"/>
          <w:sz w:val="22"/>
          <w:szCs w:val="22"/>
          <w:lang w:val="en-US"/>
        </w:rPr>
        <w:t>.</w:t>
      </w:r>
      <w:r w:rsidR="003B53F2" w:rsidRPr="00815E9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A63668" w14:textId="77777777" w:rsidR="00AE26A5" w:rsidRPr="00477329" w:rsidRDefault="00AE26A5" w:rsidP="003B53F2">
      <w:pPr>
        <w:jc w:val="both"/>
        <w:rPr>
          <w:rFonts w:ascii="Arial" w:hAnsi="Arial" w:cs="Arial"/>
          <w:color w:val="00B050"/>
          <w:sz w:val="22"/>
          <w:szCs w:val="22"/>
          <w:lang w:val="en-US"/>
        </w:rPr>
      </w:pPr>
    </w:p>
    <w:p w14:paraId="69C74D29" w14:textId="77777777" w:rsidR="00CC088E" w:rsidRPr="00477329" w:rsidRDefault="00CC088E" w:rsidP="003B53F2">
      <w:pPr>
        <w:jc w:val="center"/>
        <w:rPr>
          <w:rFonts w:ascii="Arial" w:hAnsi="Arial" w:cs="Arial"/>
          <w:b/>
          <w:color w:val="00B050"/>
          <w:sz w:val="12"/>
          <w:szCs w:val="12"/>
          <w:lang w:val="en-US"/>
        </w:rPr>
      </w:pPr>
    </w:p>
    <w:p w14:paraId="1DE816E8" w14:textId="77777777" w:rsidR="00FC4EA3" w:rsidRPr="00815E99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15E99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743AF8D1" w:rsidR="00047F97" w:rsidRPr="002C64B5" w:rsidRDefault="00477329" w:rsidP="003B53F2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780080AF" wp14:editId="59D0E8E8">
            <wp:extent cx="3535680" cy="2229343"/>
            <wp:effectExtent l="0" t="0" r="7620" b="0"/>
            <wp:docPr id="21391844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942" cy="223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301DBF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2C64B5" w:rsidRDefault="003B53F2" w:rsidP="003B53F2">
      <w:pPr>
        <w:rPr>
          <w:rFonts w:ascii="Arial" w:hAnsi="Arial" w:cs="Arial"/>
          <w:i/>
          <w:color w:val="FF0000"/>
          <w:sz w:val="16"/>
          <w:lang w:val="en-US"/>
        </w:rPr>
      </w:pPr>
      <w:r w:rsidRPr="00301DBF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</w:t>
      </w:r>
      <w:proofErr w:type="gramStart"/>
      <w:r w:rsidRPr="00301DBF">
        <w:rPr>
          <w:rFonts w:ascii="Arial" w:hAnsi="Arial" w:cs="Arial"/>
          <w:i/>
          <w:sz w:val="16"/>
          <w:lang w:val="en-US"/>
        </w:rPr>
        <w:t>are included</w:t>
      </w:r>
      <w:proofErr w:type="gramEnd"/>
      <w:r w:rsidRPr="00301DBF">
        <w:rPr>
          <w:rFonts w:ascii="Arial" w:hAnsi="Arial" w:cs="Arial"/>
          <w:i/>
          <w:sz w:val="16"/>
          <w:lang w:val="en-US"/>
        </w:rPr>
        <w:t>.</w:t>
      </w:r>
    </w:p>
    <w:p w14:paraId="170A1948" w14:textId="77777777" w:rsidR="002D557D" w:rsidRPr="002C64B5" w:rsidRDefault="002D557D" w:rsidP="00D04C4E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01A44BBC" w14:textId="77777777" w:rsidR="00E66562" w:rsidRPr="00815E99" w:rsidRDefault="00E66562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691B2A27" w:rsidR="00EB02B3" w:rsidRPr="00815E99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5E99">
        <w:rPr>
          <w:rFonts w:ascii="Arial" w:hAnsi="Arial" w:cs="Arial"/>
          <w:sz w:val="22"/>
          <w:szCs w:val="22"/>
          <w:lang w:val="en-US"/>
        </w:rPr>
        <w:t xml:space="preserve">The number of branches </w:t>
      </w:r>
      <w:r w:rsidR="00DB6ABD" w:rsidRPr="00815E99">
        <w:rPr>
          <w:rFonts w:ascii="Arial" w:hAnsi="Arial" w:cs="Arial"/>
          <w:sz w:val="22"/>
          <w:szCs w:val="22"/>
          <w:lang w:val="en-US"/>
        </w:rPr>
        <w:t>decreased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 by </w:t>
      </w:r>
      <w:proofErr w:type="gramStart"/>
      <w:r w:rsidR="00477329" w:rsidRPr="00815E99">
        <w:rPr>
          <w:rFonts w:ascii="Arial" w:hAnsi="Arial" w:cs="Arial"/>
          <w:sz w:val="22"/>
          <w:szCs w:val="22"/>
          <w:lang w:val="en-US"/>
        </w:rPr>
        <w:t>9</w:t>
      </w:r>
      <w:proofErr w:type="gramEnd"/>
      <w:r w:rsidRPr="00815E99">
        <w:rPr>
          <w:rFonts w:ascii="Arial" w:hAnsi="Arial" w:cs="Arial"/>
          <w:sz w:val="22"/>
          <w:szCs w:val="22"/>
          <w:lang w:val="en-US"/>
        </w:rPr>
        <w:t>, as c</w:t>
      </w:r>
      <w:r w:rsidR="002574F4" w:rsidRPr="00815E99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815E99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 w:rsidRPr="00815E99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by </w:t>
      </w:r>
      <w:r w:rsidR="00DB6ABD" w:rsidRPr="00815E99">
        <w:rPr>
          <w:rFonts w:ascii="Arial" w:hAnsi="Arial" w:cs="Arial"/>
          <w:sz w:val="22"/>
          <w:szCs w:val="22"/>
          <w:lang w:val="en-US"/>
        </w:rPr>
        <w:t>1</w:t>
      </w:r>
      <w:r w:rsidR="00477329" w:rsidRPr="00815E99">
        <w:rPr>
          <w:rFonts w:ascii="Arial" w:hAnsi="Arial" w:cs="Arial"/>
          <w:sz w:val="22"/>
          <w:szCs w:val="22"/>
          <w:lang w:val="en-US"/>
        </w:rPr>
        <w:t>81</w:t>
      </w:r>
      <w:r w:rsidR="00DF0DAF" w:rsidRPr="00815E99">
        <w:rPr>
          <w:rFonts w:ascii="Arial" w:hAnsi="Arial" w:cs="Arial"/>
          <w:sz w:val="22"/>
          <w:szCs w:val="22"/>
          <w:lang w:val="en-US"/>
        </w:rPr>
        <w:t>,</w:t>
      </w:r>
      <w:r w:rsidRPr="00815E99">
        <w:rPr>
          <w:rFonts w:ascii="Arial" w:hAnsi="Arial" w:cs="Arial"/>
          <w:sz w:val="22"/>
          <w:szCs w:val="22"/>
          <w:lang w:val="en-US"/>
        </w:rPr>
        <w:t xml:space="preserve"> as compared to </w:t>
      </w:r>
      <w:r w:rsidR="00477329" w:rsidRPr="00815E99">
        <w:rPr>
          <w:rFonts w:ascii="Arial" w:hAnsi="Arial" w:cs="Arial"/>
          <w:sz w:val="22"/>
          <w:szCs w:val="22"/>
          <w:lang w:val="en-US"/>
        </w:rPr>
        <w:t>March 202</w:t>
      </w:r>
      <w:r w:rsidR="00815E99" w:rsidRPr="00815E99">
        <w:rPr>
          <w:rFonts w:ascii="Arial" w:hAnsi="Arial" w:cs="Arial"/>
          <w:sz w:val="22"/>
          <w:szCs w:val="22"/>
          <w:lang w:val="en-US"/>
        </w:rPr>
        <w:t>5</w:t>
      </w:r>
      <w:r w:rsidRPr="00815E99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317084" w:rsidRDefault="00047F97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5F3A7C" w14:textId="16FA16D5" w:rsidR="00244D70" w:rsidRPr="00317084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17084">
        <w:rPr>
          <w:rFonts w:ascii="Arial" w:hAnsi="Arial" w:cs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317084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4E69ECDD" w:rsidR="00926B08" w:rsidRPr="00317084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17084">
        <w:rPr>
          <w:rFonts w:ascii="Arial" w:hAnsi="Arial" w:cs="Arial"/>
          <w:sz w:val="22"/>
          <w:szCs w:val="22"/>
          <w:lang w:val="en-US"/>
        </w:rPr>
        <w:t xml:space="preserve">As of </w:t>
      </w:r>
      <w:r w:rsidR="001410D7" w:rsidRPr="00317084">
        <w:rPr>
          <w:rFonts w:ascii="Arial" w:hAnsi="Arial" w:cs="Arial"/>
          <w:sz w:val="22"/>
          <w:szCs w:val="22"/>
          <w:lang w:val="en-US"/>
        </w:rPr>
        <w:t>March 2026</w:t>
      </w:r>
      <w:r w:rsidR="004170F1" w:rsidRPr="00317084">
        <w:rPr>
          <w:rFonts w:ascii="Arial" w:hAnsi="Arial" w:cs="Arial"/>
          <w:sz w:val="22"/>
          <w:szCs w:val="22"/>
          <w:lang w:val="en-US"/>
        </w:rPr>
        <w:t>,</w:t>
      </w:r>
      <w:r w:rsidR="006F7448" w:rsidRPr="00317084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317084">
        <w:rPr>
          <w:rFonts w:ascii="Arial" w:hAnsi="Arial" w:cs="Arial"/>
          <w:sz w:val="22"/>
          <w:szCs w:val="22"/>
          <w:lang w:val="en-US"/>
        </w:rPr>
        <w:t xml:space="preserve">100,000 people </w:t>
      </w:r>
      <w:r w:rsidR="00707225" w:rsidRPr="00317084">
        <w:rPr>
          <w:rFonts w:ascii="Arial" w:hAnsi="Arial" w:cs="Arial"/>
          <w:sz w:val="22"/>
          <w:szCs w:val="22"/>
          <w:lang w:val="en-US"/>
        </w:rPr>
        <w:t>were</w:t>
      </w:r>
      <w:r w:rsidR="0024332E" w:rsidRPr="00317084">
        <w:rPr>
          <w:rFonts w:ascii="Arial" w:hAnsi="Arial" w:cs="Arial"/>
          <w:sz w:val="22"/>
          <w:szCs w:val="22"/>
          <w:lang w:val="en-US"/>
        </w:rPr>
        <w:t xml:space="preserve"> 2</w:t>
      </w:r>
      <w:r w:rsidR="00DF0DAF" w:rsidRPr="00317084">
        <w:rPr>
          <w:rFonts w:ascii="Arial" w:hAnsi="Arial" w:cs="Arial"/>
          <w:sz w:val="22"/>
          <w:szCs w:val="22"/>
          <w:lang w:val="en-US"/>
        </w:rPr>
        <w:t>2</w:t>
      </w:r>
      <w:r w:rsidR="00BB58D0" w:rsidRPr="00317084">
        <w:rPr>
          <w:rFonts w:ascii="Arial" w:hAnsi="Arial" w:cs="Arial"/>
          <w:sz w:val="22"/>
          <w:szCs w:val="22"/>
          <w:lang w:val="en-US"/>
        </w:rPr>
        <w:t>0</w:t>
      </w:r>
      <w:r w:rsidR="00DF0DAF" w:rsidRPr="00317084">
        <w:rPr>
          <w:rFonts w:ascii="Arial" w:hAnsi="Arial" w:cs="Arial"/>
          <w:sz w:val="22"/>
          <w:szCs w:val="22"/>
          <w:lang w:val="en-US"/>
        </w:rPr>
        <w:t xml:space="preserve"> </w:t>
      </w:r>
      <w:r w:rsidRPr="00317084">
        <w:rPr>
          <w:rFonts w:ascii="Arial" w:hAnsi="Arial" w:cs="Arial"/>
          <w:sz w:val="22"/>
          <w:szCs w:val="22"/>
          <w:lang w:val="en-US"/>
        </w:rPr>
        <w:t xml:space="preserve">and branches per 100,000 people </w:t>
      </w:r>
      <w:r w:rsidR="000C199D" w:rsidRPr="00317084">
        <w:rPr>
          <w:rFonts w:ascii="Arial" w:hAnsi="Arial" w:cs="Arial"/>
          <w:sz w:val="22"/>
          <w:szCs w:val="22"/>
          <w:lang w:val="en-US"/>
        </w:rPr>
        <w:t>were</w:t>
      </w:r>
      <w:r w:rsidRPr="00317084">
        <w:rPr>
          <w:rFonts w:ascii="Arial" w:hAnsi="Arial" w:cs="Arial"/>
          <w:sz w:val="22"/>
          <w:szCs w:val="22"/>
          <w:lang w:val="en-US"/>
        </w:rPr>
        <w:t xml:space="preserve"> </w:t>
      </w:r>
      <w:r w:rsidR="00DF0DAF" w:rsidRPr="00317084">
        <w:rPr>
          <w:rFonts w:ascii="Arial" w:hAnsi="Arial" w:cs="Arial"/>
          <w:sz w:val="22"/>
          <w:szCs w:val="22"/>
          <w:lang w:val="en-US"/>
        </w:rPr>
        <w:t>10.</w:t>
      </w:r>
      <w:r w:rsidR="00BB58D0" w:rsidRPr="00317084">
        <w:rPr>
          <w:rFonts w:ascii="Arial" w:hAnsi="Arial" w:cs="Arial"/>
          <w:sz w:val="22"/>
          <w:szCs w:val="22"/>
          <w:lang w:val="en-US"/>
        </w:rPr>
        <w:t>6</w:t>
      </w:r>
      <w:r w:rsidR="00F74E30" w:rsidRPr="00317084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BB58D0" w:rsidRDefault="007B5FCE" w:rsidP="00244D70">
      <w:pPr>
        <w:jc w:val="both"/>
        <w:rPr>
          <w:rFonts w:ascii="Arial" w:hAnsi="Arial" w:cs="Arial"/>
          <w:b/>
          <w:color w:val="00B050"/>
          <w:sz w:val="22"/>
          <w:szCs w:val="22"/>
          <w:lang w:val="en-US"/>
        </w:rPr>
      </w:pPr>
    </w:p>
    <w:p w14:paraId="364049B7" w14:textId="77777777" w:rsidR="005126D8" w:rsidRPr="00317084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317084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317084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03C23D66" w:rsidR="00236CCD" w:rsidRPr="00BB58D0" w:rsidRDefault="00BB58D0" w:rsidP="005126D8">
      <w:pPr>
        <w:jc w:val="center"/>
        <w:rPr>
          <w:rFonts w:ascii="Arial" w:hAnsi="Arial" w:cs="Arial"/>
          <w:color w:val="00B050"/>
          <w:sz w:val="22"/>
          <w:szCs w:val="22"/>
          <w:lang w:val="en-US"/>
        </w:rPr>
      </w:pPr>
      <w:r w:rsidRPr="00BB58D0">
        <w:rPr>
          <w:rFonts w:ascii="Arial" w:hAnsi="Arial" w:cs="Arial"/>
          <w:noProof/>
          <w:color w:val="00B050"/>
          <w:sz w:val="22"/>
          <w:szCs w:val="22"/>
          <w:lang w:eastAsia="tr-TR"/>
        </w:rPr>
        <w:drawing>
          <wp:inline distT="0" distB="0" distL="0" distR="0" wp14:anchorId="0CBE232F" wp14:editId="39DD8EF6">
            <wp:extent cx="3956685" cy="2164080"/>
            <wp:effectExtent l="0" t="0" r="5715" b="7620"/>
            <wp:docPr id="1414224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E5D7" w14:textId="725BB81F" w:rsidR="00926BDD" w:rsidRPr="00317084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317084">
        <w:rPr>
          <w:rFonts w:ascii="Arial" w:hAnsi="Arial" w:cs="Arial"/>
          <w:sz w:val="18"/>
          <w:szCs w:val="22"/>
          <w:lang w:val="en-US"/>
        </w:rPr>
        <w:t>*</w:t>
      </w:r>
      <w:r w:rsidR="00926BDD" w:rsidRPr="00317084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317084">
        <w:rPr>
          <w:rFonts w:ascii="Arial" w:hAnsi="Arial" w:cs="Arial"/>
          <w:sz w:val="18"/>
          <w:szCs w:val="22"/>
          <w:lang w:val="en-US"/>
        </w:rPr>
        <w:t>202</w:t>
      </w:r>
      <w:r w:rsidR="00BB58D0" w:rsidRPr="00317084">
        <w:rPr>
          <w:rFonts w:ascii="Arial" w:hAnsi="Arial" w:cs="Arial"/>
          <w:sz w:val="18"/>
          <w:szCs w:val="22"/>
          <w:lang w:val="en-US"/>
        </w:rPr>
        <w:t>5</w:t>
      </w:r>
      <w:r w:rsidR="00926BDD" w:rsidRPr="00317084">
        <w:rPr>
          <w:rFonts w:ascii="Arial" w:hAnsi="Arial" w:cs="Arial"/>
          <w:sz w:val="18"/>
          <w:szCs w:val="22"/>
          <w:lang w:val="en-US"/>
        </w:rPr>
        <w:t xml:space="preserve"> population data </w:t>
      </w:r>
      <w:proofErr w:type="gramStart"/>
      <w:r w:rsidR="00926BDD" w:rsidRPr="00317084">
        <w:rPr>
          <w:rFonts w:ascii="Arial" w:hAnsi="Arial" w:cs="Arial"/>
          <w:sz w:val="18"/>
          <w:szCs w:val="22"/>
          <w:lang w:val="en-US"/>
        </w:rPr>
        <w:t>were used</w:t>
      </w:r>
      <w:proofErr w:type="gramEnd"/>
      <w:r w:rsidR="00926BDD" w:rsidRPr="00317084">
        <w:rPr>
          <w:rFonts w:ascii="Arial" w:hAnsi="Arial" w:cs="Arial"/>
          <w:sz w:val="18"/>
          <w:szCs w:val="22"/>
          <w:lang w:val="en-US"/>
        </w:rPr>
        <w:t xml:space="preserve"> in calculations.</w:t>
      </w:r>
    </w:p>
    <w:p w14:paraId="00A153E2" w14:textId="77777777" w:rsidR="00926B08" w:rsidRPr="002C64B5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2C64B5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582C" w14:textId="77777777" w:rsidR="00E03780" w:rsidRDefault="00E03780">
      <w:r>
        <w:separator/>
      </w:r>
    </w:p>
  </w:endnote>
  <w:endnote w:type="continuationSeparator" w:id="0">
    <w:p w14:paraId="31B4C90E" w14:textId="77777777" w:rsidR="00E03780" w:rsidRDefault="00E0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A43B" w14:textId="3EAA8445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317084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2508D9B9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1410D7">
      <w:rPr>
        <w:rFonts w:ascii="Arial" w:hAnsi="Arial"/>
        <w:sz w:val="18"/>
        <w:lang w:val="en-US"/>
      </w:rPr>
      <w:t>March 2026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C50F" w14:textId="77777777" w:rsidR="00E03780" w:rsidRDefault="00E03780">
      <w:r>
        <w:separator/>
      </w:r>
    </w:p>
  </w:footnote>
  <w:footnote w:type="continuationSeparator" w:id="0">
    <w:p w14:paraId="0EC5D62E" w14:textId="77777777" w:rsidR="00E03780" w:rsidRDefault="00E03780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 xml:space="preserve">deposit banks and development and investment banks </w:t>
      </w:r>
      <w:proofErr w:type="gramStart"/>
      <w:r w:rsidRPr="000B6A69">
        <w:rPr>
          <w:rFonts w:ascii="Arial" w:hAnsi="Arial"/>
          <w:sz w:val="16"/>
          <w:szCs w:val="16"/>
          <w:lang w:val="en-US"/>
        </w:rPr>
        <w:t>are included</w:t>
      </w:r>
      <w:proofErr w:type="gramEnd"/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0A02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205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199D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5D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0D7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C64B5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1DBF"/>
    <w:rsid w:val="003023F5"/>
    <w:rsid w:val="003024B6"/>
    <w:rsid w:val="0030412D"/>
    <w:rsid w:val="00306FAF"/>
    <w:rsid w:val="00311537"/>
    <w:rsid w:val="00313A1D"/>
    <w:rsid w:val="003146C7"/>
    <w:rsid w:val="00317084"/>
    <w:rsid w:val="00320559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77329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3CCC"/>
    <w:rsid w:val="00506EF3"/>
    <w:rsid w:val="00507192"/>
    <w:rsid w:val="00510646"/>
    <w:rsid w:val="00510ADD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3AEE"/>
    <w:rsid w:val="00634029"/>
    <w:rsid w:val="00634250"/>
    <w:rsid w:val="00636E17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42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27A21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BA6"/>
    <w:rsid w:val="00757D9D"/>
    <w:rsid w:val="00764767"/>
    <w:rsid w:val="00765C0A"/>
    <w:rsid w:val="00765C6C"/>
    <w:rsid w:val="007672E5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5E99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52AF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8C9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71A"/>
    <w:rsid w:val="009F4F3C"/>
    <w:rsid w:val="009F54BA"/>
    <w:rsid w:val="009F559B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A387C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5DEF"/>
    <w:rsid w:val="00B403D0"/>
    <w:rsid w:val="00B412B4"/>
    <w:rsid w:val="00B424D2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A01"/>
    <w:rsid w:val="00B84D02"/>
    <w:rsid w:val="00B8565E"/>
    <w:rsid w:val="00B85AFC"/>
    <w:rsid w:val="00B87BFD"/>
    <w:rsid w:val="00B93CFE"/>
    <w:rsid w:val="00B9402E"/>
    <w:rsid w:val="00B958A9"/>
    <w:rsid w:val="00BA39CD"/>
    <w:rsid w:val="00BA593E"/>
    <w:rsid w:val="00BA5B29"/>
    <w:rsid w:val="00BA5D33"/>
    <w:rsid w:val="00BA66A5"/>
    <w:rsid w:val="00BB2856"/>
    <w:rsid w:val="00BB2DC6"/>
    <w:rsid w:val="00BB3F02"/>
    <w:rsid w:val="00BB52C9"/>
    <w:rsid w:val="00BB55E9"/>
    <w:rsid w:val="00BB58D0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6281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40F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6CD9"/>
    <w:rsid w:val="00CC7128"/>
    <w:rsid w:val="00CC72A9"/>
    <w:rsid w:val="00CD032E"/>
    <w:rsid w:val="00CD1401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2D0D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4FF2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6ABD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0DAF"/>
    <w:rsid w:val="00DF1080"/>
    <w:rsid w:val="00DF159A"/>
    <w:rsid w:val="00DF3B1C"/>
    <w:rsid w:val="00DF6F98"/>
    <w:rsid w:val="00DF7E7E"/>
    <w:rsid w:val="00E00540"/>
    <w:rsid w:val="00E00709"/>
    <w:rsid w:val="00E02F62"/>
    <w:rsid w:val="00E03780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3B72"/>
    <w:rsid w:val="00E650BC"/>
    <w:rsid w:val="00E654F4"/>
    <w:rsid w:val="00E659FE"/>
    <w:rsid w:val="00E65C3B"/>
    <w:rsid w:val="00E66562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4A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41-4C69-88C0-5A07FBE1D94F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41-4C69-88C0-5A07FBE1D94F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41-4C69-88C0-5A07FBE1D94F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41-4C69-88C0-5A07FBE1D94F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41-4C69-88C0-5A07FBE1D94F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41-4C69-88C0-5A07FBE1D9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41-4C69-88C0-5A07FBE1D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67231780237996563"/>
          <c:w val="0.69960911594974939"/>
          <c:h val="0.30038560969352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FC76-4F85-4860-A446-43BF39E0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137</cp:revision>
  <cp:lastPrinted>2019-10-25T07:35:00Z</cp:lastPrinted>
  <dcterms:created xsi:type="dcterms:W3CDTF">2022-01-26T11:03:00Z</dcterms:created>
  <dcterms:modified xsi:type="dcterms:W3CDTF">2026-05-07T13:34:00Z</dcterms:modified>
</cp:coreProperties>
</file>