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49111" w14:textId="77777777" w:rsidR="00672660" w:rsidRPr="00F935B0" w:rsidRDefault="004D1B5F" w:rsidP="00156318">
      <w:pPr>
        <w:jc w:val="center"/>
        <w:rPr>
          <w:rFonts w:ascii="Arial" w:hAnsi="Arial" w:cs="Arial"/>
          <w:b/>
          <w:sz w:val="22"/>
          <w:szCs w:val="22"/>
        </w:rPr>
      </w:pPr>
      <w:bookmarkStart w:id="0" w:name="_GoBack"/>
      <w:bookmarkEnd w:id="0"/>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4B31086B" w:rsidR="001D1996" w:rsidRPr="00F935B0" w:rsidRDefault="00001AD4" w:rsidP="000F0427">
      <w:pPr>
        <w:pStyle w:val="Title"/>
        <w:rPr>
          <w:rFonts w:ascii="Arial" w:hAnsi="Arial" w:cs="Arial"/>
          <w:bCs/>
          <w:sz w:val="22"/>
          <w:szCs w:val="22"/>
        </w:rPr>
      </w:pPr>
      <w:r>
        <w:rPr>
          <w:rFonts w:ascii="Arial" w:hAnsi="Arial" w:cs="Arial"/>
          <w:bCs/>
          <w:sz w:val="22"/>
          <w:szCs w:val="22"/>
        </w:rPr>
        <w:t>Kasım 2024</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2A295003"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001AD4">
        <w:rPr>
          <w:rFonts w:ascii="Arial" w:hAnsi="Arial" w:cs="Arial"/>
          <w:sz w:val="22"/>
          <w:szCs w:val="22"/>
        </w:rPr>
        <w:t>Kasım 2024</w:t>
      </w:r>
      <w:r w:rsidR="004970FB">
        <w:rPr>
          <w:rFonts w:ascii="Arial" w:hAnsi="Arial" w:cs="Arial"/>
          <w:sz w:val="22"/>
          <w:szCs w:val="22"/>
        </w:rPr>
        <w:t xml:space="preserve"> döneminde</w:t>
      </w:r>
      <w:r w:rsidR="00875DFC" w:rsidRPr="00875DFC">
        <w:rPr>
          <w:rFonts w:ascii="Arial" w:hAnsi="Arial" w:cs="Arial"/>
          <w:sz w:val="22"/>
          <w:szCs w:val="22"/>
        </w:rPr>
        <w:t xml:space="preserve"> </w:t>
      </w:r>
      <w:r w:rsidR="002F33EC">
        <w:rPr>
          <w:rFonts w:ascii="Arial" w:hAnsi="Arial" w:cs="Arial"/>
          <w:sz w:val="22"/>
          <w:szCs w:val="22"/>
        </w:rPr>
        <w:t>23</w:t>
      </w:r>
      <w:r w:rsidR="002F33EC"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2F33EC">
        <w:rPr>
          <w:rFonts w:ascii="Arial" w:hAnsi="Arial" w:cs="Arial"/>
          <w:sz w:val="22"/>
          <w:szCs w:val="22"/>
        </w:rPr>
        <w:t xml:space="preserve">9 </w:t>
      </w:r>
      <w:r w:rsidR="00164CC7">
        <w:rPr>
          <w:rFonts w:ascii="Arial" w:hAnsi="Arial" w:cs="Arial"/>
          <w:sz w:val="22"/>
          <w:szCs w:val="22"/>
        </w:rPr>
        <w:t>adet firmanın anlaşması bağıtlanmış</w:t>
      </w:r>
      <w:r w:rsidR="00875DFC" w:rsidRPr="00D42750">
        <w:rPr>
          <w:rFonts w:ascii="Arial" w:hAnsi="Arial" w:cs="Arial"/>
          <w:sz w:val="22"/>
          <w:szCs w:val="22"/>
        </w:rPr>
        <w:t>tır.</w:t>
      </w:r>
    </w:p>
    <w:p w14:paraId="6001546C" w14:textId="77777777" w:rsidR="008E4B67" w:rsidRDefault="008E4B67" w:rsidP="00A66F06">
      <w:pPr>
        <w:jc w:val="both"/>
        <w:rPr>
          <w:rFonts w:ascii="Arial" w:hAnsi="Arial" w:cs="Arial"/>
          <w:sz w:val="22"/>
          <w:szCs w:val="22"/>
        </w:rPr>
      </w:pPr>
    </w:p>
    <w:p w14:paraId="511708FD" w14:textId="69843485"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2F33EC">
        <w:rPr>
          <w:rFonts w:ascii="Arial" w:hAnsi="Arial" w:cs="Arial"/>
          <w:b/>
          <w:sz w:val="22"/>
          <w:szCs w:val="22"/>
        </w:rPr>
        <w:t xml:space="preserve">408 </w:t>
      </w:r>
      <w:r w:rsidR="004E33EB">
        <w:rPr>
          <w:rFonts w:ascii="Arial" w:hAnsi="Arial" w:cs="Arial"/>
          <w:b/>
          <w:sz w:val="22"/>
          <w:szCs w:val="22"/>
        </w:rPr>
        <w:t xml:space="preserve">firmanın </w:t>
      </w:r>
      <w:r w:rsidR="002F33EC">
        <w:rPr>
          <w:rFonts w:ascii="Arial" w:hAnsi="Arial" w:cs="Arial"/>
          <w:b/>
          <w:sz w:val="22"/>
          <w:szCs w:val="22"/>
        </w:rPr>
        <w:t xml:space="preserve">157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79040B07"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FYYÇA Büyük Ölçekli ve Küçük 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8597" w:type="dxa"/>
        <w:tblLayout w:type="fixed"/>
        <w:tblLook w:val="04A0" w:firstRow="1" w:lastRow="0" w:firstColumn="1" w:lastColumn="0" w:noHBand="0" w:noVBand="1"/>
      </w:tblPr>
      <w:tblGrid>
        <w:gridCol w:w="928"/>
        <w:gridCol w:w="1902"/>
        <w:gridCol w:w="767"/>
        <w:gridCol w:w="867"/>
        <w:gridCol w:w="828"/>
        <w:gridCol w:w="939"/>
        <w:gridCol w:w="1028"/>
        <w:gridCol w:w="1338"/>
      </w:tblGrid>
      <w:tr w:rsidR="00D42750" w:rsidRPr="007473AA" w14:paraId="5229DC21" w14:textId="079E2B86" w:rsidTr="00576F6C">
        <w:trPr>
          <w:trHeight w:val="324"/>
        </w:trPr>
        <w:tc>
          <w:tcPr>
            <w:tcW w:w="928" w:type="dxa"/>
            <w:noWrap/>
            <w:hideMark/>
          </w:tcPr>
          <w:p w14:paraId="4C173679" w14:textId="77777777" w:rsidR="00D42750" w:rsidRPr="007473AA" w:rsidRDefault="00D42750" w:rsidP="00E51B9C">
            <w:pPr>
              <w:jc w:val="center"/>
              <w:rPr>
                <w:rFonts w:ascii="Arial" w:hAnsi="Arial" w:cs="Arial"/>
                <w:b/>
                <w:bCs/>
                <w:sz w:val="18"/>
                <w:szCs w:val="18"/>
                <w:lang w:eastAsia="tr-TR"/>
              </w:rPr>
            </w:pPr>
          </w:p>
        </w:tc>
        <w:tc>
          <w:tcPr>
            <w:tcW w:w="1902" w:type="dxa"/>
            <w:noWrap/>
            <w:hideMark/>
          </w:tcPr>
          <w:p w14:paraId="3191953A" w14:textId="77777777" w:rsidR="00D42750" w:rsidRPr="007473AA" w:rsidRDefault="00D42750" w:rsidP="00E51B9C">
            <w:pPr>
              <w:jc w:val="center"/>
              <w:rPr>
                <w:rFonts w:ascii="Arial" w:hAnsi="Arial" w:cs="Arial"/>
                <w:b/>
                <w:bCs/>
                <w:sz w:val="18"/>
                <w:szCs w:val="18"/>
                <w:lang w:eastAsia="tr-TR"/>
              </w:rPr>
            </w:pPr>
          </w:p>
        </w:tc>
        <w:tc>
          <w:tcPr>
            <w:tcW w:w="767" w:type="dxa"/>
            <w:noWrap/>
            <w:vAlign w:val="center"/>
            <w:hideMark/>
          </w:tcPr>
          <w:p w14:paraId="3916A0AC" w14:textId="77777777" w:rsidR="00D42750" w:rsidRPr="007473AA" w:rsidRDefault="00D42750" w:rsidP="006C2899">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67" w:type="dxa"/>
            <w:noWrap/>
            <w:vAlign w:val="center"/>
            <w:hideMark/>
          </w:tcPr>
          <w:p w14:paraId="341EAEB7" w14:textId="77777777" w:rsidR="00D42750" w:rsidRPr="007473AA" w:rsidRDefault="00D42750" w:rsidP="006C2899">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28" w:type="dxa"/>
            <w:noWrap/>
            <w:vAlign w:val="center"/>
            <w:hideMark/>
          </w:tcPr>
          <w:p w14:paraId="18218038" w14:textId="77777777" w:rsidR="00D42750" w:rsidRPr="007473AA" w:rsidRDefault="00D42750" w:rsidP="006C2899">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39" w:type="dxa"/>
            <w:noWrap/>
            <w:vAlign w:val="center"/>
            <w:hideMark/>
          </w:tcPr>
          <w:p w14:paraId="5840A0BC" w14:textId="77777777" w:rsidR="00D42750" w:rsidRPr="007473AA" w:rsidRDefault="00D42750" w:rsidP="006C2899">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1028" w:type="dxa"/>
            <w:noWrap/>
            <w:vAlign w:val="center"/>
            <w:hideMark/>
          </w:tcPr>
          <w:p w14:paraId="42633592" w14:textId="77777777" w:rsidR="00D42750" w:rsidRPr="007473AA" w:rsidRDefault="00D42750" w:rsidP="006C2899">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1338" w:type="dxa"/>
            <w:vAlign w:val="center"/>
          </w:tcPr>
          <w:p w14:paraId="05200CDA" w14:textId="77777777" w:rsidR="00D42750" w:rsidRPr="00572BC7" w:rsidRDefault="00D42750" w:rsidP="006C2899">
            <w:pPr>
              <w:jc w:val="center"/>
              <w:rPr>
                <w:rFonts w:ascii="Arial" w:hAnsi="Arial" w:cs="Arial"/>
                <w:b/>
                <w:bCs/>
                <w:sz w:val="18"/>
                <w:szCs w:val="18"/>
                <w:lang w:eastAsia="tr-TR"/>
              </w:rPr>
            </w:pPr>
            <w:r w:rsidRPr="00572BC7">
              <w:rPr>
                <w:rFonts w:ascii="Arial" w:hAnsi="Arial" w:cs="Arial"/>
                <w:b/>
                <w:bCs/>
                <w:sz w:val="18"/>
                <w:szCs w:val="18"/>
                <w:lang w:eastAsia="tr-TR"/>
              </w:rPr>
              <w:t>2024</w:t>
            </w:r>
          </w:p>
          <w:p w14:paraId="59F86967" w14:textId="36E8A2E1" w:rsidR="00D42750" w:rsidRPr="00572BC7" w:rsidRDefault="00001AD4" w:rsidP="006C2899">
            <w:pPr>
              <w:jc w:val="center"/>
              <w:rPr>
                <w:rFonts w:ascii="Arial" w:hAnsi="Arial" w:cs="Arial"/>
                <w:bCs/>
                <w:sz w:val="18"/>
                <w:szCs w:val="18"/>
                <w:lang w:eastAsia="tr-TR"/>
              </w:rPr>
            </w:pPr>
            <w:r>
              <w:rPr>
                <w:rFonts w:ascii="Arial" w:hAnsi="Arial" w:cs="Arial"/>
                <w:b/>
                <w:bCs/>
                <w:sz w:val="18"/>
                <w:szCs w:val="18"/>
                <w:lang w:eastAsia="tr-TR"/>
              </w:rPr>
              <w:t>Kasım</w:t>
            </w:r>
          </w:p>
        </w:tc>
      </w:tr>
      <w:tr w:rsidR="00D42750" w:rsidRPr="007473AA" w14:paraId="777376C4" w14:textId="29F07753" w:rsidTr="00306EA1">
        <w:trPr>
          <w:trHeight w:val="324"/>
        </w:trPr>
        <w:tc>
          <w:tcPr>
            <w:tcW w:w="928" w:type="dxa"/>
            <w:vMerge w:val="restart"/>
            <w:noWrap/>
            <w:vAlign w:val="center"/>
            <w:hideMark/>
          </w:tcPr>
          <w:p w14:paraId="0591E68E" w14:textId="21B13A72" w:rsidR="00D42750" w:rsidRPr="007473AA" w:rsidRDefault="00D42750" w:rsidP="00D42750">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902" w:type="dxa"/>
            <w:noWrap/>
            <w:hideMark/>
          </w:tcPr>
          <w:p w14:paraId="49467D86" w14:textId="77777777" w:rsidR="00D42750" w:rsidRPr="007473AA" w:rsidRDefault="00D42750" w:rsidP="00E51B9C">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67" w:type="dxa"/>
            <w:noWrap/>
            <w:vAlign w:val="center"/>
            <w:hideMark/>
          </w:tcPr>
          <w:p w14:paraId="304A5067"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67" w:type="dxa"/>
            <w:noWrap/>
            <w:vAlign w:val="center"/>
            <w:hideMark/>
          </w:tcPr>
          <w:p w14:paraId="2DFB4747"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28" w:type="dxa"/>
            <w:noWrap/>
            <w:vAlign w:val="center"/>
            <w:hideMark/>
          </w:tcPr>
          <w:p w14:paraId="1BEA29B0"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39" w:type="dxa"/>
            <w:noWrap/>
            <w:vAlign w:val="center"/>
            <w:hideMark/>
          </w:tcPr>
          <w:p w14:paraId="014E15F0"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1028" w:type="dxa"/>
            <w:noWrap/>
            <w:vAlign w:val="center"/>
            <w:hideMark/>
          </w:tcPr>
          <w:p w14:paraId="2BAC593A"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1338" w:type="dxa"/>
            <w:vAlign w:val="center"/>
          </w:tcPr>
          <w:p w14:paraId="091E7C01" w14:textId="15ABD9ED" w:rsidR="00D42750" w:rsidRPr="00572BC7" w:rsidRDefault="00001AD4" w:rsidP="00C17DB6">
            <w:pPr>
              <w:jc w:val="center"/>
              <w:rPr>
                <w:rFonts w:ascii="Arial" w:hAnsi="Arial" w:cs="Arial"/>
                <w:bCs/>
                <w:sz w:val="18"/>
                <w:szCs w:val="18"/>
                <w:lang w:eastAsia="tr-TR"/>
              </w:rPr>
            </w:pPr>
            <w:r>
              <w:rPr>
                <w:rFonts w:ascii="Arial" w:hAnsi="Arial" w:cs="Arial"/>
                <w:bCs/>
                <w:sz w:val="18"/>
                <w:szCs w:val="18"/>
                <w:lang w:eastAsia="tr-TR"/>
              </w:rPr>
              <w:t>525</w:t>
            </w:r>
          </w:p>
        </w:tc>
      </w:tr>
      <w:tr w:rsidR="00D42750" w:rsidRPr="007473AA" w14:paraId="68B7E873" w14:textId="7187E576" w:rsidTr="00306EA1">
        <w:trPr>
          <w:trHeight w:val="324"/>
        </w:trPr>
        <w:tc>
          <w:tcPr>
            <w:tcW w:w="928" w:type="dxa"/>
            <w:vMerge/>
            <w:noWrap/>
            <w:hideMark/>
          </w:tcPr>
          <w:p w14:paraId="23A03E7E" w14:textId="77777777" w:rsidR="00D42750" w:rsidRPr="007473AA" w:rsidRDefault="00D42750" w:rsidP="00E51B9C">
            <w:pPr>
              <w:jc w:val="center"/>
              <w:rPr>
                <w:rFonts w:ascii="Arial" w:hAnsi="Arial" w:cs="Arial"/>
                <w:b/>
                <w:bCs/>
                <w:sz w:val="18"/>
                <w:szCs w:val="18"/>
                <w:lang w:eastAsia="tr-TR"/>
              </w:rPr>
            </w:pPr>
          </w:p>
        </w:tc>
        <w:tc>
          <w:tcPr>
            <w:tcW w:w="1902" w:type="dxa"/>
            <w:noWrap/>
            <w:hideMark/>
          </w:tcPr>
          <w:p w14:paraId="558A3E9D" w14:textId="77777777" w:rsidR="00D42750" w:rsidRPr="007473AA" w:rsidRDefault="00D42750" w:rsidP="00E51B9C">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67" w:type="dxa"/>
            <w:noWrap/>
            <w:vAlign w:val="center"/>
            <w:hideMark/>
          </w:tcPr>
          <w:p w14:paraId="3390FAE2"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67" w:type="dxa"/>
            <w:noWrap/>
            <w:vAlign w:val="center"/>
            <w:hideMark/>
          </w:tcPr>
          <w:p w14:paraId="5BF56E84"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28" w:type="dxa"/>
            <w:noWrap/>
            <w:vAlign w:val="center"/>
            <w:hideMark/>
          </w:tcPr>
          <w:p w14:paraId="719DA38E"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39" w:type="dxa"/>
            <w:noWrap/>
            <w:vAlign w:val="center"/>
            <w:hideMark/>
          </w:tcPr>
          <w:p w14:paraId="4798641D"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1028" w:type="dxa"/>
            <w:noWrap/>
            <w:vAlign w:val="center"/>
            <w:hideMark/>
          </w:tcPr>
          <w:p w14:paraId="3C458B2C"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1338" w:type="dxa"/>
            <w:vAlign w:val="center"/>
          </w:tcPr>
          <w:p w14:paraId="057ADB6E" w14:textId="5A384482" w:rsidR="00D42750" w:rsidRPr="00572BC7" w:rsidRDefault="00001AD4" w:rsidP="00270901">
            <w:pPr>
              <w:jc w:val="center"/>
              <w:rPr>
                <w:rFonts w:ascii="Arial" w:hAnsi="Arial" w:cs="Arial"/>
                <w:bCs/>
                <w:sz w:val="18"/>
                <w:szCs w:val="18"/>
                <w:lang w:eastAsia="tr-TR"/>
              </w:rPr>
            </w:pPr>
            <w:r>
              <w:rPr>
                <w:rFonts w:ascii="Arial" w:hAnsi="Arial" w:cs="Arial"/>
                <w:bCs/>
                <w:sz w:val="18"/>
                <w:szCs w:val="18"/>
                <w:lang w:eastAsia="tr-TR"/>
              </w:rPr>
              <w:t>366</w:t>
            </w:r>
          </w:p>
        </w:tc>
      </w:tr>
      <w:tr w:rsidR="00D42750" w:rsidRPr="007473AA" w14:paraId="4ED61D34" w14:textId="5540AC4E" w:rsidTr="00306EA1">
        <w:trPr>
          <w:trHeight w:val="324"/>
        </w:trPr>
        <w:tc>
          <w:tcPr>
            <w:tcW w:w="928" w:type="dxa"/>
            <w:vMerge/>
            <w:noWrap/>
            <w:hideMark/>
          </w:tcPr>
          <w:p w14:paraId="725D7AB0" w14:textId="77777777" w:rsidR="00D42750" w:rsidRPr="007473AA" w:rsidRDefault="00D42750" w:rsidP="00E51B9C">
            <w:pPr>
              <w:jc w:val="center"/>
              <w:rPr>
                <w:rFonts w:ascii="Arial" w:hAnsi="Arial" w:cs="Arial"/>
                <w:b/>
                <w:bCs/>
                <w:sz w:val="18"/>
                <w:szCs w:val="18"/>
                <w:lang w:eastAsia="tr-TR"/>
              </w:rPr>
            </w:pPr>
          </w:p>
        </w:tc>
        <w:tc>
          <w:tcPr>
            <w:tcW w:w="1902" w:type="dxa"/>
            <w:noWrap/>
            <w:hideMark/>
          </w:tcPr>
          <w:p w14:paraId="073895E5" w14:textId="77777777" w:rsidR="00D42750" w:rsidRPr="007473AA" w:rsidRDefault="00D42750" w:rsidP="00E51B9C">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67" w:type="dxa"/>
            <w:noWrap/>
            <w:vAlign w:val="center"/>
            <w:hideMark/>
          </w:tcPr>
          <w:p w14:paraId="20DB31A8"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5.48</w:t>
            </w:r>
          </w:p>
        </w:tc>
        <w:tc>
          <w:tcPr>
            <w:tcW w:w="867" w:type="dxa"/>
            <w:noWrap/>
            <w:vAlign w:val="center"/>
            <w:hideMark/>
          </w:tcPr>
          <w:p w14:paraId="140CCE1B"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28" w:type="dxa"/>
            <w:noWrap/>
            <w:vAlign w:val="center"/>
            <w:hideMark/>
          </w:tcPr>
          <w:p w14:paraId="4A4B8DA4"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39" w:type="dxa"/>
            <w:noWrap/>
            <w:vAlign w:val="center"/>
            <w:hideMark/>
          </w:tcPr>
          <w:p w14:paraId="4F85B062"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1028" w:type="dxa"/>
            <w:noWrap/>
            <w:vAlign w:val="center"/>
            <w:hideMark/>
          </w:tcPr>
          <w:p w14:paraId="56CC7757"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1338" w:type="dxa"/>
            <w:vAlign w:val="center"/>
          </w:tcPr>
          <w:p w14:paraId="2D1EFFA8" w14:textId="52C0C14C" w:rsidR="00D42750" w:rsidRPr="007621B5" w:rsidRDefault="00001AD4" w:rsidP="007621B5">
            <w:pPr>
              <w:jc w:val="center"/>
              <w:rPr>
                <w:rFonts w:ascii="Arial" w:hAnsi="Arial" w:cs="Arial"/>
                <w:bCs/>
                <w:sz w:val="18"/>
                <w:szCs w:val="18"/>
                <w:lang w:eastAsia="tr-TR"/>
              </w:rPr>
            </w:pPr>
            <w:r>
              <w:rPr>
                <w:rFonts w:ascii="Arial" w:hAnsi="Arial" w:cs="Arial"/>
                <w:bCs/>
                <w:sz w:val="18"/>
                <w:szCs w:val="18"/>
                <w:lang w:eastAsia="tr-TR"/>
              </w:rPr>
              <w:t>156.648</w:t>
            </w:r>
          </w:p>
        </w:tc>
      </w:tr>
      <w:tr w:rsidR="00D42750" w:rsidRPr="007473AA" w14:paraId="0674B771" w14:textId="1942A946" w:rsidTr="00306EA1">
        <w:trPr>
          <w:trHeight w:val="324"/>
        </w:trPr>
        <w:tc>
          <w:tcPr>
            <w:tcW w:w="928" w:type="dxa"/>
            <w:vMerge w:val="restart"/>
            <w:noWrap/>
            <w:vAlign w:val="center"/>
            <w:hideMark/>
          </w:tcPr>
          <w:p w14:paraId="072B3C7F" w14:textId="6BA0CF63" w:rsidR="00D42750" w:rsidRPr="007473AA" w:rsidRDefault="00D42750" w:rsidP="00D42750">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902" w:type="dxa"/>
            <w:noWrap/>
            <w:hideMark/>
          </w:tcPr>
          <w:p w14:paraId="20BC7721" w14:textId="77777777" w:rsidR="00D42750" w:rsidRPr="007473AA" w:rsidRDefault="00D42750" w:rsidP="00E51B9C">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67" w:type="dxa"/>
            <w:noWrap/>
            <w:vAlign w:val="center"/>
            <w:hideMark/>
          </w:tcPr>
          <w:p w14:paraId="79330028"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67" w:type="dxa"/>
            <w:noWrap/>
            <w:vAlign w:val="center"/>
            <w:hideMark/>
          </w:tcPr>
          <w:p w14:paraId="3499F033"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28" w:type="dxa"/>
            <w:noWrap/>
            <w:vAlign w:val="center"/>
            <w:hideMark/>
          </w:tcPr>
          <w:p w14:paraId="10A09D23"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39" w:type="dxa"/>
            <w:noWrap/>
            <w:vAlign w:val="center"/>
            <w:hideMark/>
          </w:tcPr>
          <w:p w14:paraId="7CB8FB90"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1028" w:type="dxa"/>
            <w:noWrap/>
            <w:vAlign w:val="center"/>
            <w:hideMark/>
          </w:tcPr>
          <w:p w14:paraId="5F97B7D3"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1338" w:type="dxa"/>
            <w:vAlign w:val="center"/>
          </w:tcPr>
          <w:p w14:paraId="2D64A2B8" w14:textId="65F63082" w:rsidR="00D42750" w:rsidRPr="00572BC7" w:rsidRDefault="00154E12" w:rsidP="00154E12">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r>
      <w:tr w:rsidR="00D42750" w:rsidRPr="007473AA" w14:paraId="01A1A8B8" w14:textId="08C340D8" w:rsidTr="00306EA1">
        <w:trPr>
          <w:trHeight w:val="324"/>
        </w:trPr>
        <w:tc>
          <w:tcPr>
            <w:tcW w:w="928" w:type="dxa"/>
            <w:vMerge/>
            <w:noWrap/>
            <w:hideMark/>
          </w:tcPr>
          <w:p w14:paraId="46AE1C1A" w14:textId="77777777" w:rsidR="00D42750" w:rsidRPr="007473AA" w:rsidRDefault="00D42750" w:rsidP="00E51B9C">
            <w:pPr>
              <w:jc w:val="center"/>
              <w:rPr>
                <w:rFonts w:ascii="Arial" w:hAnsi="Arial" w:cs="Arial"/>
                <w:b/>
                <w:bCs/>
                <w:sz w:val="18"/>
                <w:szCs w:val="18"/>
                <w:lang w:eastAsia="tr-TR"/>
              </w:rPr>
            </w:pPr>
          </w:p>
        </w:tc>
        <w:tc>
          <w:tcPr>
            <w:tcW w:w="1902" w:type="dxa"/>
            <w:noWrap/>
            <w:hideMark/>
          </w:tcPr>
          <w:p w14:paraId="2078F82D" w14:textId="77777777" w:rsidR="00D42750" w:rsidRPr="007473AA" w:rsidRDefault="00D42750" w:rsidP="00E51B9C">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67" w:type="dxa"/>
            <w:noWrap/>
            <w:vAlign w:val="center"/>
            <w:hideMark/>
          </w:tcPr>
          <w:p w14:paraId="5BD58AF2"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67" w:type="dxa"/>
            <w:noWrap/>
            <w:vAlign w:val="center"/>
            <w:hideMark/>
          </w:tcPr>
          <w:p w14:paraId="2A405363"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28" w:type="dxa"/>
            <w:noWrap/>
            <w:vAlign w:val="center"/>
            <w:hideMark/>
          </w:tcPr>
          <w:p w14:paraId="00CBBEE8"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39" w:type="dxa"/>
            <w:noWrap/>
            <w:vAlign w:val="center"/>
            <w:hideMark/>
          </w:tcPr>
          <w:p w14:paraId="236777C4"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1028" w:type="dxa"/>
            <w:noWrap/>
            <w:vAlign w:val="center"/>
            <w:hideMark/>
          </w:tcPr>
          <w:p w14:paraId="536A577F" w14:textId="77777777" w:rsidR="00D42750" w:rsidRPr="007473AA" w:rsidRDefault="00D42750" w:rsidP="00D42750">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1338" w:type="dxa"/>
            <w:vAlign w:val="center"/>
          </w:tcPr>
          <w:p w14:paraId="459B4355" w14:textId="6AD22969" w:rsidR="00D42750" w:rsidRPr="00572BC7" w:rsidRDefault="00D42750" w:rsidP="00D42750">
            <w:pPr>
              <w:jc w:val="center"/>
              <w:rPr>
                <w:rFonts w:ascii="Arial" w:hAnsi="Arial" w:cs="Arial"/>
                <w:bCs/>
                <w:sz w:val="18"/>
                <w:szCs w:val="18"/>
                <w:lang w:eastAsia="tr-TR"/>
              </w:rPr>
            </w:pPr>
            <w:r w:rsidRPr="00572BC7">
              <w:rPr>
                <w:rFonts w:ascii="Arial" w:hAnsi="Arial" w:cs="Arial"/>
                <w:bCs/>
                <w:sz w:val="18"/>
                <w:szCs w:val="18"/>
                <w:lang w:eastAsia="tr-TR"/>
              </w:rPr>
              <w:t>42</w:t>
            </w:r>
          </w:p>
        </w:tc>
      </w:tr>
      <w:tr w:rsidR="00D42750" w:rsidRPr="007473AA" w14:paraId="2E132977" w14:textId="7072FBCD" w:rsidTr="00306EA1">
        <w:trPr>
          <w:trHeight w:val="324"/>
        </w:trPr>
        <w:tc>
          <w:tcPr>
            <w:tcW w:w="928" w:type="dxa"/>
            <w:vMerge/>
            <w:noWrap/>
            <w:hideMark/>
          </w:tcPr>
          <w:p w14:paraId="31D23D29" w14:textId="77777777" w:rsidR="00D42750" w:rsidRPr="007473AA" w:rsidRDefault="00D42750" w:rsidP="00E51B9C">
            <w:pPr>
              <w:jc w:val="center"/>
              <w:rPr>
                <w:rFonts w:ascii="Arial" w:hAnsi="Arial" w:cs="Arial"/>
                <w:b/>
                <w:bCs/>
                <w:sz w:val="18"/>
                <w:szCs w:val="18"/>
                <w:lang w:eastAsia="tr-TR"/>
              </w:rPr>
            </w:pPr>
          </w:p>
        </w:tc>
        <w:tc>
          <w:tcPr>
            <w:tcW w:w="1902" w:type="dxa"/>
            <w:noWrap/>
            <w:hideMark/>
          </w:tcPr>
          <w:p w14:paraId="69812F13" w14:textId="77777777" w:rsidR="00D42750" w:rsidRPr="007473AA" w:rsidRDefault="00D42750" w:rsidP="00E51B9C">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67" w:type="dxa"/>
            <w:noWrap/>
            <w:vAlign w:val="center"/>
            <w:hideMark/>
          </w:tcPr>
          <w:p w14:paraId="1BF7E7CC" w14:textId="77777777" w:rsidR="00D42750" w:rsidRPr="007473AA" w:rsidRDefault="00D42750" w:rsidP="00306EA1">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67" w:type="dxa"/>
            <w:noWrap/>
            <w:vAlign w:val="center"/>
            <w:hideMark/>
          </w:tcPr>
          <w:p w14:paraId="108450E2" w14:textId="77777777" w:rsidR="00D42750" w:rsidRPr="007473AA" w:rsidRDefault="00D42750" w:rsidP="00306EA1">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28" w:type="dxa"/>
            <w:noWrap/>
            <w:vAlign w:val="center"/>
            <w:hideMark/>
          </w:tcPr>
          <w:p w14:paraId="3F1FA46D" w14:textId="77777777" w:rsidR="00D42750" w:rsidRPr="007473AA" w:rsidRDefault="00D42750" w:rsidP="00306EA1">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39" w:type="dxa"/>
            <w:noWrap/>
            <w:vAlign w:val="center"/>
            <w:hideMark/>
          </w:tcPr>
          <w:p w14:paraId="3BF3B786" w14:textId="77777777" w:rsidR="00D42750" w:rsidRPr="007473AA" w:rsidRDefault="00D42750" w:rsidP="00306EA1">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1028" w:type="dxa"/>
            <w:noWrap/>
            <w:vAlign w:val="center"/>
            <w:hideMark/>
          </w:tcPr>
          <w:p w14:paraId="0FD465ED" w14:textId="77777777" w:rsidR="00D42750" w:rsidRPr="007473AA" w:rsidRDefault="00D42750" w:rsidP="00306EA1">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1338" w:type="dxa"/>
            <w:vAlign w:val="center"/>
          </w:tcPr>
          <w:p w14:paraId="0632E535" w14:textId="656C2BD2" w:rsidR="00D42750" w:rsidRPr="00572BC7" w:rsidRDefault="00D42750" w:rsidP="00306EA1">
            <w:pPr>
              <w:jc w:val="center"/>
              <w:rPr>
                <w:rFonts w:ascii="Arial" w:hAnsi="Arial" w:cs="Arial"/>
                <w:bCs/>
                <w:sz w:val="18"/>
                <w:szCs w:val="18"/>
                <w:lang w:eastAsia="tr-TR"/>
              </w:rPr>
            </w:pPr>
            <w:r w:rsidRPr="00572BC7">
              <w:rPr>
                <w:rFonts w:ascii="Arial" w:hAnsi="Arial" w:cs="Arial"/>
                <w:bCs/>
                <w:sz w:val="18"/>
                <w:szCs w:val="18"/>
                <w:lang w:eastAsia="tr-TR"/>
              </w:rPr>
              <w:t>488</w:t>
            </w:r>
          </w:p>
        </w:tc>
      </w:tr>
      <w:tr w:rsidR="00306EA1" w:rsidRPr="007473AA" w14:paraId="2F5A0B21" w14:textId="698FCDEF" w:rsidTr="00306EA1">
        <w:trPr>
          <w:trHeight w:val="324"/>
        </w:trPr>
        <w:tc>
          <w:tcPr>
            <w:tcW w:w="928" w:type="dxa"/>
            <w:vMerge w:val="restart"/>
            <w:noWrap/>
            <w:vAlign w:val="center"/>
            <w:hideMark/>
          </w:tcPr>
          <w:p w14:paraId="302A9592" w14:textId="77777777" w:rsidR="00306EA1" w:rsidRPr="007473AA" w:rsidRDefault="00306EA1" w:rsidP="007473AA">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902" w:type="dxa"/>
            <w:noWrap/>
            <w:hideMark/>
          </w:tcPr>
          <w:p w14:paraId="6CB8C59F" w14:textId="77777777" w:rsidR="00306EA1" w:rsidRPr="007473AA" w:rsidRDefault="00306EA1" w:rsidP="00E51B9C">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67" w:type="dxa"/>
            <w:noWrap/>
            <w:vAlign w:val="center"/>
            <w:hideMark/>
          </w:tcPr>
          <w:p w14:paraId="07825ED3"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67" w:type="dxa"/>
            <w:noWrap/>
            <w:vAlign w:val="center"/>
            <w:hideMark/>
          </w:tcPr>
          <w:p w14:paraId="2F7C7415"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28" w:type="dxa"/>
            <w:noWrap/>
            <w:vAlign w:val="center"/>
            <w:hideMark/>
          </w:tcPr>
          <w:p w14:paraId="547E22A5"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39" w:type="dxa"/>
            <w:noWrap/>
            <w:vAlign w:val="center"/>
            <w:hideMark/>
          </w:tcPr>
          <w:p w14:paraId="0603E5B1"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1028" w:type="dxa"/>
            <w:noWrap/>
            <w:vAlign w:val="center"/>
            <w:hideMark/>
          </w:tcPr>
          <w:p w14:paraId="5E8F714B"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1338" w:type="dxa"/>
            <w:vAlign w:val="center"/>
          </w:tcPr>
          <w:p w14:paraId="4CDC460E" w14:textId="56191BEB" w:rsidR="00001AD4" w:rsidRPr="00572BC7" w:rsidRDefault="00001AD4" w:rsidP="00001AD4">
            <w:pPr>
              <w:jc w:val="center"/>
              <w:rPr>
                <w:rFonts w:ascii="Arial" w:hAnsi="Arial" w:cs="Arial"/>
                <w:bCs/>
                <w:sz w:val="18"/>
                <w:szCs w:val="18"/>
                <w:lang w:eastAsia="tr-TR"/>
              </w:rPr>
            </w:pPr>
            <w:r>
              <w:rPr>
                <w:rFonts w:ascii="Arial" w:hAnsi="Arial" w:cs="Arial"/>
                <w:bCs/>
                <w:sz w:val="18"/>
                <w:szCs w:val="18"/>
                <w:lang w:eastAsia="tr-TR"/>
              </w:rPr>
              <w:t>627</w:t>
            </w:r>
          </w:p>
        </w:tc>
      </w:tr>
      <w:tr w:rsidR="00306EA1" w:rsidRPr="007473AA" w14:paraId="002588FB" w14:textId="39786712" w:rsidTr="00306EA1">
        <w:trPr>
          <w:trHeight w:val="324"/>
        </w:trPr>
        <w:tc>
          <w:tcPr>
            <w:tcW w:w="928" w:type="dxa"/>
            <w:vMerge/>
            <w:noWrap/>
            <w:hideMark/>
          </w:tcPr>
          <w:p w14:paraId="2C69BD57" w14:textId="77777777" w:rsidR="00306EA1" w:rsidRPr="007473AA" w:rsidRDefault="00306EA1" w:rsidP="00E51B9C">
            <w:pPr>
              <w:jc w:val="center"/>
              <w:rPr>
                <w:rFonts w:ascii="Arial" w:hAnsi="Arial" w:cs="Arial"/>
                <w:b/>
                <w:bCs/>
                <w:sz w:val="18"/>
                <w:szCs w:val="18"/>
                <w:lang w:eastAsia="tr-TR"/>
              </w:rPr>
            </w:pPr>
          </w:p>
        </w:tc>
        <w:tc>
          <w:tcPr>
            <w:tcW w:w="1902" w:type="dxa"/>
            <w:noWrap/>
            <w:hideMark/>
          </w:tcPr>
          <w:p w14:paraId="6F918FF7" w14:textId="77777777" w:rsidR="00306EA1" w:rsidRPr="007473AA" w:rsidRDefault="00306EA1" w:rsidP="00E51B9C">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67" w:type="dxa"/>
            <w:noWrap/>
            <w:vAlign w:val="center"/>
            <w:hideMark/>
          </w:tcPr>
          <w:p w14:paraId="3E4CDD02"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67" w:type="dxa"/>
            <w:noWrap/>
            <w:vAlign w:val="center"/>
            <w:hideMark/>
          </w:tcPr>
          <w:p w14:paraId="25C76D52"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28" w:type="dxa"/>
            <w:noWrap/>
            <w:vAlign w:val="center"/>
            <w:hideMark/>
          </w:tcPr>
          <w:p w14:paraId="6EB9A33A"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39" w:type="dxa"/>
            <w:noWrap/>
            <w:vAlign w:val="center"/>
            <w:hideMark/>
          </w:tcPr>
          <w:p w14:paraId="62B7CA00"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1028" w:type="dxa"/>
            <w:noWrap/>
            <w:vAlign w:val="center"/>
            <w:hideMark/>
          </w:tcPr>
          <w:p w14:paraId="3FCD4B6D"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1338" w:type="dxa"/>
            <w:vAlign w:val="center"/>
          </w:tcPr>
          <w:p w14:paraId="5B16EB2A" w14:textId="27A783B9" w:rsidR="00306EA1" w:rsidRPr="00572BC7" w:rsidRDefault="00001AD4" w:rsidP="00270901">
            <w:pPr>
              <w:jc w:val="center"/>
              <w:rPr>
                <w:rFonts w:ascii="Arial" w:hAnsi="Arial" w:cs="Arial"/>
                <w:bCs/>
                <w:sz w:val="18"/>
                <w:szCs w:val="18"/>
                <w:lang w:eastAsia="tr-TR"/>
              </w:rPr>
            </w:pPr>
            <w:r>
              <w:rPr>
                <w:rFonts w:ascii="Arial" w:hAnsi="Arial" w:cs="Arial"/>
                <w:bCs/>
                <w:sz w:val="18"/>
                <w:szCs w:val="18"/>
                <w:lang w:eastAsia="tr-TR"/>
              </w:rPr>
              <w:t>408</w:t>
            </w:r>
          </w:p>
        </w:tc>
      </w:tr>
      <w:tr w:rsidR="00306EA1" w:rsidRPr="007473AA" w14:paraId="1935083D" w14:textId="19488AFE" w:rsidTr="00306EA1">
        <w:trPr>
          <w:trHeight w:val="324"/>
        </w:trPr>
        <w:tc>
          <w:tcPr>
            <w:tcW w:w="928" w:type="dxa"/>
            <w:vMerge/>
            <w:noWrap/>
            <w:hideMark/>
          </w:tcPr>
          <w:p w14:paraId="3B04A6FA" w14:textId="77777777" w:rsidR="00306EA1" w:rsidRPr="007473AA" w:rsidRDefault="00306EA1" w:rsidP="00E51B9C">
            <w:pPr>
              <w:jc w:val="center"/>
              <w:rPr>
                <w:rFonts w:ascii="Arial" w:hAnsi="Arial" w:cs="Arial"/>
                <w:b/>
                <w:bCs/>
                <w:sz w:val="18"/>
                <w:szCs w:val="18"/>
                <w:lang w:eastAsia="tr-TR"/>
              </w:rPr>
            </w:pPr>
          </w:p>
        </w:tc>
        <w:tc>
          <w:tcPr>
            <w:tcW w:w="1902" w:type="dxa"/>
            <w:noWrap/>
            <w:hideMark/>
          </w:tcPr>
          <w:p w14:paraId="3C869B97" w14:textId="77777777" w:rsidR="00306EA1" w:rsidRPr="007473AA" w:rsidRDefault="00306EA1" w:rsidP="00E51B9C">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67" w:type="dxa"/>
            <w:noWrap/>
            <w:vAlign w:val="center"/>
            <w:hideMark/>
          </w:tcPr>
          <w:p w14:paraId="130BBEC2"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67" w:type="dxa"/>
            <w:noWrap/>
            <w:vAlign w:val="center"/>
            <w:hideMark/>
          </w:tcPr>
          <w:p w14:paraId="44A1D638"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28" w:type="dxa"/>
            <w:noWrap/>
            <w:vAlign w:val="center"/>
            <w:hideMark/>
          </w:tcPr>
          <w:p w14:paraId="0FA3EF99"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39" w:type="dxa"/>
            <w:noWrap/>
            <w:vAlign w:val="center"/>
            <w:hideMark/>
          </w:tcPr>
          <w:p w14:paraId="1F2B7E7A"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1028" w:type="dxa"/>
            <w:noWrap/>
            <w:vAlign w:val="center"/>
            <w:hideMark/>
          </w:tcPr>
          <w:p w14:paraId="629FC325" w14:textId="77777777" w:rsidR="00306EA1" w:rsidRPr="007473AA" w:rsidRDefault="00306EA1" w:rsidP="00306EA1">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1338" w:type="dxa"/>
            <w:vAlign w:val="center"/>
          </w:tcPr>
          <w:p w14:paraId="0F08F8DC" w14:textId="1B8C14A2" w:rsidR="00306EA1" w:rsidRPr="007621B5" w:rsidRDefault="00001AD4" w:rsidP="007621B5">
            <w:pPr>
              <w:jc w:val="center"/>
              <w:rPr>
                <w:rFonts w:ascii="Arial" w:hAnsi="Arial" w:cs="Arial"/>
                <w:bCs/>
                <w:sz w:val="18"/>
                <w:szCs w:val="18"/>
                <w:lang w:eastAsia="tr-TR"/>
              </w:rPr>
            </w:pPr>
            <w:r>
              <w:rPr>
                <w:rFonts w:ascii="Arial" w:hAnsi="Arial" w:cs="Arial"/>
                <w:bCs/>
                <w:sz w:val="18"/>
                <w:szCs w:val="18"/>
                <w:lang w:eastAsia="tr-TR"/>
              </w:rPr>
              <w:t>157.136</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5D78B3B1"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t>Ekim 2019-</w:t>
      </w:r>
      <w:r w:rsidR="00001AD4">
        <w:rPr>
          <w:rFonts w:ascii="Arial" w:hAnsi="Arial" w:cs="Arial"/>
          <w:sz w:val="22"/>
          <w:szCs w:val="22"/>
        </w:rPr>
        <w:t>Kasım 2024</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C17DB6" w:rsidRPr="007473AA">
        <w:rPr>
          <w:rFonts w:ascii="Arial" w:hAnsi="Arial" w:cs="Arial"/>
          <w:sz w:val="22"/>
          <w:szCs w:val="22"/>
        </w:rPr>
        <w:t>6</w:t>
      </w:r>
      <w:r w:rsidR="00C17DB6">
        <w:rPr>
          <w:rFonts w:ascii="Arial" w:hAnsi="Arial" w:cs="Arial"/>
          <w:sz w:val="22"/>
          <w:szCs w:val="22"/>
        </w:rPr>
        <w:t>26</w:t>
      </w:r>
      <w:r w:rsidR="00C17DB6"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2F33EC" w:rsidRPr="007473AA">
        <w:rPr>
          <w:rFonts w:ascii="Arial" w:hAnsi="Arial" w:cs="Arial"/>
          <w:sz w:val="22"/>
          <w:szCs w:val="22"/>
        </w:rPr>
        <w:t>5</w:t>
      </w:r>
      <w:r w:rsidR="002F33EC">
        <w:rPr>
          <w:rFonts w:ascii="Arial" w:hAnsi="Arial" w:cs="Arial"/>
          <w:sz w:val="22"/>
          <w:szCs w:val="22"/>
        </w:rPr>
        <w:t>25’i</w:t>
      </w:r>
      <w:r w:rsidR="002F33EC" w:rsidRPr="007473AA">
        <w:rPr>
          <w:rFonts w:ascii="Arial" w:hAnsi="Arial" w:cs="Arial"/>
          <w:sz w:val="22"/>
          <w:szCs w:val="22"/>
        </w:rPr>
        <w:t xml:space="preserve">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F7695E" w:rsidRPr="007473AA">
        <w:rPr>
          <w:rFonts w:ascii="Arial" w:hAnsi="Arial" w:cs="Arial"/>
          <w:sz w:val="22"/>
          <w:szCs w:val="22"/>
        </w:rPr>
        <w:t>10</w:t>
      </w:r>
      <w:r w:rsidR="00F7695E">
        <w:rPr>
          <w:rFonts w:ascii="Arial" w:hAnsi="Arial" w:cs="Arial"/>
          <w:sz w:val="22"/>
          <w:szCs w:val="22"/>
        </w:rPr>
        <w:t>2</w:t>
      </w:r>
      <w:r w:rsidR="00F7695E" w:rsidRPr="007473AA">
        <w:rPr>
          <w:rFonts w:ascii="Arial" w:hAnsi="Arial" w:cs="Arial"/>
          <w:sz w:val="22"/>
          <w:szCs w:val="22"/>
        </w:rPr>
        <w:t>’</w:t>
      </w:r>
      <w:r w:rsidR="00F7695E">
        <w:rPr>
          <w:rFonts w:ascii="Arial" w:hAnsi="Arial" w:cs="Arial"/>
          <w:sz w:val="22"/>
          <w:szCs w:val="22"/>
        </w:rPr>
        <w:t>s</w:t>
      </w:r>
      <w:r w:rsidR="00F7695E" w:rsidRPr="007473AA">
        <w:rPr>
          <w:rFonts w:ascii="Arial" w:hAnsi="Arial" w:cs="Arial"/>
          <w:sz w:val="22"/>
          <w:szCs w:val="22"/>
        </w:rPr>
        <w:t xml:space="preserve">i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07432FCD"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2F33EC">
        <w:rPr>
          <w:rFonts w:ascii="Arial" w:hAnsi="Arial" w:cs="Arial"/>
          <w:sz w:val="22"/>
          <w:szCs w:val="22"/>
        </w:rPr>
        <w:t>408</w:t>
      </w:r>
      <w:r w:rsidR="002F33EC"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2F33EC">
        <w:rPr>
          <w:rFonts w:ascii="Arial" w:hAnsi="Arial" w:cs="Arial"/>
          <w:sz w:val="22"/>
          <w:szCs w:val="22"/>
        </w:rPr>
        <w:t xml:space="preserve">366’sı </w:t>
      </w:r>
      <w:r w:rsidR="009978FB">
        <w:rPr>
          <w:rFonts w:ascii="Arial" w:hAnsi="Arial" w:cs="Arial"/>
          <w:sz w:val="22"/>
          <w:szCs w:val="22"/>
        </w:rPr>
        <w:t xml:space="preserve">büyük ölçekli, </w:t>
      </w:r>
      <w:r w:rsidR="007D3E43">
        <w:rPr>
          <w:rFonts w:ascii="Arial" w:hAnsi="Arial" w:cs="Arial"/>
          <w:sz w:val="22"/>
          <w:szCs w:val="22"/>
        </w:rPr>
        <w:t>42</w:t>
      </w:r>
      <w:r w:rsidR="009978FB">
        <w:rPr>
          <w:rFonts w:ascii="Arial" w:hAnsi="Arial" w:cs="Arial"/>
          <w:sz w:val="22"/>
          <w:szCs w:val="22"/>
        </w:rPr>
        <w:t>’</w:t>
      </w:r>
      <w:r w:rsidR="007D3E43">
        <w:rPr>
          <w:rFonts w:ascii="Arial" w:hAnsi="Arial" w:cs="Arial"/>
          <w:sz w:val="22"/>
          <w:szCs w:val="22"/>
        </w:rPr>
        <w:t>s</w:t>
      </w:r>
      <w:r w:rsidR="009978FB">
        <w:rPr>
          <w:rFonts w:ascii="Arial" w:hAnsi="Arial" w:cs="Arial"/>
          <w:sz w:val="22"/>
          <w:szCs w:val="22"/>
        </w:rPr>
        <w:t>i</w:t>
      </w:r>
      <w:r w:rsidR="007319DF" w:rsidRPr="00F935B0">
        <w:rPr>
          <w:rFonts w:ascii="Arial" w:hAnsi="Arial" w:cs="Arial"/>
          <w:sz w:val="22"/>
          <w:szCs w:val="22"/>
        </w:rPr>
        <w:t xml:space="preserve"> küçük ölçekli uygulamalar kapsamındadır.</w:t>
      </w:r>
    </w:p>
    <w:p w14:paraId="0A81B43D" w14:textId="52D57A56" w:rsidR="001C55C0"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001AD4">
        <w:rPr>
          <w:rFonts w:ascii="Arial" w:hAnsi="Arial" w:cs="Arial"/>
          <w:sz w:val="22"/>
          <w:szCs w:val="22"/>
        </w:rPr>
        <w:t>Kasım 2024</w:t>
      </w:r>
      <w:r w:rsidRPr="00F935B0">
        <w:rPr>
          <w:rFonts w:ascii="Arial" w:hAnsi="Arial" w:cs="Arial"/>
          <w:sz w:val="22"/>
          <w:szCs w:val="22"/>
        </w:rPr>
        <w:t xml:space="preserve"> dönemi içinde, </w:t>
      </w:r>
      <w:r w:rsidR="002F33EC">
        <w:rPr>
          <w:rFonts w:ascii="Arial" w:hAnsi="Arial" w:cs="Arial"/>
          <w:sz w:val="22"/>
          <w:szCs w:val="22"/>
        </w:rPr>
        <w:t>156</w:t>
      </w:r>
      <w:r w:rsidR="000177C5">
        <w:rPr>
          <w:rFonts w:ascii="Arial" w:hAnsi="Arial" w:cs="Arial"/>
          <w:sz w:val="22"/>
          <w:szCs w:val="22"/>
        </w:rPr>
        <w:t>.</w:t>
      </w:r>
      <w:r w:rsidR="002F33EC">
        <w:rPr>
          <w:rFonts w:ascii="Arial" w:hAnsi="Arial" w:cs="Arial"/>
          <w:sz w:val="22"/>
          <w:szCs w:val="22"/>
        </w:rPr>
        <w:t xml:space="preserve">648 </w:t>
      </w:r>
      <w:r w:rsidRPr="00F935B0">
        <w:rPr>
          <w:rFonts w:ascii="Arial" w:hAnsi="Arial" w:cs="Arial"/>
          <w:sz w:val="22"/>
          <w:szCs w:val="22"/>
        </w:rPr>
        <w:t xml:space="preserve">milyon TL’si büyük ölçekli, </w:t>
      </w:r>
      <w:r w:rsidR="000F0427" w:rsidRPr="00F935B0">
        <w:rPr>
          <w:rFonts w:ascii="Arial" w:hAnsi="Arial" w:cs="Arial"/>
          <w:sz w:val="22"/>
          <w:szCs w:val="22"/>
        </w:rPr>
        <w:t>4</w:t>
      </w:r>
      <w:r w:rsidR="007D3E43">
        <w:rPr>
          <w:rFonts w:ascii="Arial" w:hAnsi="Arial" w:cs="Arial"/>
          <w:sz w:val="22"/>
          <w:szCs w:val="22"/>
        </w:rPr>
        <w:t>8</w:t>
      </w:r>
      <w:r w:rsidR="00FD7CD5">
        <w:rPr>
          <w:rFonts w:ascii="Arial" w:hAnsi="Arial" w:cs="Arial"/>
          <w:sz w:val="22"/>
          <w:szCs w:val="22"/>
        </w:rPr>
        <w:t>8</w:t>
      </w:r>
      <w:r w:rsidR="00D171A3">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2F33EC">
        <w:rPr>
          <w:rFonts w:ascii="Arial" w:hAnsi="Arial" w:cs="Arial"/>
          <w:sz w:val="22"/>
          <w:szCs w:val="22"/>
        </w:rPr>
        <w:t>157</w:t>
      </w:r>
      <w:r w:rsidR="000177C5">
        <w:rPr>
          <w:rFonts w:ascii="Arial" w:hAnsi="Arial" w:cs="Arial"/>
          <w:sz w:val="22"/>
          <w:szCs w:val="22"/>
        </w:rPr>
        <w:t>.</w:t>
      </w:r>
      <w:r w:rsidR="002F33EC">
        <w:rPr>
          <w:rFonts w:ascii="Arial" w:hAnsi="Arial" w:cs="Arial"/>
          <w:sz w:val="22"/>
          <w:szCs w:val="22"/>
        </w:rPr>
        <w:t xml:space="preserve">136 </w:t>
      </w:r>
      <w:r w:rsidR="000F0427" w:rsidRPr="00F935B0">
        <w:rPr>
          <w:rFonts w:ascii="Arial" w:hAnsi="Arial" w:cs="Arial"/>
          <w:sz w:val="22"/>
          <w:szCs w:val="22"/>
        </w:rPr>
        <w:t>milyon TL’dir.</w:t>
      </w:r>
    </w:p>
    <w:p w14:paraId="7EDDE0B1" w14:textId="77777777" w:rsidR="0004707E" w:rsidRPr="00F935B0" w:rsidRDefault="0004707E" w:rsidP="007473AA">
      <w:pPr>
        <w:spacing w:before="120" w:after="120"/>
        <w:jc w:val="both"/>
        <w:rPr>
          <w:rFonts w:ascii="Arial" w:hAnsi="Arial" w:cs="Arial"/>
          <w:sz w:val="22"/>
          <w:szCs w:val="22"/>
        </w:rPr>
      </w:pPr>
    </w:p>
    <w:p w14:paraId="2101E7B4" w14:textId="77777777" w:rsidR="00F935B0" w:rsidRPr="00F935B0" w:rsidRDefault="00F935B0" w:rsidP="00F935B0">
      <w:pPr>
        <w:jc w:val="center"/>
        <w:rPr>
          <w:rFonts w:ascii="Arial" w:hAnsi="Arial" w:cs="Arial"/>
          <w:b/>
          <w:sz w:val="22"/>
          <w:szCs w:val="22"/>
        </w:rPr>
      </w:pPr>
      <w:r w:rsidRPr="00F935B0">
        <w:rPr>
          <w:rFonts w:ascii="Arial" w:hAnsi="Arial" w:cs="Arial"/>
          <w:b/>
          <w:sz w:val="22"/>
          <w:szCs w:val="22"/>
        </w:rPr>
        <w:t>FYYÇA Büyük Ölçekli ve Küçük Uygulamalar</w:t>
      </w:r>
    </w:p>
    <w:p w14:paraId="6122B28A" w14:textId="4E22D08C"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001AD4">
        <w:rPr>
          <w:rFonts w:ascii="Arial" w:hAnsi="Arial" w:cs="Arial"/>
          <w:b/>
          <w:sz w:val="22"/>
          <w:szCs w:val="22"/>
        </w:rPr>
        <w:t>Kasım 2024</w:t>
      </w:r>
    </w:p>
    <w:p w14:paraId="71C92700" w14:textId="6FED7D9F" w:rsidR="005A6273" w:rsidRDefault="005A6273" w:rsidP="00F935B0">
      <w:pPr>
        <w:jc w:val="center"/>
        <w:rPr>
          <w:rFonts w:ascii="Arial" w:hAnsi="Arial" w:cs="Arial"/>
          <w:b/>
          <w:sz w:val="22"/>
          <w:szCs w:val="22"/>
        </w:rPr>
      </w:pPr>
    </w:p>
    <w:p w14:paraId="04F9418A" w14:textId="5E1CA1CB" w:rsidR="00FE5871" w:rsidRDefault="00BF541D" w:rsidP="00F935B0">
      <w:pPr>
        <w:jc w:val="center"/>
        <w:rPr>
          <w:rFonts w:ascii="Arial" w:hAnsi="Arial" w:cs="Arial"/>
          <w:b/>
          <w:sz w:val="22"/>
          <w:szCs w:val="22"/>
        </w:rPr>
      </w:pPr>
      <w:r>
        <w:rPr>
          <w:noProof/>
          <w:lang w:eastAsia="tr-TR"/>
        </w:rPr>
        <w:drawing>
          <wp:inline distT="0" distB="0" distL="0" distR="0" wp14:anchorId="530E5292" wp14:editId="3E1614D7">
            <wp:extent cx="5221605" cy="2847340"/>
            <wp:effectExtent l="0" t="0" r="17145" b="101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E63265B" w14:textId="487EF3F4" w:rsidR="00FE5871" w:rsidRDefault="00FE5871"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051391B1"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001AD4">
        <w:rPr>
          <w:rFonts w:ascii="Arial" w:hAnsi="Arial" w:cs="Arial"/>
          <w:sz w:val="22"/>
          <w:szCs w:val="22"/>
        </w:rPr>
        <w:t>Kasım 2024</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0687E6AB" w14:textId="77777777" w:rsidR="003D2CB9" w:rsidRPr="00F935B0" w:rsidRDefault="003D2CB9" w:rsidP="0039362D">
      <w:pPr>
        <w:jc w:val="both"/>
        <w:rPr>
          <w:rFonts w:ascii="Arial" w:hAnsi="Arial" w:cs="Arial"/>
          <w:sz w:val="22"/>
          <w:szCs w:val="22"/>
        </w:rPr>
      </w:pP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4690C44F"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001AD4">
        <w:rPr>
          <w:rFonts w:ascii="Arial" w:hAnsi="Arial" w:cs="Arial"/>
          <w:sz w:val="22"/>
          <w:szCs w:val="22"/>
        </w:rPr>
        <w:t>Kasım 2024</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lastRenderedPageBreak/>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626CD3F3"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001AD4">
        <w:rPr>
          <w:rFonts w:ascii="Arial" w:hAnsi="Arial" w:cs="Arial"/>
          <w:sz w:val="22"/>
          <w:szCs w:val="22"/>
        </w:rPr>
        <w:t>Kasım 2024</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59C21914" w14:textId="23555DE7" w:rsidR="00A36D94" w:rsidRPr="00F935B0"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001AD4">
        <w:rPr>
          <w:rFonts w:ascii="Arial" w:hAnsi="Arial" w:cs="Arial"/>
          <w:sz w:val="22"/>
          <w:szCs w:val="22"/>
        </w:rPr>
        <w:t>Kasım 2024</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0648E74A" w14:textId="77777777" w:rsidR="00A36D94" w:rsidRDefault="00A36D94" w:rsidP="000D520A">
      <w:pPr>
        <w:jc w:val="both"/>
        <w:rPr>
          <w:rFonts w:ascii="Arial" w:hAnsi="Arial" w:cs="Arial"/>
          <w:sz w:val="22"/>
          <w:szCs w:val="22"/>
        </w:rPr>
      </w:pPr>
    </w:p>
    <w:p w14:paraId="35DDBF40" w14:textId="080022D0" w:rsidR="008E4B67" w:rsidRDefault="005C31E8" w:rsidP="005C31E8">
      <w:pPr>
        <w:tabs>
          <w:tab w:val="left" w:pos="6588"/>
        </w:tabs>
        <w:jc w:val="both"/>
        <w:rPr>
          <w:rFonts w:ascii="Arial" w:hAnsi="Arial" w:cs="Arial"/>
          <w:sz w:val="22"/>
          <w:szCs w:val="22"/>
        </w:rPr>
      </w:pPr>
      <w:r>
        <w:rPr>
          <w:rFonts w:ascii="Arial" w:hAnsi="Arial" w:cs="Arial"/>
          <w:sz w:val="22"/>
          <w:szCs w:val="22"/>
        </w:rPr>
        <w:tab/>
      </w:r>
    </w:p>
    <w:p w14:paraId="16FECB07" w14:textId="77777777" w:rsidR="008E4B67" w:rsidRDefault="008E4B67" w:rsidP="000D520A">
      <w:pPr>
        <w:jc w:val="both"/>
        <w:rPr>
          <w:rFonts w:ascii="Arial" w:hAnsi="Arial" w:cs="Arial"/>
          <w:sz w:val="22"/>
          <w:szCs w:val="22"/>
        </w:rPr>
      </w:pPr>
    </w:p>
    <w:p w14:paraId="47BF77AD" w14:textId="77777777" w:rsidR="008E4B67" w:rsidRDefault="008E4B67" w:rsidP="000D520A">
      <w:pPr>
        <w:jc w:val="both"/>
        <w:rPr>
          <w:rFonts w:ascii="Arial" w:hAnsi="Arial" w:cs="Arial"/>
          <w:sz w:val="22"/>
          <w:szCs w:val="22"/>
        </w:rPr>
      </w:pPr>
    </w:p>
    <w:p w14:paraId="08B92FD3" w14:textId="77777777" w:rsidR="006C2899" w:rsidRDefault="006C2899" w:rsidP="000D520A">
      <w:pPr>
        <w:jc w:val="both"/>
        <w:rPr>
          <w:rFonts w:ascii="Arial" w:hAnsi="Arial" w:cs="Arial"/>
          <w:sz w:val="22"/>
          <w:szCs w:val="22"/>
        </w:rPr>
      </w:pPr>
    </w:p>
    <w:p w14:paraId="175F012A" w14:textId="77777777" w:rsidR="008E4B67" w:rsidRDefault="008E4B67" w:rsidP="000D520A">
      <w:pPr>
        <w:jc w:val="both"/>
        <w:rPr>
          <w:rFonts w:ascii="Arial" w:hAnsi="Arial" w:cs="Arial"/>
          <w:sz w:val="22"/>
          <w:szCs w:val="22"/>
        </w:rPr>
      </w:pPr>
    </w:p>
    <w:p w14:paraId="32BC6F84" w14:textId="77777777" w:rsidR="008E4B67" w:rsidRPr="00F935B0" w:rsidRDefault="008E4B67" w:rsidP="000D520A">
      <w:pPr>
        <w:jc w:val="both"/>
        <w:rPr>
          <w:rFonts w:ascii="Arial" w:hAnsi="Arial" w:cs="Arial"/>
          <w:sz w:val="22"/>
          <w:szCs w:val="22"/>
        </w:rPr>
      </w:pPr>
    </w:p>
    <w:p w14:paraId="020EEAD5" w14:textId="77066010" w:rsidR="00A36D94" w:rsidRPr="006D4134" w:rsidRDefault="00A36D94" w:rsidP="001119C3">
      <w:pPr>
        <w:jc w:val="both"/>
        <w:rPr>
          <w:rFonts w:ascii="Arial" w:hAnsi="Arial" w:cs="Arial"/>
          <w:b/>
          <w:sz w:val="22"/>
          <w:szCs w:val="22"/>
        </w:rPr>
      </w:pPr>
      <w:r w:rsidRPr="00F935B0">
        <w:rPr>
          <w:rFonts w:ascii="Arial" w:hAnsi="Arial" w:cs="Arial"/>
          <w:b/>
          <w:sz w:val="22"/>
          <w:szCs w:val="22"/>
        </w:rPr>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001AD4">
        <w:rPr>
          <w:rFonts w:ascii="Arial" w:hAnsi="Arial" w:cs="Arial"/>
          <w:b/>
          <w:sz w:val="22"/>
          <w:szCs w:val="22"/>
        </w:rPr>
        <w:t>69</w:t>
      </w:r>
      <w:r w:rsidR="00001AD4"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001AD4">
        <w:rPr>
          <w:rFonts w:ascii="Arial" w:hAnsi="Arial" w:cs="Arial"/>
          <w:b/>
          <w:sz w:val="22"/>
          <w:szCs w:val="22"/>
        </w:rPr>
        <w:t>65,9</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0872F03F"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001AD4">
        <w:rPr>
          <w:rFonts w:ascii="Arial" w:hAnsi="Arial" w:cs="Arial"/>
          <w:sz w:val="22"/>
          <w:szCs w:val="22"/>
        </w:rPr>
        <w:t>Kasım 2024</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001AD4">
        <w:rPr>
          <w:rFonts w:ascii="Arial" w:hAnsi="Arial" w:cs="Arial"/>
          <w:sz w:val="22"/>
          <w:szCs w:val="22"/>
        </w:rPr>
        <w:t>85</w:t>
      </w:r>
      <w:r w:rsidR="00001AD4" w:rsidRPr="00730524">
        <w:rPr>
          <w:rFonts w:ascii="Arial" w:hAnsi="Arial" w:cs="Arial"/>
          <w:sz w:val="22"/>
          <w:szCs w:val="22"/>
        </w:rPr>
        <w:t xml:space="preserve"> </w:t>
      </w:r>
      <w:r w:rsidRPr="00730524">
        <w:rPr>
          <w:rFonts w:ascii="Arial" w:hAnsi="Arial" w:cs="Arial"/>
          <w:sz w:val="22"/>
          <w:szCs w:val="22"/>
        </w:rPr>
        <w:t>adet firma (</w:t>
      </w:r>
      <w:r w:rsidR="00001AD4">
        <w:rPr>
          <w:rFonts w:ascii="Arial" w:hAnsi="Arial" w:cs="Arial"/>
          <w:sz w:val="22"/>
          <w:szCs w:val="22"/>
        </w:rPr>
        <w:t>42</w:t>
      </w:r>
      <w:r w:rsidR="00001AD4"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001AD4">
        <w:rPr>
          <w:rFonts w:ascii="Arial" w:hAnsi="Arial" w:cs="Arial"/>
          <w:sz w:val="22"/>
          <w:szCs w:val="22"/>
        </w:rPr>
        <w:t>69’u</w:t>
      </w:r>
      <w:r w:rsidR="0042773C"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001AD4">
        <w:rPr>
          <w:rFonts w:ascii="Arial" w:hAnsi="Arial" w:cs="Arial"/>
          <w:sz w:val="22"/>
          <w:szCs w:val="22"/>
        </w:rPr>
        <w:t>37</w:t>
      </w:r>
      <w:r w:rsidR="00001AD4"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6D440E44" w:rsidR="00727779" w:rsidRPr="00730524" w:rsidRDefault="00727779" w:rsidP="00727779">
      <w:pPr>
        <w:jc w:val="both"/>
        <w:rPr>
          <w:rFonts w:ascii="Arial" w:hAnsi="Arial" w:cs="Arial"/>
          <w:sz w:val="22"/>
          <w:szCs w:val="22"/>
        </w:rPr>
      </w:pPr>
      <w:r w:rsidRPr="00730524">
        <w:rPr>
          <w:rFonts w:ascii="Arial" w:hAnsi="Arial" w:cs="Arial"/>
          <w:sz w:val="22"/>
          <w:szCs w:val="22"/>
        </w:rPr>
        <w:lastRenderedPageBreak/>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BF541D">
        <w:rPr>
          <w:rFonts w:ascii="Arial" w:hAnsi="Arial" w:cs="Arial"/>
          <w:sz w:val="22"/>
          <w:szCs w:val="22"/>
        </w:rPr>
        <w:t>9</w:t>
      </w:r>
      <w:r w:rsidR="00BF541D"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0658A2" w:rsidRPr="00730524">
        <w:rPr>
          <w:rFonts w:ascii="Arial" w:hAnsi="Arial" w:cs="Arial"/>
          <w:sz w:val="22"/>
          <w:szCs w:val="22"/>
        </w:rPr>
        <w:t>8</w:t>
      </w:r>
      <w:r w:rsidR="00E54CE0" w:rsidRPr="00730524">
        <w:rPr>
          <w:rFonts w:ascii="Arial" w:hAnsi="Arial" w:cs="Arial"/>
          <w:sz w:val="22"/>
          <w:szCs w:val="22"/>
        </w:rPr>
        <w:t xml:space="preserve"> 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0658A2" w:rsidRPr="00730524">
        <w:rPr>
          <w:rFonts w:ascii="Arial" w:hAnsi="Arial" w:cs="Arial"/>
          <w:sz w:val="22"/>
          <w:szCs w:val="22"/>
        </w:rPr>
        <w:t>4</w:t>
      </w:r>
      <w:r w:rsidRPr="00730524">
        <w:rPr>
          <w:rFonts w:ascii="Arial" w:hAnsi="Arial" w:cs="Arial"/>
          <w:sz w:val="22"/>
          <w:szCs w:val="22"/>
        </w:rPr>
        <w:t xml:space="preserve"> tanesi inşaat,</w:t>
      </w:r>
      <w:r w:rsidR="00B33EE5" w:rsidRPr="00730524">
        <w:rPr>
          <w:rFonts w:ascii="Arial" w:hAnsi="Arial" w:cs="Arial"/>
          <w:sz w:val="22"/>
          <w:szCs w:val="22"/>
        </w:rPr>
        <w:t xml:space="preserve"> </w:t>
      </w:r>
      <w:r w:rsidR="000D3FBE" w:rsidRPr="00730524">
        <w:rPr>
          <w:rFonts w:ascii="Arial" w:hAnsi="Arial" w:cs="Arial"/>
          <w:sz w:val="22"/>
          <w:szCs w:val="22"/>
        </w:rPr>
        <w:t>8</w:t>
      </w:r>
      <w:r w:rsidR="00706A26" w:rsidRPr="00730524">
        <w:rPr>
          <w:rFonts w:ascii="Arial" w:hAnsi="Arial" w:cs="Arial"/>
          <w:sz w:val="22"/>
          <w:szCs w:val="22"/>
        </w:rPr>
        <w:t xml:space="preserve"> 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 xml:space="preserve">tanesi turizm, </w:t>
      </w:r>
      <w:r w:rsidR="00B33EE5" w:rsidRPr="00730524">
        <w:rPr>
          <w:rFonts w:ascii="Arial" w:hAnsi="Arial" w:cs="Arial"/>
          <w:sz w:val="22"/>
          <w:szCs w:val="22"/>
        </w:rPr>
        <w:t>1 tanesi eğitim,</w:t>
      </w:r>
      <w:r w:rsidR="00431D6C" w:rsidRPr="00730524">
        <w:rPr>
          <w:rFonts w:ascii="Arial" w:hAnsi="Arial" w:cs="Arial"/>
          <w:sz w:val="22"/>
          <w:szCs w:val="22"/>
        </w:rPr>
        <w:t xml:space="preserve"> 1 tanesi sağlık ve sosyal hizmetler,</w:t>
      </w:r>
      <w:r w:rsidR="00EA2925" w:rsidRPr="00730524">
        <w:rPr>
          <w:rFonts w:ascii="Arial" w:hAnsi="Arial" w:cs="Arial"/>
          <w:sz w:val="22"/>
          <w:szCs w:val="22"/>
        </w:rPr>
        <w:t xml:space="preserve"> </w:t>
      </w:r>
      <w:r w:rsidR="00865905" w:rsidRPr="00730524">
        <w:rPr>
          <w:rFonts w:ascii="Arial" w:hAnsi="Arial" w:cs="Arial"/>
          <w:sz w:val="22"/>
          <w:szCs w:val="22"/>
        </w:rPr>
        <w:t xml:space="preserve">6 tanesi diğer hizmetler ve </w:t>
      </w:r>
      <w:r w:rsidR="00EB4D3B" w:rsidRPr="00730524">
        <w:rPr>
          <w:rFonts w:ascii="Arial" w:hAnsi="Arial" w:cs="Arial"/>
          <w:sz w:val="22"/>
          <w:szCs w:val="22"/>
        </w:rPr>
        <w:t>7</w:t>
      </w:r>
      <w:r w:rsidRPr="00730524">
        <w:rPr>
          <w:rFonts w:ascii="Arial" w:hAnsi="Arial" w:cs="Arial"/>
          <w:sz w:val="22"/>
          <w:szCs w:val="22"/>
        </w:rPr>
        <w:t xml:space="preserve"> tanesi diğer sektörlerde faaliyet gösterm</w:t>
      </w:r>
      <w:r w:rsidR="00865905" w:rsidRPr="00730524">
        <w:rPr>
          <w:rFonts w:ascii="Arial" w:hAnsi="Arial" w:cs="Arial"/>
          <w:sz w:val="22"/>
          <w:szCs w:val="22"/>
        </w:rPr>
        <w:t xml:space="preserve">ektedir. Söz konusu firmaların </w:t>
      </w:r>
      <w:r w:rsidR="00AD622B" w:rsidRPr="00730524">
        <w:rPr>
          <w:rFonts w:ascii="Arial" w:hAnsi="Arial" w:cs="Arial"/>
          <w:sz w:val="22"/>
          <w:szCs w:val="22"/>
        </w:rPr>
        <w:t>3</w:t>
      </w:r>
      <w:r w:rsidR="00AD622B">
        <w:rPr>
          <w:rFonts w:ascii="Arial" w:hAnsi="Arial" w:cs="Arial"/>
          <w:sz w:val="22"/>
          <w:szCs w:val="22"/>
        </w:rPr>
        <w:t>5</w:t>
      </w:r>
      <w:r w:rsidR="00AD622B" w:rsidRPr="00730524">
        <w:rPr>
          <w:rFonts w:ascii="Arial" w:hAnsi="Arial" w:cs="Arial"/>
          <w:sz w:val="22"/>
          <w:szCs w:val="22"/>
        </w:rPr>
        <w:t xml:space="preserve">’i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5’i Ege’de,</w:t>
      </w:r>
      <w:r w:rsidR="00001D84" w:rsidRPr="00730524">
        <w:rPr>
          <w:rFonts w:ascii="Arial" w:hAnsi="Arial" w:cs="Arial"/>
          <w:sz w:val="22"/>
          <w:szCs w:val="22"/>
        </w:rPr>
        <w:t xml:space="preserve"> </w:t>
      </w:r>
      <w:r w:rsidR="00431D6C" w:rsidRPr="00730524">
        <w:rPr>
          <w:rFonts w:ascii="Arial" w:hAnsi="Arial" w:cs="Arial"/>
          <w:sz w:val="22"/>
          <w:szCs w:val="22"/>
        </w:rPr>
        <w:t>3</w:t>
      </w:r>
      <w:r w:rsidR="00001D84" w:rsidRPr="00730524">
        <w:rPr>
          <w:rFonts w:ascii="Arial" w:hAnsi="Arial" w:cs="Arial"/>
          <w:sz w:val="22"/>
          <w:szCs w:val="22"/>
        </w:rPr>
        <w:t>’</w:t>
      </w:r>
      <w:r w:rsidR="00431D6C" w:rsidRPr="00730524">
        <w:rPr>
          <w:rFonts w:ascii="Arial" w:hAnsi="Arial" w:cs="Arial"/>
          <w:sz w:val="22"/>
          <w:szCs w:val="22"/>
        </w:rPr>
        <w:t>ü</w:t>
      </w:r>
      <w:r w:rsidR="00001D84" w:rsidRPr="00730524">
        <w:rPr>
          <w:rFonts w:ascii="Arial" w:hAnsi="Arial" w:cs="Arial"/>
          <w:sz w:val="22"/>
          <w:szCs w:val="22"/>
        </w:rPr>
        <w:t xml:space="preserve"> Doğu Marmara’da, 3’ü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AD622B">
        <w:rPr>
          <w:rFonts w:ascii="Arial" w:hAnsi="Arial" w:cs="Arial"/>
          <w:sz w:val="22"/>
          <w:szCs w:val="22"/>
        </w:rPr>
        <w:t>6</w:t>
      </w:r>
      <w:r w:rsidR="00AD622B" w:rsidRPr="00730524">
        <w:rPr>
          <w:rFonts w:ascii="Arial" w:hAnsi="Arial" w:cs="Arial"/>
          <w:sz w:val="22"/>
          <w:szCs w:val="22"/>
        </w:rPr>
        <w:t>’</w:t>
      </w:r>
      <w:r w:rsidR="00AD622B">
        <w:rPr>
          <w:rFonts w:ascii="Arial" w:hAnsi="Arial" w:cs="Arial"/>
          <w:sz w:val="22"/>
          <w:szCs w:val="22"/>
        </w:rPr>
        <w:t>sı</w:t>
      </w:r>
      <w:r w:rsidR="00AD622B"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BF541D">
        <w:rPr>
          <w:rFonts w:ascii="Arial" w:hAnsi="Arial" w:cs="Arial"/>
          <w:sz w:val="22"/>
          <w:szCs w:val="22"/>
        </w:rPr>
        <w:t>4’ü</w:t>
      </w:r>
      <w:r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11BFC7BE"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001AD4">
        <w:rPr>
          <w:rFonts w:ascii="Arial" w:hAnsi="Arial" w:cs="Arial"/>
          <w:sz w:val="22"/>
          <w:szCs w:val="22"/>
        </w:rPr>
        <w:t>Kasım 2024</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ocakçılığı,</w:t>
      </w:r>
      <w:r w:rsidR="00E54CE0" w:rsidRPr="00730524">
        <w:rPr>
          <w:rFonts w:ascii="Arial" w:hAnsi="Arial" w:cs="Arial"/>
          <w:sz w:val="22"/>
          <w:szCs w:val="22"/>
        </w:rPr>
        <w:t xml:space="preserve"> </w:t>
      </w:r>
      <w:r w:rsidR="00BF541D">
        <w:rPr>
          <w:rFonts w:ascii="Arial" w:hAnsi="Arial" w:cs="Arial"/>
          <w:sz w:val="22"/>
          <w:szCs w:val="22"/>
        </w:rPr>
        <w:t>7.595</w:t>
      </w:r>
      <w:r w:rsidR="00AD622B">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431D6C" w:rsidRPr="00730524">
        <w:rPr>
          <w:rFonts w:ascii="Arial" w:hAnsi="Arial" w:cs="Arial"/>
          <w:sz w:val="22"/>
          <w:szCs w:val="22"/>
        </w:rPr>
        <w:t>3.</w:t>
      </w:r>
      <w:r w:rsidR="000658A2" w:rsidRPr="00730524">
        <w:rPr>
          <w:rFonts w:ascii="Arial" w:hAnsi="Arial" w:cs="Arial"/>
          <w:sz w:val="22"/>
          <w:szCs w:val="22"/>
        </w:rPr>
        <w:t>245</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0658A2" w:rsidRPr="00730524">
        <w:rPr>
          <w:rFonts w:ascii="Arial" w:hAnsi="Arial" w:cs="Arial"/>
          <w:sz w:val="22"/>
          <w:szCs w:val="22"/>
        </w:rPr>
        <w:t>2.800</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DD0C72" w:rsidRPr="00730524">
        <w:rPr>
          <w:rFonts w:ascii="Arial" w:hAnsi="Arial" w:cs="Arial"/>
          <w:sz w:val="22"/>
          <w:szCs w:val="22"/>
        </w:rPr>
        <w:t>909</w:t>
      </w:r>
      <w:r w:rsidR="00706A26" w:rsidRPr="00730524">
        <w:rPr>
          <w:rFonts w:ascii="Arial" w:hAnsi="Arial" w:cs="Arial"/>
          <w:sz w:val="22"/>
          <w:szCs w:val="22"/>
        </w:rPr>
        <w:t xml:space="preserve"> 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 xml:space="preserve">milyon TL’si turizm, </w:t>
      </w:r>
      <w:r w:rsidR="00B33EE5" w:rsidRPr="00730524">
        <w:rPr>
          <w:rFonts w:ascii="Arial" w:hAnsi="Arial" w:cs="Arial"/>
          <w:sz w:val="22"/>
          <w:szCs w:val="22"/>
        </w:rPr>
        <w:t>1.409 milyon TL’si eğitim,</w:t>
      </w:r>
      <w:r w:rsidR="00431D6C" w:rsidRPr="00730524">
        <w:rPr>
          <w:rFonts w:ascii="Arial" w:hAnsi="Arial" w:cs="Arial"/>
          <w:sz w:val="22"/>
          <w:szCs w:val="22"/>
        </w:rPr>
        <w:t xml:space="preserve"> 675 milyon TL’si sağlık ve sosyal hizmetler,</w:t>
      </w:r>
      <w:r w:rsidR="00B33EE5" w:rsidRPr="00730524">
        <w:rPr>
          <w:rFonts w:ascii="Arial" w:hAnsi="Arial" w:cs="Arial"/>
          <w:sz w:val="22"/>
          <w:szCs w:val="22"/>
        </w:rPr>
        <w:t xml:space="preserve"> </w:t>
      </w:r>
      <w:r w:rsidR="00865905" w:rsidRPr="00730524">
        <w:rPr>
          <w:rFonts w:ascii="Arial" w:hAnsi="Arial" w:cs="Arial"/>
          <w:sz w:val="22"/>
          <w:szCs w:val="22"/>
        </w:rPr>
        <w:t>1.673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EB4D3B" w:rsidRPr="00730524">
        <w:rPr>
          <w:rFonts w:ascii="Arial" w:hAnsi="Arial" w:cs="Arial"/>
          <w:sz w:val="22"/>
          <w:szCs w:val="22"/>
        </w:rPr>
        <w:t>23</w:t>
      </w:r>
      <w:r w:rsidR="00E54CE0" w:rsidRPr="00730524">
        <w:rPr>
          <w:rFonts w:ascii="Arial" w:hAnsi="Arial" w:cs="Arial"/>
          <w:sz w:val="22"/>
          <w:szCs w:val="22"/>
        </w:rPr>
        <w:t>.</w:t>
      </w:r>
      <w:r w:rsidR="00EB4D3B" w:rsidRPr="00730524">
        <w:rPr>
          <w:rFonts w:ascii="Arial" w:hAnsi="Arial" w:cs="Arial"/>
          <w:sz w:val="22"/>
          <w:szCs w:val="22"/>
        </w:rPr>
        <w:t>925</w:t>
      </w:r>
      <w:r w:rsidRPr="00730524">
        <w:rPr>
          <w:rFonts w:ascii="Arial" w:hAnsi="Arial" w:cs="Arial"/>
          <w:sz w:val="22"/>
          <w:szCs w:val="22"/>
        </w:rPr>
        <w:t xml:space="preserve"> milyon TL’si diğer sektörlere ait olmak üzere yeniden yapılandırılan toplam borç tutarı </w:t>
      </w:r>
      <w:r w:rsidR="00BF541D">
        <w:rPr>
          <w:rFonts w:ascii="Arial" w:hAnsi="Arial" w:cs="Arial"/>
          <w:sz w:val="22"/>
          <w:szCs w:val="22"/>
        </w:rPr>
        <w:t>65.943</w:t>
      </w:r>
      <w:r w:rsidR="00730524" w:rsidRPr="00503ACD">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791422F1"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531944" w:rsidRPr="006D4134">
        <w:rPr>
          <w:rFonts w:ascii="Arial" w:hAnsi="Arial" w:cs="Arial"/>
          <w:b/>
          <w:sz w:val="22"/>
          <w:szCs w:val="22"/>
        </w:rPr>
        <w:t>9</w:t>
      </w:r>
      <w:r w:rsidR="001119C3" w:rsidRPr="006D4134">
        <w:rPr>
          <w:rFonts w:ascii="Arial" w:hAnsi="Arial" w:cs="Arial"/>
          <w:b/>
          <w:sz w:val="22"/>
          <w:szCs w:val="22"/>
        </w:rPr>
        <w:t xml:space="preserve"> 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531944" w:rsidRPr="006D4134">
        <w:rPr>
          <w:rFonts w:ascii="Arial" w:hAnsi="Arial" w:cs="Arial"/>
          <w:b/>
          <w:sz w:val="22"/>
          <w:szCs w:val="22"/>
        </w:rPr>
        <w:t>79</w:t>
      </w:r>
      <w:r w:rsidR="009A4992"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1A876ECB"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001AD4">
        <w:rPr>
          <w:rFonts w:ascii="Arial" w:hAnsi="Arial" w:cs="Arial"/>
          <w:sz w:val="22"/>
          <w:szCs w:val="22"/>
        </w:rPr>
        <w:t>Kasım 2024</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7695E" w:rsidRPr="006D4134">
        <w:rPr>
          <w:rFonts w:ascii="Arial" w:hAnsi="Arial" w:cs="Arial"/>
          <w:sz w:val="22"/>
          <w:szCs w:val="22"/>
        </w:rPr>
        <w:t>2</w:t>
      </w:r>
      <w:r w:rsidR="00F7695E">
        <w:rPr>
          <w:rFonts w:ascii="Arial" w:hAnsi="Arial" w:cs="Arial"/>
          <w:sz w:val="22"/>
          <w:szCs w:val="22"/>
        </w:rPr>
        <w:t>3</w:t>
      </w:r>
      <w:r w:rsidR="00F7695E" w:rsidRPr="006D4134">
        <w:rPr>
          <w:rFonts w:ascii="Arial" w:hAnsi="Arial" w:cs="Arial"/>
          <w:sz w:val="22"/>
          <w:szCs w:val="22"/>
        </w:rPr>
        <w:t xml:space="preserve"> </w:t>
      </w:r>
      <w:r w:rsidRPr="006D4134">
        <w:rPr>
          <w:rFonts w:ascii="Arial" w:hAnsi="Arial" w:cs="Arial"/>
          <w:sz w:val="22"/>
          <w:szCs w:val="22"/>
        </w:rPr>
        <w:t>adet firma (</w:t>
      </w:r>
      <w:r w:rsidR="00F7695E">
        <w:rPr>
          <w:rFonts w:ascii="Arial" w:hAnsi="Arial" w:cs="Arial"/>
          <w:sz w:val="22"/>
          <w:szCs w:val="22"/>
        </w:rPr>
        <w:t>9</w:t>
      </w:r>
      <w:r w:rsidR="00F7695E"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431D6C" w:rsidRPr="006D4134">
        <w:rPr>
          <w:rFonts w:ascii="Arial" w:hAnsi="Arial" w:cs="Arial"/>
          <w:sz w:val="22"/>
          <w:szCs w:val="22"/>
        </w:rPr>
        <w:t>9</w:t>
      </w:r>
      <w:r w:rsidR="00AD3F9D" w:rsidRPr="006D4134">
        <w:rPr>
          <w:rFonts w:ascii="Arial" w:hAnsi="Arial" w:cs="Arial"/>
          <w:sz w:val="22"/>
          <w:szCs w:val="22"/>
        </w:rPr>
        <w:t xml:space="preserve"> firma (</w:t>
      </w:r>
      <w:r w:rsidR="00431D6C" w:rsidRPr="006D4134">
        <w:rPr>
          <w:rFonts w:ascii="Arial" w:hAnsi="Arial" w:cs="Arial"/>
          <w:sz w:val="22"/>
          <w:szCs w:val="22"/>
        </w:rPr>
        <w:t>5</w:t>
      </w:r>
      <w:r w:rsidR="00AD3F9D" w:rsidRPr="006D4134">
        <w:rPr>
          <w:rFonts w:ascii="Arial" w:hAnsi="Arial" w:cs="Arial"/>
          <w:sz w:val="22"/>
          <w:szCs w:val="22"/>
        </w:rPr>
        <w:t xml:space="preserve"> 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77777777"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 sektöründe faaliyet göstermektedir. Söz konusu firmaların 1’i İstanbul’da,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1’i Batı Karadeniz</w:t>
      </w:r>
      <w:r w:rsidR="00B600A6" w:rsidRPr="006D4134">
        <w:rPr>
          <w:rFonts w:ascii="Arial" w:hAnsi="Arial" w:cs="Arial"/>
          <w:sz w:val="22"/>
          <w:szCs w:val="22"/>
        </w:rPr>
        <w:t>,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288513F3" w:rsidR="000D520A" w:rsidRPr="006D4134" w:rsidRDefault="00DC3173" w:rsidP="00DC3173">
      <w:pPr>
        <w:jc w:val="both"/>
        <w:rPr>
          <w:rFonts w:ascii="Arial" w:hAnsi="Arial" w:cs="Arial"/>
          <w:sz w:val="22"/>
          <w:szCs w:val="22"/>
        </w:rPr>
      </w:pPr>
      <w:r w:rsidRPr="006D4134">
        <w:rPr>
          <w:rFonts w:ascii="Arial" w:hAnsi="Arial" w:cs="Arial"/>
          <w:sz w:val="22"/>
          <w:szCs w:val="22"/>
        </w:rPr>
        <w:t>Kasım 2021-</w:t>
      </w:r>
      <w:r w:rsidR="00001AD4">
        <w:rPr>
          <w:rFonts w:ascii="Arial" w:hAnsi="Arial" w:cs="Arial"/>
          <w:sz w:val="22"/>
          <w:szCs w:val="22"/>
        </w:rPr>
        <w:t>Kasım 2024</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 xml:space="preserve">ve 0,2 milyon TL’si eğitim sektörüne ait olmak üzere yeniden yapılandırılan toplam borç tutarı </w:t>
      </w:r>
      <w:r w:rsidR="00680757" w:rsidRPr="006D4134">
        <w:rPr>
          <w:rFonts w:ascii="Arial" w:hAnsi="Arial" w:cs="Arial"/>
          <w:sz w:val="22"/>
          <w:szCs w:val="22"/>
        </w:rPr>
        <w:t>7</w:t>
      </w:r>
      <w:r w:rsidR="00001D84" w:rsidRPr="006D4134">
        <w:rPr>
          <w:rFonts w:ascii="Arial" w:hAnsi="Arial" w:cs="Arial"/>
          <w:sz w:val="22"/>
          <w:szCs w:val="22"/>
        </w:rPr>
        <w:t>9</w:t>
      </w:r>
      <w:r w:rsidRPr="006D4134">
        <w:rPr>
          <w:rFonts w:ascii="Arial" w:hAnsi="Arial" w:cs="Arial"/>
          <w:sz w:val="22"/>
          <w:szCs w:val="22"/>
        </w:rPr>
        <w:t xml:space="preserve"> milyon TL’dir.</w:t>
      </w:r>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F705E" w14:textId="77777777" w:rsidR="000809AB" w:rsidRDefault="000809AB">
      <w:r>
        <w:separator/>
      </w:r>
    </w:p>
  </w:endnote>
  <w:endnote w:type="continuationSeparator" w:id="0">
    <w:p w14:paraId="04AD5E97" w14:textId="77777777" w:rsidR="000809AB" w:rsidRDefault="00080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9B78E" w14:textId="60AD5459"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FF2191">
      <w:rPr>
        <w:rStyle w:val="PageNumber"/>
        <w:rFonts w:ascii="Arial" w:hAnsi="Arial" w:cs="Arial"/>
        <w:noProof/>
        <w:sz w:val="18"/>
        <w:szCs w:val="18"/>
      </w:rPr>
      <w:t>iv</w:t>
    </w:r>
    <w:r w:rsidRPr="00325942">
      <w:rPr>
        <w:rStyle w:val="PageNumber"/>
        <w:rFonts w:ascii="Arial" w:hAnsi="Arial" w:cs="Arial"/>
        <w:sz w:val="18"/>
        <w:szCs w:val="18"/>
      </w:rPr>
      <w:fldChar w:fldCharType="end"/>
    </w:r>
  </w:p>
  <w:p w14:paraId="26937730" w14:textId="4BEEE05F"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001AD4">
      <w:rPr>
        <w:rFonts w:ascii="Arial" w:hAnsi="Arial" w:cs="Arial"/>
        <w:sz w:val="18"/>
        <w:szCs w:val="18"/>
      </w:rPr>
      <w:t>Kasım 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4D74D" w14:textId="26B60534"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Finansal 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001AD4">
      <w:rPr>
        <w:rFonts w:ascii="Arial" w:hAnsi="Arial" w:cs="Arial"/>
        <w:sz w:val="18"/>
        <w:szCs w:val="18"/>
      </w:rPr>
      <w:t>Kasım 2024</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4DAE5" w14:textId="77777777" w:rsidR="000809AB" w:rsidRDefault="000809AB">
      <w:r>
        <w:separator/>
      </w:r>
    </w:p>
  </w:footnote>
  <w:footnote w:type="continuationSeparator" w:id="0">
    <w:p w14:paraId="3BB15FAF" w14:textId="77777777" w:rsidR="000809AB" w:rsidRDefault="000809AB">
      <w:r>
        <w:continuationSeparator/>
      </w:r>
    </w:p>
  </w:footnote>
  <w:footnote w:id="1">
    <w:p w14:paraId="67200E0F" w14:textId="0E2FF631"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001AD4">
        <w:rPr>
          <w:rFonts w:ascii="Arial" w:hAnsi="Arial" w:cs="Arial"/>
          <w:sz w:val="18"/>
          <w:szCs w:val="18"/>
        </w:rPr>
        <w:t>Eylül</w:t>
      </w:r>
      <w:r w:rsidR="002F33EC">
        <w:rPr>
          <w:rFonts w:ascii="Arial" w:hAnsi="Arial" w:cs="Arial"/>
          <w:sz w:val="18"/>
          <w:szCs w:val="18"/>
        </w:rPr>
        <w:t xml:space="preserve"> </w:t>
      </w:r>
      <w:r w:rsidR="005C31E8" w:rsidRPr="005D239F">
        <w:rPr>
          <w:rFonts w:ascii="Arial" w:hAnsi="Arial" w:cs="Arial"/>
          <w:sz w:val="18"/>
          <w:szCs w:val="18"/>
        </w:rPr>
        <w:t xml:space="preserve">2024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yaklaşık 646</w:t>
      </w:r>
      <w:r w:rsidR="00001AD4"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531"/>
    <w:rsid w:val="000011C4"/>
    <w:rsid w:val="00001AD4"/>
    <w:rsid w:val="00001D84"/>
    <w:rsid w:val="000045B2"/>
    <w:rsid w:val="0000466B"/>
    <w:rsid w:val="000049DE"/>
    <w:rsid w:val="00007BAD"/>
    <w:rsid w:val="0001034E"/>
    <w:rsid w:val="0001197B"/>
    <w:rsid w:val="00013EA9"/>
    <w:rsid w:val="00014295"/>
    <w:rsid w:val="00015788"/>
    <w:rsid w:val="00015A3F"/>
    <w:rsid w:val="000177C5"/>
    <w:rsid w:val="00017D11"/>
    <w:rsid w:val="00021417"/>
    <w:rsid w:val="00021615"/>
    <w:rsid w:val="00021E4B"/>
    <w:rsid w:val="000247FD"/>
    <w:rsid w:val="00025B0B"/>
    <w:rsid w:val="00026077"/>
    <w:rsid w:val="00026A53"/>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6A8"/>
    <w:rsid w:val="000609CC"/>
    <w:rsid w:val="0006205F"/>
    <w:rsid w:val="000621B0"/>
    <w:rsid w:val="00063F95"/>
    <w:rsid w:val="0006475C"/>
    <w:rsid w:val="00064A5E"/>
    <w:rsid w:val="00064C25"/>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7372"/>
    <w:rsid w:val="00337BE0"/>
    <w:rsid w:val="00340C64"/>
    <w:rsid w:val="003421FF"/>
    <w:rsid w:val="003431AF"/>
    <w:rsid w:val="00343EA9"/>
    <w:rsid w:val="003446E5"/>
    <w:rsid w:val="00344956"/>
    <w:rsid w:val="0034582D"/>
    <w:rsid w:val="003462B6"/>
    <w:rsid w:val="00350B74"/>
    <w:rsid w:val="0035210C"/>
    <w:rsid w:val="00352C8B"/>
    <w:rsid w:val="0035430C"/>
    <w:rsid w:val="003550E8"/>
    <w:rsid w:val="00356C55"/>
    <w:rsid w:val="00357356"/>
    <w:rsid w:val="00357B00"/>
    <w:rsid w:val="00360830"/>
    <w:rsid w:val="0036449F"/>
    <w:rsid w:val="0037135E"/>
    <w:rsid w:val="00371F55"/>
    <w:rsid w:val="00374138"/>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1599"/>
    <w:rsid w:val="003A4EB8"/>
    <w:rsid w:val="003A6493"/>
    <w:rsid w:val="003A744B"/>
    <w:rsid w:val="003A7686"/>
    <w:rsid w:val="003B2A18"/>
    <w:rsid w:val="003B342A"/>
    <w:rsid w:val="003B3B70"/>
    <w:rsid w:val="003B519E"/>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663E"/>
    <w:rsid w:val="004570EE"/>
    <w:rsid w:val="00457A5B"/>
    <w:rsid w:val="004600C1"/>
    <w:rsid w:val="00460C9D"/>
    <w:rsid w:val="0046246E"/>
    <w:rsid w:val="004625A5"/>
    <w:rsid w:val="00462D43"/>
    <w:rsid w:val="00463160"/>
    <w:rsid w:val="0047069A"/>
    <w:rsid w:val="00470B9E"/>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6451"/>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67CF"/>
    <w:rsid w:val="006C70F8"/>
    <w:rsid w:val="006C7323"/>
    <w:rsid w:val="006D1382"/>
    <w:rsid w:val="006D1C20"/>
    <w:rsid w:val="006D385B"/>
    <w:rsid w:val="006D4134"/>
    <w:rsid w:val="006D5921"/>
    <w:rsid w:val="006D5DFA"/>
    <w:rsid w:val="006D62A8"/>
    <w:rsid w:val="006D6BFA"/>
    <w:rsid w:val="006D70CB"/>
    <w:rsid w:val="006D7B27"/>
    <w:rsid w:val="006E1C67"/>
    <w:rsid w:val="006E307F"/>
    <w:rsid w:val="006E3943"/>
    <w:rsid w:val="006E4EE5"/>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48D5"/>
    <w:rsid w:val="00715638"/>
    <w:rsid w:val="00715F0C"/>
    <w:rsid w:val="0071703B"/>
    <w:rsid w:val="007178AB"/>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325D"/>
    <w:rsid w:val="007438EC"/>
    <w:rsid w:val="00744CFA"/>
    <w:rsid w:val="007460D3"/>
    <w:rsid w:val="007473AA"/>
    <w:rsid w:val="00751369"/>
    <w:rsid w:val="00752361"/>
    <w:rsid w:val="00753460"/>
    <w:rsid w:val="007562EF"/>
    <w:rsid w:val="00760538"/>
    <w:rsid w:val="00760B95"/>
    <w:rsid w:val="007621B5"/>
    <w:rsid w:val="00765C0A"/>
    <w:rsid w:val="007678A6"/>
    <w:rsid w:val="007716D1"/>
    <w:rsid w:val="007718A3"/>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5A3D"/>
    <w:rsid w:val="007F626C"/>
    <w:rsid w:val="007F77A3"/>
    <w:rsid w:val="007F7BA6"/>
    <w:rsid w:val="00802419"/>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CDD"/>
    <w:rsid w:val="0084284C"/>
    <w:rsid w:val="008435D8"/>
    <w:rsid w:val="00846463"/>
    <w:rsid w:val="008464B5"/>
    <w:rsid w:val="00847325"/>
    <w:rsid w:val="00850436"/>
    <w:rsid w:val="008527E9"/>
    <w:rsid w:val="00852B16"/>
    <w:rsid w:val="00854466"/>
    <w:rsid w:val="00857E81"/>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71E9"/>
    <w:rsid w:val="008C2942"/>
    <w:rsid w:val="008C43D6"/>
    <w:rsid w:val="008C5F57"/>
    <w:rsid w:val="008C69F8"/>
    <w:rsid w:val="008C7AB6"/>
    <w:rsid w:val="008D2A6A"/>
    <w:rsid w:val="008D42FE"/>
    <w:rsid w:val="008D4632"/>
    <w:rsid w:val="008D5198"/>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DDD"/>
    <w:rsid w:val="009123CF"/>
    <w:rsid w:val="009135DA"/>
    <w:rsid w:val="009149F8"/>
    <w:rsid w:val="00914F74"/>
    <w:rsid w:val="009152CB"/>
    <w:rsid w:val="00920A95"/>
    <w:rsid w:val="00921474"/>
    <w:rsid w:val="009253E8"/>
    <w:rsid w:val="00925E82"/>
    <w:rsid w:val="009263CE"/>
    <w:rsid w:val="00926CD2"/>
    <w:rsid w:val="0093090F"/>
    <w:rsid w:val="0093159C"/>
    <w:rsid w:val="00932C4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38EB"/>
    <w:rsid w:val="009A4992"/>
    <w:rsid w:val="009A4E20"/>
    <w:rsid w:val="009A5175"/>
    <w:rsid w:val="009A693C"/>
    <w:rsid w:val="009A76DA"/>
    <w:rsid w:val="009B111C"/>
    <w:rsid w:val="009B30F4"/>
    <w:rsid w:val="009B337B"/>
    <w:rsid w:val="009B3558"/>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44CF"/>
    <w:rsid w:val="009F4871"/>
    <w:rsid w:val="009F49A9"/>
    <w:rsid w:val="009F4D4E"/>
    <w:rsid w:val="009F597D"/>
    <w:rsid w:val="009F5BEC"/>
    <w:rsid w:val="009F63ED"/>
    <w:rsid w:val="009F6774"/>
    <w:rsid w:val="009F72A2"/>
    <w:rsid w:val="009F72DD"/>
    <w:rsid w:val="00A03054"/>
    <w:rsid w:val="00A0464C"/>
    <w:rsid w:val="00A05432"/>
    <w:rsid w:val="00A060B7"/>
    <w:rsid w:val="00A12508"/>
    <w:rsid w:val="00A1329F"/>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46C3"/>
    <w:rsid w:val="00A44723"/>
    <w:rsid w:val="00A45455"/>
    <w:rsid w:val="00A46834"/>
    <w:rsid w:val="00A46EA2"/>
    <w:rsid w:val="00A47880"/>
    <w:rsid w:val="00A50450"/>
    <w:rsid w:val="00A50CBA"/>
    <w:rsid w:val="00A53D77"/>
    <w:rsid w:val="00A54DA0"/>
    <w:rsid w:val="00A5539E"/>
    <w:rsid w:val="00A5709C"/>
    <w:rsid w:val="00A6024B"/>
    <w:rsid w:val="00A61E08"/>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2294"/>
    <w:rsid w:val="00B02538"/>
    <w:rsid w:val="00B12707"/>
    <w:rsid w:val="00B1270B"/>
    <w:rsid w:val="00B14222"/>
    <w:rsid w:val="00B15E9A"/>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547B"/>
    <w:rsid w:val="00C3691D"/>
    <w:rsid w:val="00C37218"/>
    <w:rsid w:val="00C41750"/>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5F53"/>
    <w:rsid w:val="00C769A9"/>
    <w:rsid w:val="00C76B41"/>
    <w:rsid w:val="00C76B8A"/>
    <w:rsid w:val="00C76DC6"/>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930"/>
    <w:rsid w:val="00E37F72"/>
    <w:rsid w:val="00E4032F"/>
    <w:rsid w:val="00E436B8"/>
    <w:rsid w:val="00E44B3C"/>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23FA"/>
    <w:rsid w:val="00F127CF"/>
    <w:rsid w:val="00F14924"/>
    <w:rsid w:val="00F14D58"/>
    <w:rsid w:val="00F16578"/>
    <w:rsid w:val="00F168ED"/>
    <w:rsid w:val="00F16AE1"/>
    <w:rsid w:val="00F16D45"/>
    <w:rsid w:val="00F16EAE"/>
    <w:rsid w:val="00F175A5"/>
    <w:rsid w:val="00F17AF7"/>
    <w:rsid w:val="00F21457"/>
    <w:rsid w:val="00F21BE2"/>
    <w:rsid w:val="00F24853"/>
    <w:rsid w:val="00F24B63"/>
    <w:rsid w:val="00F26E38"/>
    <w:rsid w:val="00F276C0"/>
    <w:rsid w:val="00F27BDD"/>
    <w:rsid w:val="00F30E13"/>
    <w:rsid w:val="00F30EC1"/>
    <w:rsid w:val="00F31E3B"/>
    <w:rsid w:val="00F32D27"/>
    <w:rsid w:val="00F41A4E"/>
    <w:rsid w:val="00F41DA4"/>
    <w:rsid w:val="00F43731"/>
    <w:rsid w:val="00F4634D"/>
    <w:rsid w:val="00F505EF"/>
    <w:rsid w:val="00F52AAF"/>
    <w:rsid w:val="00F53E59"/>
    <w:rsid w:val="00F55257"/>
    <w:rsid w:val="00F5641E"/>
    <w:rsid w:val="00F565BE"/>
    <w:rsid w:val="00F565C7"/>
    <w:rsid w:val="00F56836"/>
    <w:rsid w:val="00F57E92"/>
    <w:rsid w:val="00F61B07"/>
    <w:rsid w:val="00F61C54"/>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304;nternete%20konulan-FYY%20ortak%20rapor\Grafik-Kas&#305;m%20202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4224555108989139"/>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FC2-4703-AC1C-24FE2F4169EA}"/>
                </c:ext>
              </c:extLst>
            </c:dLbl>
            <c:dLbl>
              <c:idx val="1"/>
              <c:layout>
                <c:manualLayout>
                  <c:x val="-4.0931795152832273E-3"/>
                  <c:y val="5.318610733753085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FC2-4703-AC1C-24FE2F4169EA}"/>
                </c:ext>
              </c:extLst>
            </c:dLbl>
            <c:dLbl>
              <c:idx val="3"/>
              <c:layout>
                <c:manualLayout>
                  <c:x val="0"/>
                  <c:y val="0.1541458571726520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FC2-4703-AC1C-24FE2F4169EA}"/>
                </c:ext>
              </c:extLst>
            </c:dLbl>
            <c:dLbl>
              <c:idx val="5"/>
              <c:layout>
                <c:manualLayout>
                  <c:x val="-8.1142411335395766E-17"/>
                  <c:y val="5.22634200098081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FC2-4703-AC1C-24FE2F4169EA}"/>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FC2-4703-AC1C-24FE2F4169EA}"/>
                </c:ext>
              </c:extLst>
            </c:dLbl>
            <c:dLbl>
              <c:idx val="9"/>
              <c:layout>
                <c:manualLayout>
                  <c:x val="0"/>
                  <c:y val="3.486784687760448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FC2-4703-AC1C-24FE2F4169EA}"/>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FC2-4703-AC1C-24FE2F4169EA}"/>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FC2-4703-AC1C-24FE2F4169EA}"/>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Grafik!$C$19:$C$35</c:f>
              <c:numCache>
                <c:formatCode>#,##0</c:formatCode>
                <c:ptCount val="13"/>
                <c:pt idx="0">
                  <c:v>4450.0362219600001</c:v>
                </c:pt>
                <c:pt idx="1">
                  <c:v>2642.7158119999999</c:v>
                </c:pt>
                <c:pt idx="2">
                  <c:v>21090.554209324211</c:v>
                </c:pt>
                <c:pt idx="3">
                  <c:v>13791.487158431264</c:v>
                </c:pt>
                <c:pt idx="4">
                  <c:v>21143.374621429197</c:v>
                </c:pt>
                <c:pt idx="5">
                  <c:v>4083.7000484500004</c:v>
                </c:pt>
                <c:pt idx="6">
                  <c:v>31896.439627260093</c:v>
                </c:pt>
                <c:pt idx="7">
                  <c:v>6249.3787499</c:v>
                </c:pt>
                <c:pt idx="8">
                  <c:v>7605.4460791876299</c:v>
                </c:pt>
                <c:pt idx="9">
                  <c:v>1828.0763838900002</c:v>
                </c:pt>
                <c:pt idx="10">
                  <c:v>1252.9145789225599</c:v>
                </c:pt>
                <c:pt idx="11">
                  <c:v>2383.5</c:v>
                </c:pt>
                <c:pt idx="12">
                  <c:v>38718.458841738749</c:v>
                </c:pt>
              </c:numCache>
              <c:extLst/>
            </c:numRef>
          </c:val>
          <c:extLst>
            <c:ext xmlns:c16="http://schemas.microsoft.com/office/drawing/2014/chart" uri="{C3380CC4-5D6E-409C-BE32-E72D297353CC}">
              <c16:uniqueId val="{00000008-2FC2-4703-AC1C-24FE2F4169EA}"/>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FC2-4703-AC1C-24FE2F4169EA}"/>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Grafik!$A$19:$A$35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Grafik!$B$19:$B$35</c:f>
              <c:numCache>
                <c:formatCode>#,##0</c:formatCode>
                <c:ptCount val="13"/>
                <c:pt idx="0">
                  <c:v>7</c:v>
                </c:pt>
                <c:pt idx="1">
                  <c:v>10</c:v>
                </c:pt>
                <c:pt idx="2">
                  <c:v>79</c:v>
                </c:pt>
                <c:pt idx="3">
                  <c:v>18</c:v>
                </c:pt>
                <c:pt idx="4">
                  <c:v>66</c:v>
                </c:pt>
                <c:pt idx="5">
                  <c:v>53</c:v>
                </c:pt>
                <c:pt idx="6">
                  <c:v>55</c:v>
                </c:pt>
                <c:pt idx="7">
                  <c:v>25</c:v>
                </c:pt>
                <c:pt idx="8">
                  <c:v>9</c:v>
                </c:pt>
                <c:pt idx="9">
                  <c:v>7</c:v>
                </c:pt>
                <c:pt idx="10">
                  <c:v>9</c:v>
                </c:pt>
                <c:pt idx="11">
                  <c:v>11</c:v>
                </c:pt>
                <c:pt idx="12">
                  <c:v>59</c:v>
                </c:pt>
              </c:numCache>
              <c:extLst/>
            </c:numRef>
          </c:val>
          <c:smooth val="0"/>
          <c:extLst>
            <c:ext xmlns:c16="http://schemas.microsoft.com/office/drawing/2014/chart" uri="{C3380CC4-5D6E-409C-BE32-E72D297353CC}">
              <c16:uniqueId val="{0000000A-2FC2-4703-AC1C-24FE2F4169EA}"/>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9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 val="autoZero"/>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0B779-00BF-4E22-9052-F68DDF97D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1195</Words>
  <Characters>7342</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Küçük</cp:lastModifiedBy>
  <cp:revision>2</cp:revision>
  <cp:lastPrinted>2024-04-08T06:50:00Z</cp:lastPrinted>
  <dcterms:created xsi:type="dcterms:W3CDTF">2024-12-20T11:34:00Z</dcterms:created>
  <dcterms:modified xsi:type="dcterms:W3CDTF">2024-12-20T11:34:00Z</dcterms:modified>
</cp:coreProperties>
</file>